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4D" w:rsidRDefault="00C7494D" w:rsidP="00C7494D">
      <w:pPr>
        <w:pStyle w:val="Heading2"/>
        <w:keepNext w:val="0"/>
        <w:widowControl w:val="0"/>
        <w:suppressAutoHyphens w:val="0"/>
        <w:spacing w:before="240"/>
        <w:ind w:left="0" w:firstLine="0"/>
        <w:jc w:val="center"/>
      </w:pPr>
      <w:r>
        <w:t>APPENDIX A</w:t>
      </w:r>
    </w:p>
    <w:p w:rsidR="00C7494D" w:rsidRDefault="00C7494D" w:rsidP="00C7494D">
      <w:pPr>
        <w:pStyle w:val="BodyText"/>
        <w:jc w:val="center"/>
        <w:rPr>
          <w:b/>
          <w:bCs/>
          <w:sz w:val="20"/>
          <w:szCs w:val="20"/>
        </w:rPr>
      </w:pPr>
    </w:p>
    <w:p w:rsidR="00C7494D" w:rsidRDefault="00C7494D" w:rsidP="00C7494D">
      <w:pPr>
        <w:pStyle w:val="BodyText"/>
        <w:jc w:val="center"/>
        <w:rPr>
          <w:b/>
          <w:bCs/>
          <w:sz w:val="20"/>
          <w:szCs w:val="20"/>
        </w:rPr>
      </w:pPr>
      <w:r>
        <w:rPr>
          <w:b/>
          <w:bCs/>
          <w:sz w:val="20"/>
          <w:szCs w:val="20"/>
        </w:rPr>
        <w:t>SERVICE SPECIFICATIONS</w:t>
      </w:r>
    </w:p>
    <w:p w:rsidR="00C7494D" w:rsidRDefault="00C7494D" w:rsidP="00C7494D">
      <w:pPr>
        <w:pStyle w:val="BodyText"/>
        <w:jc w:val="both"/>
        <w:rPr>
          <w:sz w:val="20"/>
          <w:szCs w:val="20"/>
        </w:rPr>
      </w:pPr>
    </w:p>
    <w:p w:rsidR="00C7494D" w:rsidRDefault="00C7494D" w:rsidP="00C7494D">
      <w:pPr>
        <w:pStyle w:val="BodyText"/>
        <w:jc w:val="both"/>
        <w:rPr>
          <w:b/>
          <w:bCs/>
          <w:sz w:val="20"/>
          <w:szCs w:val="20"/>
        </w:rPr>
      </w:pPr>
    </w:p>
    <w:tbl>
      <w:tblPr>
        <w:tblW w:w="914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07"/>
        <w:gridCol w:w="6035"/>
      </w:tblGrid>
      <w:tr w:rsidR="00C7494D" w:rsidRPr="0060403E" w:rsidTr="0086519B">
        <w:trPr>
          <w:trHeight w:val="345"/>
        </w:trPr>
        <w:tc>
          <w:tcPr>
            <w:tcW w:w="3107" w:type="dxa"/>
            <w:shd w:val="clear" w:color="auto" w:fill="595959"/>
            <w:vAlign w:val="center"/>
          </w:tcPr>
          <w:p w:rsidR="00C7494D" w:rsidRPr="0060403E" w:rsidRDefault="00C7494D" w:rsidP="004F2137">
            <w:pPr>
              <w:pStyle w:val="BodyText"/>
              <w:rPr>
                <w:b/>
                <w:color w:val="FFFFFF"/>
                <w:sz w:val="20"/>
                <w:szCs w:val="20"/>
              </w:rPr>
            </w:pPr>
            <w:r w:rsidRPr="0060403E">
              <w:rPr>
                <w:b/>
                <w:color w:val="FFFFFF"/>
                <w:sz w:val="20"/>
                <w:szCs w:val="20"/>
              </w:rPr>
              <w:t xml:space="preserve">Service Specification No. </w:t>
            </w:r>
          </w:p>
        </w:tc>
        <w:tc>
          <w:tcPr>
            <w:tcW w:w="6035" w:type="dxa"/>
            <w:vAlign w:val="center"/>
          </w:tcPr>
          <w:p w:rsidR="00C7494D" w:rsidRPr="003C79C1" w:rsidRDefault="003C79C1" w:rsidP="004F2137">
            <w:pPr>
              <w:pStyle w:val="BodyText"/>
              <w:rPr>
                <w:b/>
                <w:bCs/>
                <w:color w:val="000000" w:themeColor="text1"/>
                <w:sz w:val="20"/>
                <w:szCs w:val="20"/>
              </w:rPr>
            </w:pPr>
            <w:r>
              <w:rPr>
                <w:b/>
                <w:bCs/>
                <w:color w:val="000000" w:themeColor="text1"/>
                <w:sz w:val="20"/>
                <w:szCs w:val="20"/>
              </w:rPr>
              <w:t>3</w:t>
            </w:r>
          </w:p>
        </w:tc>
      </w:tr>
      <w:tr w:rsidR="00C7494D" w:rsidRPr="0060403E" w:rsidTr="0086519B">
        <w:trPr>
          <w:trHeight w:val="345"/>
        </w:trPr>
        <w:tc>
          <w:tcPr>
            <w:tcW w:w="3107" w:type="dxa"/>
            <w:shd w:val="clear" w:color="auto" w:fill="595959"/>
            <w:vAlign w:val="center"/>
          </w:tcPr>
          <w:p w:rsidR="00C7494D" w:rsidRPr="0060403E" w:rsidRDefault="00C7494D" w:rsidP="004F2137">
            <w:pPr>
              <w:pStyle w:val="BodyText"/>
              <w:rPr>
                <w:b/>
                <w:color w:val="FFFFFF"/>
                <w:sz w:val="20"/>
                <w:szCs w:val="20"/>
              </w:rPr>
            </w:pPr>
            <w:r w:rsidRPr="0060403E">
              <w:rPr>
                <w:b/>
                <w:color w:val="FFFFFF"/>
                <w:sz w:val="20"/>
                <w:szCs w:val="20"/>
              </w:rPr>
              <w:t>Service</w:t>
            </w:r>
          </w:p>
        </w:tc>
        <w:tc>
          <w:tcPr>
            <w:tcW w:w="6035" w:type="dxa"/>
            <w:vAlign w:val="center"/>
          </w:tcPr>
          <w:p w:rsidR="00C7494D" w:rsidRPr="00C7494D" w:rsidRDefault="00514330" w:rsidP="00514330">
            <w:pPr>
              <w:pStyle w:val="BodyText"/>
              <w:rPr>
                <w:b/>
                <w:bCs/>
                <w:sz w:val="20"/>
                <w:szCs w:val="20"/>
              </w:rPr>
            </w:pPr>
            <w:r>
              <w:rPr>
                <w:b/>
                <w:bCs/>
                <w:sz w:val="20"/>
                <w:szCs w:val="20"/>
              </w:rPr>
              <w:t>National NHS Counterweight 1:1 Weight Loss Programme</w:t>
            </w:r>
          </w:p>
        </w:tc>
      </w:tr>
      <w:tr w:rsidR="00C7494D" w:rsidRPr="0060403E" w:rsidTr="0086519B">
        <w:trPr>
          <w:trHeight w:val="345"/>
        </w:trPr>
        <w:tc>
          <w:tcPr>
            <w:tcW w:w="3107" w:type="dxa"/>
            <w:shd w:val="clear" w:color="auto" w:fill="595959"/>
            <w:vAlign w:val="center"/>
          </w:tcPr>
          <w:p w:rsidR="00C7494D" w:rsidRPr="0060403E" w:rsidRDefault="00C7494D" w:rsidP="004F2137">
            <w:pPr>
              <w:pStyle w:val="BodyText"/>
              <w:rPr>
                <w:b/>
                <w:color w:val="FFFFFF"/>
                <w:sz w:val="20"/>
                <w:szCs w:val="20"/>
              </w:rPr>
            </w:pPr>
            <w:r w:rsidRPr="0060403E">
              <w:rPr>
                <w:b/>
                <w:color w:val="FFFFFF"/>
                <w:sz w:val="20"/>
                <w:szCs w:val="20"/>
              </w:rPr>
              <w:t>Authority Lead</w:t>
            </w:r>
          </w:p>
        </w:tc>
        <w:tc>
          <w:tcPr>
            <w:tcW w:w="6035" w:type="dxa"/>
            <w:vAlign w:val="center"/>
          </w:tcPr>
          <w:p w:rsidR="00C7494D" w:rsidRPr="00C7494D" w:rsidRDefault="00C7494D" w:rsidP="004F2137">
            <w:pPr>
              <w:pStyle w:val="BodyText"/>
              <w:rPr>
                <w:b/>
                <w:bCs/>
                <w:sz w:val="20"/>
                <w:szCs w:val="20"/>
              </w:rPr>
            </w:pPr>
            <w:r w:rsidRPr="00C7494D">
              <w:rPr>
                <w:b/>
                <w:bCs/>
                <w:sz w:val="20"/>
                <w:szCs w:val="20"/>
              </w:rPr>
              <w:t>Va</w:t>
            </w:r>
            <w:r>
              <w:rPr>
                <w:b/>
                <w:bCs/>
                <w:sz w:val="20"/>
                <w:szCs w:val="20"/>
              </w:rPr>
              <w:t xml:space="preserve">lerie Little </w:t>
            </w:r>
          </w:p>
        </w:tc>
      </w:tr>
      <w:tr w:rsidR="00C7494D" w:rsidRPr="0060403E" w:rsidTr="0086519B">
        <w:trPr>
          <w:trHeight w:val="345"/>
        </w:trPr>
        <w:tc>
          <w:tcPr>
            <w:tcW w:w="3107" w:type="dxa"/>
            <w:shd w:val="clear" w:color="auto" w:fill="595959"/>
            <w:vAlign w:val="center"/>
          </w:tcPr>
          <w:p w:rsidR="00C7494D" w:rsidRPr="0060403E" w:rsidRDefault="00C7494D" w:rsidP="00C7494D">
            <w:pPr>
              <w:pStyle w:val="BodyText"/>
              <w:rPr>
                <w:b/>
                <w:color w:val="FFFFFF"/>
                <w:sz w:val="20"/>
                <w:szCs w:val="20"/>
              </w:rPr>
            </w:pPr>
            <w:r>
              <w:rPr>
                <w:b/>
                <w:color w:val="FFFFFF"/>
                <w:sz w:val="20"/>
                <w:szCs w:val="20"/>
              </w:rPr>
              <w:t xml:space="preserve">Service Lead </w:t>
            </w:r>
          </w:p>
        </w:tc>
        <w:tc>
          <w:tcPr>
            <w:tcW w:w="6035" w:type="dxa"/>
            <w:shd w:val="clear" w:color="auto" w:fill="auto"/>
            <w:vAlign w:val="center"/>
          </w:tcPr>
          <w:p w:rsidR="00C7494D" w:rsidRPr="00E90FD0" w:rsidRDefault="00514330" w:rsidP="004F2137">
            <w:pPr>
              <w:pStyle w:val="BodyText"/>
              <w:rPr>
                <w:b/>
                <w:bCs/>
                <w:sz w:val="20"/>
                <w:szCs w:val="20"/>
              </w:rPr>
            </w:pPr>
            <w:r w:rsidRPr="00E90FD0">
              <w:rPr>
                <w:b/>
                <w:bCs/>
                <w:sz w:val="20"/>
                <w:szCs w:val="20"/>
              </w:rPr>
              <w:t>Catherine Goodridge</w:t>
            </w:r>
          </w:p>
        </w:tc>
      </w:tr>
      <w:tr w:rsidR="00C7494D" w:rsidRPr="0060403E" w:rsidTr="0086519B">
        <w:trPr>
          <w:trHeight w:val="345"/>
        </w:trPr>
        <w:tc>
          <w:tcPr>
            <w:tcW w:w="3107" w:type="dxa"/>
            <w:shd w:val="clear" w:color="auto" w:fill="595959"/>
            <w:vAlign w:val="center"/>
          </w:tcPr>
          <w:p w:rsidR="00C7494D" w:rsidRPr="0060403E" w:rsidRDefault="00C7494D" w:rsidP="004F2137">
            <w:pPr>
              <w:pStyle w:val="BodyText"/>
              <w:rPr>
                <w:b/>
                <w:color w:val="FFFFFF"/>
                <w:sz w:val="20"/>
                <w:szCs w:val="20"/>
              </w:rPr>
            </w:pPr>
            <w:r w:rsidRPr="0060403E">
              <w:rPr>
                <w:b/>
                <w:color w:val="FFFFFF"/>
                <w:sz w:val="20"/>
                <w:szCs w:val="20"/>
              </w:rPr>
              <w:t>Provider Lead</w:t>
            </w:r>
          </w:p>
        </w:tc>
        <w:tc>
          <w:tcPr>
            <w:tcW w:w="6035" w:type="dxa"/>
            <w:vAlign w:val="center"/>
          </w:tcPr>
          <w:p w:rsidR="00C7494D" w:rsidRPr="00CC6ABF" w:rsidRDefault="001D240E" w:rsidP="00357D56">
            <w:pPr>
              <w:pStyle w:val="BodyText"/>
              <w:rPr>
                <w:b/>
                <w:bCs/>
                <w:sz w:val="20"/>
                <w:szCs w:val="20"/>
              </w:rPr>
            </w:pPr>
            <w:r>
              <w:rPr>
                <w:b/>
                <w:bCs/>
                <w:sz w:val="20"/>
                <w:szCs w:val="20"/>
              </w:rPr>
              <w:t>Pharmacy</w:t>
            </w:r>
            <w:r w:rsidR="00135DE1">
              <w:rPr>
                <w:b/>
                <w:bCs/>
                <w:sz w:val="20"/>
                <w:szCs w:val="20"/>
              </w:rPr>
              <w:t xml:space="preserve">/GP </w:t>
            </w:r>
          </w:p>
        </w:tc>
      </w:tr>
      <w:tr w:rsidR="00E90FD0" w:rsidRPr="0060403E" w:rsidTr="0086519B">
        <w:trPr>
          <w:trHeight w:val="345"/>
        </w:trPr>
        <w:tc>
          <w:tcPr>
            <w:tcW w:w="3107" w:type="dxa"/>
            <w:shd w:val="clear" w:color="auto" w:fill="595959"/>
            <w:vAlign w:val="center"/>
          </w:tcPr>
          <w:p w:rsidR="00E90FD0" w:rsidRPr="0060403E" w:rsidRDefault="00E90FD0" w:rsidP="004F2137">
            <w:pPr>
              <w:pStyle w:val="BodyText"/>
              <w:rPr>
                <w:b/>
                <w:color w:val="FFFFFF"/>
                <w:sz w:val="20"/>
                <w:szCs w:val="20"/>
              </w:rPr>
            </w:pPr>
            <w:r w:rsidRPr="0060403E">
              <w:rPr>
                <w:b/>
                <w:color w:val="FFFFFF"/>
                <w:sz w:val="20"/>
                <w:szCs w:val="20"/>
              </w:rPr>
              <w:t>Period</w:t>
            </w:r>
          </w:p>
        </w:tc>
        <w:tc>
          <w:tcPr>
            <w:tcW w:w="6035" w:type="dxa"/>
            <w:vAlign w:val="center"/>
          </w:tcPr>
          <w:p w:rsidR="00E90FD0" w:rsidRPr="0060403E" w:rsidRDefault="000027A8" w:rsidP="000027A8">
            <w:pPr>
              <w:pStyle w:val="BodyText"/>
              <w:rPr>
                <w:b/>
                <w:bCs/>
                <w:color w:val="FFFFFF"/>
                <w:sz w:val="20"/>
                <w:szCs w:val="20"/>
              </w:rPr>
            </w:pPr>
            <w:r>
              <w:rPr>
                <w:b/>
                <w:bCs/>
                <w:sz w:val="20"/>
                <w:szCs w:val="20"/>
              </w:rPr>
              <w:t>1</w:t>
            </w:r>
            <w:r>
              <w:rPr>
                <w:b/>
                <w:bCs/>
                <w:sz w:val="20"/>
                <w:szCs w:val="20"/>
                <w:vertAlign w:val="superscript"/>
              </w:rPr>
              <w:t xml:space="preserve">st </w:t>
            </w:r>
            <w:r w:rsidR="00E90FD0" w:rsidRPr="001040C4">
              <w:rPr>
                <w:b/>
                <w:bCs/>
                <w:sz w:val="20"/>
                <w:szCs w:val="20"/>
              </w:rPr>
              <w:t xml:space="preserve">April 2014- </w:t>
            </w:r>
            <w:r>
              <w:rPr>
                <w:b/>
                <w:bCs/>
                <w:sz w:val="20"/>
                <w:szCs w:val="20"/>
              </w:rPr>
              <w:t xml:space="preserve">31st </w:t>
            </w:r>
            <w:r w:rsidR="00E90FD0" w:rsidRPr="001040C4">
              <w:rPr>
                <w:b/>
                <w:bCs/>
                <w:sz w:val="20"/>
                <w:szCs w:val="20"/>
              </w:rPr>
              <w:t>March</w:t>
            </w:r>
            <w:r w:rsidR="00E90FD0">
              <w:rPr>
                <w:b/>
                <w:bCs/>
                <w:sz w:val="20"/>
                <w:szCs w:val="20"/>
              </w:rPr>
              <w:t xml:space="preserve"> </w:t>
            </w:r>
            <w:r w:rsidR="00E90FD0" w:rsidRPr="001040C4">
              <w:rPr>
                <w:b/>
                <w:bCs/>
                <w:sz w:val="20"/>
                <w:szCs w:val="20"/>
              </w:rPr>
              <w:t>201</w:t>
            </w:r>
            <w:r w:rsidR="0086519B">
              <w:rPr>
                <w:b/>
                <w:bCs/>
                <w:sz w:val="20"/>
                <w:szCs w:val="20"/>
              </w:rPr>
              <w:t>6</w:t>
            </w:r>
            <w:r w:rsidR="00E90FD0">
              <w:rPr>
                <w:b/>
                <w:bCs/>
                <w:color w:val="FFFFFF"/>
                <w:sz w:val="20"/>
                <w:szCs w:val="20"/>
              </w:rPr>
              <w:t>-15</w:t>
            </w:r>
          </w:p>
        </w:tc>
      </w:tr>
      <w:tr w:rsidR="00E90FD0" w:rsidRPr="0060403E" w:rsidTr="0086519B">
        <w:trPr>
          <w:trHeight w:val="345"/>
        </w:trPr>
        <w:tc>
          <w:tcPr>
            <w:tcW w:w="3107" w:type="dxa"/>
            <w:shd w:val="clear" w:color="auto" w:fill="595959"/>
            <w:vAlign w:val="center"/>
          </w:tcPr>
          <w:p w:rsidR="00E90FD0" w:rsidRPr="0060403E" w:rsidRDefault="00E90FD0" w:rsidP="004F2137">
            <w:pPr>
              <w:pStyle w:val="BodyText"/>
              <w:rPr>
                <w:b/>
                <w:color w:val="FFFFFF"/>
                <w:sz w:val="20"/>
                <w:szCs w:val="20"/>
              </w:rPr>
            </w:pPr>
            <w:r w:rsidRPr="0060403E">
              <w:rPr>
                <w:b/>
                <w:color w:val="FFFFFF"/>
                <w:sz w:val="20"/>
                <w:szCs w:val="20"/>
              </w:rPr>
              <w:t>Date of Review</w:t>
            </w:r>
          </w:p>
        </w:tc>
        <w:tc>
          <w:tcPr>
            <w:tcW w:w="6035" w:type="dxa"/>
            <w:vAlign w:val="center"/>
          </w:tcPr>
          <w:p w:rsidR="00E90FD0" w:rsidRPr="00ED282D" w:rsidRDefault="00E90FD0" w:rsidP="001072C5">
            <w:pPr>
              <w:pStyle w:val="BodyText"/>
              <w:rPr>
                <w:b/>
                <w:bCs/>
                <w:sz w:val="20"/>
                <w:szCs w:val="20"/>
              </w:rPr>
            </w:pPr>
            <w:r>
              <w:rPr>
                <w:b/>
                <w:bCs/>
                <w:sz w:val="20"/>
                <w:szCs w:val="20"/>
              </w:rPr>
              <w:t>January 201</w:t>
            </w:r>
            <w:r w:rsidR="004F4378">
              <w:rPr>
                <w:b/>
                <w:bCs/>
                <w:sz w:val="20"/>
                <w:szCs w:val="20"/>
              </w:rPr>
              <w:t>5</w:t>
            </w:r>
          </w:p>
        </w:tc>
      </w:tr>
    </w:tbl>
    <w:p w:rsidR="00C7494D" w:rsidRDefault="00C7494D" w:rsidP="00C7494D"/>
    <w:p w:rsidR="0086519B" w:rsidRDefault="0086519B" w:rsidP="0086519B"/>
    <w:p w:rsidR="0086519B" w:rsidRDefault="0086519B" w:rsidP="0086519B"/>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8"/>
      </w:tblGrid>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86519B" w:rsidRDefault="0086519B">
            <w:pPr>
              <w:pStyle w:val="BodyText"/>
              <w:spacing w:line="276" w:lineRule="auto"/>
              <w:jc w:val="both"/>
              <w:rPr>
                <w:b/>
                <w:color w:val="FFFFFF"/>
                <w:sz w:val="10"/>
                <w:szCs w:val="10"/>
              </w:rPr>
            </w:pPr>
          </w:p>
          <w:p w:rsidR="0086519B" w:rsidRDefault="0086519B">
            <w:pPr>
              <w:pStyle w:val="BodyText"/>
              <w:spacing w:line="276" w:lineRule="auto"/>
              <w:jc w:val="both"/>
              <w:rPr>
                <w:b/>
                <w:color w:val="FFFFFF"/>
                <w:sz w:val="20"/>
                <w:szCs w:val="20"/>
              </w:rPr>
            </w:pPr>
            <w:r>
              <w:rPr>
                <w:b/>
                <w:color w:val="FFFFFF"/>
                <w:sz w:val="20"/>
                <w:szCs w:val="20"/>
              </w:rPr>
              <w:t>1.  Population Needs</w:t>
            </w:r>
          </w:p>
          <w:p w:rsidR="0086519B" w:rsidRDefault="0086519B">
            <w:pPr>
              <w:pStyle w:val="BodyText"/>
              <w:spacing w:line="276" w:lineRule="auto"/>
              <w:jc w:val="both"/>
              <w:rPr>
                <w:b/>
                <w:color w:val="FFFFFF"/>
                <w:sz w:val="10"/>
                <w:szCs w:val="1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pStyle w:val="BodyText"/>
              <w:spacing w:line="276" w:lineRule="auto"/>
              <w:jc w:val="both"/>
              <w:rPr>
                <w:b/>
                <w:bCs/>
                <w:sz w:val="20"/>
                <w:szCs w:val="20"/>
              </w:rPr>
            </w:pPr>
          </w:p>
          <w:p w:rsidR="0086519B" w:rsidRDefault="0086519B">
            <w:pPr>
              <w:spacing w:line="276" w:lineRule="auto"/>
              <w:rPr>
                <w:rFonts w:ascii="Arial Bold" w:hAnsi="Arial Bold" w:cs="Arial Bold"/>
                <w:b/>
                <w:bCs/>
                <w:color w:val="339966"/>
                <w:sz w:val="20"/>
              </w:rPr>
            </w:pPr>
            <w:r>
              <w:rPr>
                <w:rFonts w:ascii="Arial Bold" w:hAnsi="Arial Bold" w:cs="Arial Bold"/>
                <w:b/>
                <w:bCs/>
                <w:color w:val="339966"/>
                <w:sz w:val="20"/>
              </w:rPr>
              <w:t>1.1 National/local context and evidence base</w:t>
            </w:r>
          </w:p>
          <w:p w:rsidR="0086519B" w:rsidRDefault="0086519B">
            <w:pPr>
              <w:spacing w:line="276" w:lineRule="auto"/>
              <w:rPr>
                <w:rFonts w:ascii="Arial Bold" w:hAnsi="Arial Bold" w:cs="Arial Bold"/>
                <w:b/>
                <w:bCs/>
                <w:color w:val="339966"/>
                <w:sz w:val="20"/>
              </w:rPr>
            </w:pPr>
          </w:p>
          <w:p w:rsidR="0086519B" w:rsidRDefault="0086519B">
            <w:pPr>
              <w:spacing w:line="276" w:lineRule="auto"/>
              <w:rPr>
                <w:sz w:val="20"/>
              </w:rPr>
            </w:pPr>
            <w:r>
              <w:rPr>
                <w:sz w:val="20"/>
              </w:rPr>
              <w:t>In 2009 the Health Survey for England (HSE) reported that 61.3% of adults (16 yrs and over) were classed as overweight or obese, of this, 23% of adults were obese</w:t>
            </w:r>
            <w:r>
              <w:rPr>
                <w:sz w:val="20"/>
                <w:vertAlign w:val="superscript"/>
              </w:rPr>
              <w:t>1</w:t>
            </w:r>
            <w:r>
              <w:rPr>
                <w:sz w:val="20"/>
              </w:rPr>
              <w:t>. These figures account for almost a quarter of adults in England (22% men &amp; 24% women) were obesity is classified as (BMI 30kg/m</w:t>
            </w:r>
            <w:r>
              <w:rPr>
                <w:sz w:val="20"/>
                <w:vertAlign w:val="superscript"/>
              </w:rPr>
              <w:t>2</w:t>
            </w:r>
            <w:r>
              <w:rPr>
                <w:sz w:val="20"/>
              </w:rPr>
              <w:t xml:space="preserve"> or above). A recent survey in Dudley found that 21% of respondents were obese in 2009, an average increase of 0.9 percentage points per year since the last survey in 2004.  Evidence shows that as many as 30,000 people die prematurely every year from obesity-related conditions, such as Diabetes, CHD, CVD, high blood pressure &amp; certain cancers. Other obesity related conditions include; sleep apnoea, respiratory issues, fertility issues, arthritis and depression.  It has recently been forecast that if no action is taken; obesity will continue to rise to 60% of men and 50% of women by 2050</w:t>
            </w:r>
            <w:r>
              <w:rPr>
                <w:sz w:val="20"/>
                <w:vertAlign w:val="superscript"/>
              </w:rPr>
              <w:t>2</w:t>
            </w:r>
            <w:r>
              <w:rPr>
                <w:sz w:val="20"/>
              </w:rPr>
              <w:t xml:space="preserve">.  </w:t>
            </w:r>
          </w:p>
          <w:p w:rsidR="0086519B" w:rsidRDefault="0086519B">
            <w:pPr>
              <w:spacing w:line="276" w:lineRule="auto"/>
              <w:rPr>
                <w:sz w:val="20"/>
              </w:rPr>
            </w:pPr>
          </w:p>
          <w:p w:rsidR="0086519B" w:rsidRDefault="0086519B">
            <w:pPr>
              <w:spacing w:line="276" w:lineRule="auto"/>
              <w:rPr>
                <w:rFonts w:cs="Arial"/>
                <w:sz w:val="20"/>
              </w:rPr>
            </w:pPr>
            <w:r>
              <w:rPr>
                <w:sz w:val="20"/>
              </w:rPr>
              <w:t xml:space="preserve">Dudley’s Weight Management Pathway has been in place since June 2006 &amp; offers effective, cost effective services for patients with a BMI over 30.  Currently all providers offer group based interventions which are not suitable for all patients.  Counterweight is the only fully evaluated, evidence based primary care weight management programme in the UK which offers </w:t>
            </w:r>
            <w:r>
              <w:rPr>
                <w:rFonts w:cs="Arial"/>
                <w:sz w:val="20"/>
              </w:rPr>
              <w:t xml:space="preserve">a consistent evidence based model of care for patients requiring weight management intervention on a 1:1 basis.  </w:t>
            </w:r>
            <w:r>
              <w:rPr>
                <w:sz w:val="20"/>
              </w:rPr>
              <w:t xml:space="preserve">Counterweight will therefore address the needs of individuals that are not suited to group intervention and will ensure that these individuals receive an appropriate patient centred service tailored to meet their individual needs. </w:t>
            </w:r>
          </w:p>
          <w:p w:rsidR="0086519B" w:rsidRDefault="0086519B">
            <w:pPr>
              <w:spacing w:line="276" w:lineRule="auto"/>
              <w:rPr>
                <w:sz w:val="20"/>
              </w:rPr>
            </w:pPr>
            <w:r>
              <w:rPr>
                <w:sz w:val="20"/>
              </w:rPr>
              <w:br/>
              <w:t>A recent audit of current users of Dudley’s weight management services revealed that both men and minority ethnic groups were under-represented.  Informal feedback from both referrers and members of these groups suggest that group settings can be seen as intimidating and impersonal and that a 1:1 consultation would be preferred.</w:t>
            </w:r>
          </w:p>
          <w:p w:rsidR="0086519B" w:rsidRDefault="0086519B">
            <w:pPr>
              <w:spacing w:line="276" w:lineRule="auto"/>
              <w:rPr>
                <w:szCs w:val="22"/>
              </w:rPr>
            </w:pPr>
          </w:p>
          <w:p w:rsidR="0086519B" w:rsidRDefault="0086519B">
            <w:pPr>
              <w:spacing w:after="150" w:line="180" w:lineRule="atLeast"/>
              <w:rPr>
                <w:rFonts w:cs="Arial"/>
                <w:sz w:val="20"/>
                <w:lang w:eastAsia="en-GB"/>
              </w:rPr>
            </w:pPr>
            <w:r>
              <w:rPr>
                <w:sz w:val="20"/>
              </w:rPr>
              <w:t xml:space="preserve">The Counterweight programme was launched in 2000 and is </w:t>
            </w:r>
            <w:proofErr w:type="gramStart"/>
            <w:r>
              <w:rPr>
                <w:sz w:val="20"/>
              </w:rPr>
              <w:t>an evidence</w:t>
            </w:r>
            <w:proofErr w:type="gramEnd"/>
            <w:r>
              <w:rPr>
                <w:sz w:val="20"/>
              </w:rPr>
              <w:t xml:space="preserve"> based, RCT, 1:1 weight management programme for adults. The programme aims to </w:t>
            </w:r>
            <w:r>
              <w:rPr>
                <w:rFonts w:cs="Arial"/>
                <w:sz w:val="20"/>
                <w:lang w:eastAsia="en-GB"/>
              </w:rPr>
              <w:t xml:space="preserve">promote behavioural strategies which seek to change eating habits, activity levels, sedentary behaviours and thinking processes that contribute to a person being overweight or obese. The programme provides a range of options which promote active </w:t>
            </w:r>
            <w:r>
              <w:rPr>
                <w:rFonts w:cs="Arial"/>
                <w:bCs/>
                <w:sz w:val="20"/>
                <w:lang w:eastAsia="en-GB"/>
              </w:rPr>
              <w:t>weight loss</w:t>
            </w:r>
            <w:r>
              <w:rPr>
                <w:rFonts w:cs="Arial"/>
                <w:b/>
                <w:bCs/>
                <w:sz w:val="20"/>
                <w:lang w:eastAsia="en-GB"/>
              </w:rPr>
              <w:t xml:space="preserve"> </w:t>
            </w:r>
            <w:r>
              <w:rPr>
                <w:rFonts w:cs="Arial"/>
                <w:sz w:val="20"/>
                <w:lang w:eastAsia="en-GB"/>
              </w:rPr>
              <w:t xml:space="preserve">for 3 to 6 months followed by long term </w:t>
            </w:r>
            <w:r>
              <w:rPr>
                <w:rFonts w:cs="Arial"/>
                <w:bCs/>
                <w:sz w:val="20"/>
                <w:lang w:eastAsia="en-GB"/>
              </w:rPr>
              <w:t>weight loss management</w:t>
            </w:r>
            <w:r>
              <w:rPr>
                <w:rFonts w:cs="Arial"/>
                <w:b/>
                <w:bCs/>
                <w:sz w:val="20"/>
                <w:lang w:eastAsia="en-GB"/>
              </w:rPr>
              <w:t xml:space="preserve"> </w:t>
            </w:r>
            <w:r>
              <w:rPr>
                <w:rFonts w:cs="Arial"/>
                <w:sz w:val="20"/>
                <w:lang w:eastAsia="en-GB"/>
              </w:rPr>
              <w:t xml:space="preserve">and </w:t>
            </w:r>
            <w:r>
              <w:rPr>
                <w:rFonts w:cs="Arial"/>
                <w:bCs/>
                <w:sz w:val="20"/>
                <w:lang w:eastAsia="en-GB"/>
              </w:rPr>
              <w:t>obesity management</w:t>
            </w:r>
            <w:r>
              <w:rPr>
                <w:rFonts w:cs="Arial"/>
                <w:sz w:val="20"/>
                <w:lang w:eastAsia="en-GB"/>
              </w:rPr>
              <w:t>. Counterweight offers a structured approach to care and an interactive model of communication which is critical to empowering patients</w:t>
            </w:r>
          </w:p>
          <w:p w:rsidR="0086519B" w:rsidRDefault="0086519B">
            <w:pPr>
              <w:autoSpaceDE w:val="0"/>
              <w:autoSpaceDN w:val="0"/>
              <w:adjustRightInd w:val="0"/>
              <w:spacing w:line="276" w:lineRule="auto"/>
              <w:rPr>
                <w:sz w:val="20"/>
              </w:rPr>
            </w:pPr>
            <w:r>
              <w:rPr>
                <w:sz w:val="20"/>
              </w:rPr>
              <w:lastRenderedPageBreak/>
              <w:t>The intended health outcomes are to:</w:t>
            </w:r>
          </w:p>
          <w:p w:rsidR="0086519B" w:rsidRDefault="0086519B" w:rsidP="0086519B">
            <w:pPr>
              <w:numPr>
                <w:ilvl w:val="0"/>
                <w:numId w:val="27"/>
              </w:numPr>
              <w:suppressAutoHyphens w:val="0"/>
              <w:autoSpaceDE w:val="0"/>
              <w:autoSpaceDN w:val="0"/>
              <w:adjustRightInd w:val="0"/>
              <w:spacing w:line="276" w:lineRule="auto"/>
              <w:jc w:val="left"/>
              <w:rPr>
                <w:sz w:val="20"/>
              </w:rPr>
            </w:pPr>
            <w:proofErr w:type="gramStart"/>
            <w:r>
              <w:rPr>
                <w:sz w:val="20"/>
              </w:rPr>
              <w:t>enable</w:t>
            </w:r>
            <w:proofErr w:type="gramEnd"/>
            <w:r>
              <w:rPr>
                <w:sz w:val="20"/>
              </w:rPr>
              <w:t xml:space="preserve"> more people to be achieve the recommended 5-10% weight loss target set out by NICE weight management guidelines. To achieve the associated health benefits –reduced blood pressure, diabetes, mortality and physical complications </w:t>
            </w:r>
          </w:p>
          <w:p w:rsidR="0086519B" w:rsidRDefault="0086519B" w:rsidP="0086519B">
            <w:pPr>
              <w:numPr>
                <w:ilvl w:val="0"/>
                <w:numId w:val="27"/>
              </w:numPr>
              <w:suppressAutoHyphens w:val="0"/>
              <w:autoSpaceDE w:val="0"/>
              <w:autoSpaceDN w:val="0"/>
              <w:adjustRightInd w:val="0"/>
              <w:spacing w:line="276" w:lineRule="auto"/>
              <w:jc w:val="left"/>
              <w:rPr>
                <w:sz w:val="20"/>
              </w:rPr>
            </w:pPr>
            <w:r>
              <w:rPr>
                <w:sz w:val="20"/>
              </w:rPr>
              <w:t xml:space="preserve">enable the prevention of diabetes in many of those at increased risk of this disease; </w:t>
            </w:r>
          </w:p>
          <w:p w:rsidR="0086519B" w:rsidRDefault="0086519B" w:rsidP="0086519B">
            <w:pPr>
              <w:numPr>
                <w:ilvl w:val="0"/>
                <w:numId w:val="27"/>
              </w:numPr>
              <w:suppressAutoHyphens w:val="0"/>
              <w:autoSpaceDE w:val="0"/>
              <w:autoSpaceDN w:val="0"/>
              <w:adjustRightInd w:val="0"/>
              <w:spacing w:line="276" w:lineRule="auto"/>
              <w:ind w:left="357"/>
              <w:jc w:val="left"/>
              <w:rPr>
                <w:sz w:val="20"/>
              </w:rPr>
            </w:pPr>
            <w:proofErr w:type="gramStart"/>
            <w:r>
              <w:rPr>
                <w:sz w:val="20"/>
              </w:rPr>
              <w:t>sustain</w:t>
            </w:r>
            <w:proofErr w:type="gramEnd"/>
            <w:r>
              <w:rPr>
                <w:sz w:val="20"/>
              </w:rPr>
              <w:t xml:space="preserve"> the continuing increase in life expectancy and reduction in premature mortality that are under threat from the rise in obesity and sedentary living; and offer a real opportunity to make significant inroads into health inequalities, including socio- economic, ethnic and gender inequalities. </w:t>
            </w:r>
          </w:p>
          <w:p w:rsidR="0086519B" w:rsidRDefault="0086519B">
            <w:pPr>
              <w:autoSpaceDE w:val="0"/>
              <w:autoSpaceDN w:val="0"/>
              <w:adjustRightInd w:val="0"/>
              <w:spacing w:line="276" w:lineRule="auto"/>
              <w:ind w:left="-3"/>
              <w:rPr>
                <w:rFonts w:cs="Arial"/>
                <w:sz w:val="16"/>
                <w:szCs w:val="16"/>
                <w:vertAlign w:val="superscript"/>
              </w:rPr>
            </w:pPr>
          </w:p>
          <w:p w:rsidR="0086519B" w:rsidRDefault="0086519B">
            <w:pPr>
              <w:autoSpaceDE w:val="0"/>
              <w:autoSpaceDN w:val="0"/>
              <w:adjustRightInd w:val="0"/>
              <w:spacing w:line="276" w:lineRule="auto"/>
              <w:ind w:left="-3"/>
              <w:rPr>
                <w:rFonts w:cs="Arial"/>
                <w:sz w:val="16"/>
                <w:szCs w:val="16"/>
              </w:rPr>
            </w:pPr>
            <w:r>
              <w:rPr>
                <w:rFonts w:cs="Arial"/>
                <w:sz w:val="16"/>
                <w:szCs w:val="16"/>
                <w:vertAlign w:val="superscript"/>
              </w:rPr>
              <w:t>1</w:t>
            </w:r>
            <w:r>
              <w:rPr>
                <w:rFonts w:cs="Arial"/>
                <w:sz w:val="16"/>
                <w:szCs w:val="16"/>
              </w:rPr>
              <w:t xml:space="preserve"> Health Survey for England (2009)</w:t>
            </w:r>
          </w:p>
          <w:p w:rsidR="0086519B" w:rsidRDefault="0086519B">
            <w:pPr>
              <w:pStyle w:val="ListParagraph"/>
              <w:tabs>
                <w:tab w:val="center" w:pos="4153"/>
                <w:tab w:val="right" w:pos="8306"/>
              </w:tabs>
              <w:spacing w:line="276" w:lineRule="auto"/>
              <w:ind w:left="0"/>
              <w:rPr>
                <w:rFonts w:cs="Arial"/>
                <w:sz w:val="16"/>
                <w:szCs w:val="16"/>
              </w:rPr>
            </w:pPr>
            <w:r>
              <w:rPr>
                <w:rFonts w:cs="Arial"/>
                <w:sz w:val="16"/>
                <w:szCs w:val="16"/>
                <w:vertAlign w:val="superscript"/>
              </w:rPr>
              <w:t>2</w:t>
            </w:r>
            <w:r>
              <w:rPr>
                <w:rFonts w:cs="Arial"/>
                <w:sz w:val="16"/>
                <w:szCs w:val="16"/>
              </w:rPr>
              <w:t xml:space="preserve"> The Foresight Report, Tackling Obesities: Future Choices project (2007)</w:t>
            </w:r>
          </w:p>
          <w:p w:rsidR="0086519B" w:rsidRDefault="0086519B">
            <w:pPr>
              <w:pStyle w:val="ListParagraph"/>
              <w:tabs>
                <w:tab w:val="center" w:pos="4153"/>
                <w:tab w:val="right" w:pos="8306"/>
              </w:tabs>
              <w:spacing w:line="276" w:lineRule="auto"/>
              <w:ind w:left="142" w:hanging="142"/>
              <w:rPr>
                <w:rFonts w:cs="Arial"/>
                <w:sz w:val="16"/>
                <w:szCs w:val="16"/>
              </w:rPr>
            </w:pPr>
          </w:p>
          <w:p w:rsidR="0086519B" w:rsidRDefault="0086519B">
            <w:pPr>
              <w:pStyle w:val="BodyText"/>
              <w:spacing w:line="276" w:lineRule="auto"/>
              <w:jc w:val="both"/>
              <w:rPr>
                <w:b/>
                <w:bCs/>
                <w:sz w:val="20"/>
                <w:szCs w:val="2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86519B" w:rsidRDefault="0086519B">
            <w:pPr>
              <w:pStyle w:val="BodyText"/>
              <w:spacing w:line="276" w:lineRule="auto"/>
              <w:jc w:val="both"/>
              <w:rPr>
                <w:b/>
                <w:color w:val="FFFFFF"/>
                <w:sz w:val="10"/>
                <w:szCs w:val="10"/>
              </w:rPr>
            </w:pPr>
          </w:p>
          <w:p w:rsidR="0086519B" w:rsidRDefault="0086519B">
            <w:pPr>
              <w:pStyle w:val="BodyText"/>
              <w:spacing w:line="276" w:lineRule="auto"/>
              <w:jc w:val="both"/>
              <w:rPr>
                <w:b/>
                <w:color w:val="FFFFFF"/>
                <w:sz w:val="20"/>
                <w:szCs w:val="20"/>
              </w:rPr>
            </w:pPr>
            <w:r>
              <w:rPr>
                <w:b/>
                <w:color w:val="FFFFFF"/>
                <w:sz w:val="20"/>
                <w:szCs w:val="20"/>
              </w:rPr>
              <w:t>2. Key Service Outcomes</w:t>
            </w:r>
          </w:p>
          <w:p w:rsidR="0086519B" w:rsidRDefault="0086519B">
            <w:pPr>
              <w:pStyle w:val="BodyText"/>
              <w:spacing w:line="276" w:lineRule="auto"/>
              <w:jc w:val="both"/>
              <w:rPr>
                <w:b/>
                <w:color w:val="FFFFFF"/>
                <w:sz w:val="10"/>
                <w:szCs w:val="10"/>
                <w:u w:val="single"/>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pStyle w:val="BodyText"/>
              <w:spacing w:line="276" w:lineRule="auto"/>
              <w:jc w:val="both"/>
              <w:rPr>
                <w:bCs/>
                <w:sz w:val="20"/>
                <w:szCs w:val="20"/>
              </w:rPr>
            </w:pPr>
          </w:p>
          <w:p w:rsidR="0086519B" w:rsidRDefault="0086519B">
            <w:pPr>
              <w:pStyle w:val="ListParagraph"/>
              <w:spacing w:line="276" w:lineRule="auto"/>
              <w:ind w:hanging="720"/>
              <w:rPr>
                <w:b/>
                <w:bCs/>
                <w:color w:val="339966"/>
                <w:sz w:val="20"/>
              </w:rPr>
            </w:pPr>
            <w:r>
              <w:rPr>
                <w:b/>
                <w:bCs/>
                <w:color w:val="339966"/>
                <w:sz w:val="20"/>
              </w:rPr>
              <w:t>2.1 Insert any locally agreed outcomes and quality requirements which are NOT Quality</w:t>
            </w:r>
          </w:p>
          <w:p w:rsidR="0086519B" w:rsidRDefault="0086519B">
            <w:pPr>
              <w:pStyle w:val="ListParagraph"/>
              <w:spacing w:line="276" w:lineRule="auto"/>
              <w:ind w:hanging="720"/>
              <w:rPr>
                <w:b/>
                <w:bCs/>
                <w:color w:val="339966"/>
                <w:sz w:val="20"/>
              </w:rPr>
            </w:pPr>
            <w:r>
              <w:rPr>
                <w:b/>
                <w:bCs/>
                <w:color w:val="339966"/>
                <w:sz w:val="20"/>
              </w:rPr>
              <w:t xml:space="preserve">      Outcomes Indicators which should be set out in Appendix C (</w:t>
            </w:r>
            <w:r>
              <w:rPr>
                <w:b/>
                <w:bCs/>
                <w:i/>
                <w:color w:val="339966"/>
                <w:sz w:val="20"/>
              </w:rPr>
              <w:t>Quality Outcomes Indicators</w:t>
            </w:r>
            <w:r>
              <w:rPr>
                <w:b/>
                <w:bCs/>
                <w:color w:val="339966"/>
                <w:sz w:val="20"/>
              </w:rPr>
              <w:t>)</w:t>
            </w:r>
          </w:p>
          <w:p w:rsidR="0086519B" w:rsidRDefault="0086519B">
            <w:pPr>
              <w:pStyle w:val="BodyText"/>
              <w:spacing w:line="276" w:lineRule="auto"/>
              <w:jc w:val="both"/>
              <w:rPr>
                <w:bCs/>
                <w:sz w:val="20"/>
                <w:szCs w:val="20"/>
              </w:rPr>
            </w:pPr>
          </w:p>
          <w:p w:rsidR="0086519B" w:rsidRDefault="0086519B" w:rsidP="0086519B">
            <w:pPr>
              <w:pStyle w:val="ListParagraph"/>
              <w:numPr>
                <w:ilvl w:val="0"/>
                <w:numId w:val="28"/>
              </w:numPr>
              <w:spacing w:before="120" w:after="120" w:line="276" w:lineRule="auto"/>
              <w:rPr>
                <w:szCs w:val="22"/>
              </w:rPr>
            </w:pPr>
            <w:r>
              <w:rPr>
                <w:sz w:val="22"/>
                <w:szCs w:val="22"/>
              </w:rPr>
              <w:t>The provider will deliver the service in accordance with the standard operating procedures attached; the Counterweight Programme Adult Weight Management Reference manual; and in line with Dudley clinical pathways for the management of identified diseases and conditions.</w:t>
            </w:r>
          </w:p>
          <w:p w:rsidR="0086519B" w:rsidRDefault="0086519B" w:rsidP="0086519B">
            <w:pPr>
              <w:pStyle w:val="ListParagraph"/>
              <w:numPr>
                <w:ilvl w:val="0"/>
                <w:numId w:val="28"/>
              </w:numPr>
              <w:spacing w:before="120" w:after="120" w:line="276" w:lineRule="auto"/>
              <w:rPr>
                <w:szCs w:val="22"/>
              </w:rPr>
            </w:pPr>
            <w:r>
              <w:rPr>
                <w:sz w:val="22"/>
                <w:szCs w:val="22"/>
              </w:rPr>
              <w:t>The provider will recruit a minimum of six Counterweight clients per annum.</w:t>
            </w:r>
          </w:p>
          <w:p w:rsidR="0086519B" w:rsidRDefault="0086519B" w:rsidP="0086519B">
            <w:pPr>
              <w:pStyle w:val="ListParagraph"/>
              <w:numPr>
                <w:ilvl w:val="0"/>
                <w:numId w:val="29"/>
              </w:numPr>
              <w:suppressAutoHyphens w:val="0"/>
              <w:spacing w:line="276" w:lineRule="auto"/>
              <w:ind w:hanging="4"/>
              <w:jc w:val="left"/>
              <w:rPr>
                <w:szCs w:val="22"/>
              </w:rPr>
            </w:pPr>
            <w:r>
              <w:rPr>
                <w:sz w:val="22"/>
                <w:szCs w:val="22"/>
              </w:rPr>
              <w:t xml:space="preserve">Counterweight will be provided as an appointment based service following referral    </w:t>
            </w:r>
          </w:p>
          <w:p w:rsidR="0086519B" w:rsidRDefault="0086519B">
            <w:pPr>
              <w:pStyle w:val="ListParagraph"/>
              <w:suppressAutoHyphens w:val="0"/>
              <w:spacing w:line="276" w:lineRule="auto"/>
              <w:ind w:left="360"/>
              <w:jc w:val="left"/>
              <w:rPr>
                <w:szCs w:val="22"/>
              </w:rPr>
            </w:pPr>
            <w:r>
              <w:rPr>
                <w:sz w:val="22"/>
                <w:szCs w:val="22"/>
              </w:rPr>
              <w:t xml:space="preserve">      </w:t>
            </w:r>
            <w:proofErr w:type="gramStart"/>
            <w:r>
              <w:rPr>
                <w:sz w:val="22"/>
                <w:szCs w:val="22"/>
              </w:rPr>
              <w:t>from</w:t>
            </w:r>
            <w:proofErr w:type="gramEnd"/>
            <w:r>
              <w:rPr>
                <w:sz w:val="22"/>
                <w:szCs w:val="22"/>
              </w:rPr>
              <w:t xml:space="preserve"> the triage provided by Dudley Public Health.</w:t>
            </w:r>
          </w:p>
          <w:p w:rsidR="0086519B" w:rsidRDefault="0086519B" w:rsidP="0086519B">
            <w:pPr>
              <w:pStyle w:val="ListParagraph"/>
              <w:numPr>
                <w:ilvl w:val="0"/>
                <w:numId w:val="28"/>
              </w:numPr>
              <w:spacing w:before="120" w:after="120" w:line="276" w:lineRule="auto"/>
              <w:rPr>
                <w:szCs w:val="22"/>
              </w:rPr>
            </w:pPr>
            <w:r>
              <w:rPr>
                <w:sz w:val="22"/>
                <w:szCs w:val="22"/>
              </w:rPr>
              <w:t>The provider will deliver the Counterweight intervention over 12 months using the appointment schedule below:</w:t>
            </w:r>
          </w:p>
          <w:p w:rsidR="0086519B" w:rsidRDefault="0086519B">
            <w:pPr>
              <w:spacing w:line="276" w:lineRule="auto"/>
              <w:rPr>
                <w:szCs w:val="22"/>
              </w:rPr>
            </w:pPr>
          </w:p>
          <w:tbl>
            <w:tblPr>
              <w:tblW w:w="0" w:type="auto"/>
              <w:tblInd w:w="787" w:type="dxa"/>
              <w:tblCellMar>
                <w:left w:w="0" w:type="dxa"/>
                <w:right w:w="0" w:type="dxa"/>
              </w:tblCellMar>
              <w:tblLook w:val="04A0"/>
            </w:tblPr>
            <w:tblGrid>
              <w:gridCol w:w="2093"/>
              <w:gridCol w:w="1779"/>
              <w:gridCol w:w="2232"/>
            </w:tblGrid>
            <w:tr w:rsidR="0086519B">
              <w:tc>
                <w:tcPr>
                  <w:tcW w:w="2093" w:type="dxa"/>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hideMark/>
                </w:tcPr>
                <w:p w:rsidR="0086519B" w:rsidRDefault="0086519B">
                  <w:pPr>
                    <w:spacing w:line="276" w:lineRule="auto"/>
                    <w:rPr>
                      <w:rFonts w:ascii="Calibri" w:eastAsia="Calibri" w:hAnsi="Calibri"/>
                      <w:b/>
                      <w:bCs/>
                      <w:szCs w:val="22"/>
                    </w:rPr>
                  </w:pPr>
                  <w:r>
                    <w:rPr>
                      <w:b/>
                      <w:bCs/>
                      <w:sz w:val="22"/>
                      <w:szCs w:val="22"/>
                    </w:rPr>
                    <w:t>Appointment</w:t>
                  </w:r>
                </w:p>
              </w:tc>
              <w:tc>
                <w:tcPr>
                  <w:tcW w:w="1779" w:type="dxa"/>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hideMark/>
                </w:tcPr>
                <w:p w:rsidR="0086519B" w:rsidRDefault="0086519B">
                  <w:pPr>
                    <w:spacing w:line="276" w:lineRule="auto"/>
                    <w:rPr>
                      <w:rFonts w:ascii="Calibri" w:eastAsia="Calibri" w:hAnsi="Calibri"/>
                      <w:b/>
                      <w:bCs/>
                      <w:szCs w:val="22"/>
                    </w:rPr>
                  </w:pPr>
                  <w:r>
                    <w:rPr>
                      <w:b/>
                      <w:bCs/>
                      <w:sz w:val="22"/>
                      <w:szCs w:val="22"/>
                    </w:rPr>
                    <w:t>Length</w:t>
                  </w:r>
                </w:p>
              </w:tc>
              <w:tc>
                <w:tcPr>
                  <w:tcW w:w="2232" w:type="dxa"/>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hideMark/>
                </w:tcPr>
                <w:p w:rsidR="0086519B" w:rsidRDefault="0086519B">
                  <w:pPr>
                    <w:spacing w:line="276" w:lineRule="auto"/>
                    <w:rPr>
                      <w:rFonts w:ascii="Calibri" w:eastAsia="Calibri" w:hAnsi="Calibri"/>
                      <w:b/>
                      <w:bCs/>
                      <w:szCs w:val="22"/>
                    </w:rPr>
                  </w:pPr>
                  <w:r>
                    <w:rPr>
                      <w:b/>
                      <w:bCs/>
                      <w:sz w:val="22"/>
                      <w:szCs w:val="22"/>
                    </w:rPr>
                    <w:t>When</w:t>
                  </w:r>
                </w:p>
              </w:tc>
            </w:tr>
            <w:tr w:rsidR="0086519B">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Initial</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20 – 30 </w:t>
                  </w:r>
                  <w:proofErr w:type="spellStart"/>
                  <w:r>
                    <w:rPr>
                      <w:sz w:val="22"/>
                      <w:szCs w:val="22"/>
                    </w:rPr>
                    <w:t>mins</w:t>
                  </w:r>
                  <w:proofErr w:type="spellEnd"/>
                </w:p>
              </w:tc>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Week 1</w:t>
                  </w:r>
                </w:p>
              </w:tc>
            </w:tr>
            <w:tr w:rsidR="0086519B">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Appointments 2 - 6</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15 – 20 </w:t>
                  </w:r>
                  <w:proofErr w:type="spellStart"/>
                  <w:r>
                    <w:rPr>
                      <w:sz w:val="22"/>
                      <w:szCs w:val="22"/>
                    </w:rPr>
                    <w:t>mins</w:t>
                  </w:r>
                  <w:proofErr w:type="spellEnd"/>
                </w:p>
              </w:tc>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Within 3 months (fortnightly)</w:t>
                  </w:r>
                </w:p>
              </w:tc>
            </w:tr>
            <w:tr w:rsidR="0086519B">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Appointment 7 </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20 </w:t>
                  </w:r>
                  <w:proofErr w:type="spellStart"/>
                  <w:r>
                    <w:rPr>
                      <w:sz w:val="22"/>
                      <w:szCs w:val="22"/>
                    </w:rPr>
                    <w:t>mins</w:t>
                  </w:r>
                  <w:proofErr w:type="spellEnd"/>
                </w:p>
              </w:tc>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Within 6 months</w:t>
                  </w:r>
                </w:p>
              </w:tc>
            </w:tr>
            <w:tr w:rsidR="0086519B">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Appointment 8</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20 </w:t>
                  </w:r>
                  <w:proofErr w:type="spellStart"/>
                  <w:r>
                    <w:rPr>
                      <w:sz w:val="22"/>
                      <w:szCs w:val="22"/>
                    </w:rPr>
                    <w:t>mins</w:t>
                  </w:r>
                  <w:proofErr w:type="spellEnd"/>
                </w:p>
              </w:tc>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Within 9 months</w:t>
                  </w:r>
                </w:p>
              </w:tc>
            </w:tr>
            <w:tr w:rsidR="0086519B">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Appointment 9</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 xml:space="preserve">30 </w:t>
                  </w:r>
                  <w:proofErr w:type="spellStart"/>
                  <w:r>
                    <w:rPr>
                      <w:sz w:val="22"/>
                      <w:szCs w:val="22"/>
                    </w:rPr>
                    <w:t>mins</w:t>
                  </w:r>
                  <w:proofErr w:type="spellEnd"/>
                </w:p>
              </w:tc>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6519B" w:rsidRDefault="0086519B">
                  <w:pPr>
                    <w:spacing w:line="276" w:lineRule="auto"/>
                    <w:rPr>
                      <w:rFonts w:ascii="Calibri" w:eastAsia="Calibri" w:hAnsi="Calibri"/>
                      <w:szCs w:val="22"/>
                    </w:rPr>
                  </w:pPr>
                  <w:r>
                    <w:rPr>
                      <w:sz w:val="22"/>
                      <w:szCs w:val="22"/>
                    </w:rPr>
                    <w:t>At 12 months</w:t>
                  </w:r>
                </w:p>
              </w:tc>
            </w:tr>
          </w:tbl>
          <w:p w:rsidR="0086519B" w:rsidRDefault="0086519B">
            <w:pPr>
              <w:spacing w:line="276" w:lineRule="auto"/>
              <w:rPr>
                <w:szCs w:val="22"/>
              </w:rPr>
            </w:pPr>
          </w:p>
          <w:p w:rsidR="0086519B" w:rsidRDefault="0086519B" w:rsidP="0086519B">
            <w:pPr>
              <w:pStyle w:val="ListParagraph"/>
              <w:numPr>
                <w:ilvl w:val="0"/>
                <w:numId w:val="30"/>
              </w:numPr>
              <w:suppressAutoHyphens w:val="0"/>
              <w:spacing w:line="276" w:lineRule="auto"/>
              <w:jc w:val="left"/>
              <w:rPr>
                <w:rFonts w:cs="Arial"/>
                <w:szCs w:val="22"/>
              </w:rPr>
            </w:pPr>
            <w:r>
              <w:rPr>
                <w:rFonts w:cs="Arial"/>
                <w:sz w:val="22"/>
                <w:szCs w:val="22"/>
              </w:rPr>
              <w:t>The provider will employ and manage staff to deliver the service and ensure all staff delivering Counterweight has attended the 2 day Counterweight training provided by the Office of Public Health and have been signed off as competent to deliver the service.</w:t>
            </w:r>
          </w:p>
          <w:p w:rsidR="0086519B" w:rsidRDefault="0086519B">
            <w:pPr>
              <w:pStyle w:val="ListParagraph"/>
              <w:suppressAutoHyphens w:val="0"/>
              <w:spacing w:line="276" w:lineRule="auto"/>
              <w:jc w:val="left"/>
              <w:rPr>
                <w:rFonts w:cs="Arial"/>
                <w:szCs w:val="22"/>
              </w:rPr>
            </w:pPr>
          </w:p>
          <w:p w:rsidR="0086519B" w:rsidRDefault="0086519B" w:rsidP="0086519B">
            <w:pPr>
              <w:pStyle w:val="ListParagraph"/>
              <w:numPr>
                <w:ilvl w:val="0"/>
                <w:numId w:val="30"/>
              </w:numPr>
              <w:suppressAutoHyphens w:val="0"/>
              <w:spacing w:line="276" w:lineRule="auto"/>
              <w:jc w:val="left"/>
              <w:rPr>
                <w:rFonts w:cs="Arial"/>
                <w:szCs w:val="22"/>
              </w:rPr>
            </w:pPr>
            <w:r>
              <w:rPr>
                <w:rFonts w:cs="Arial"/>
                <w:sz w:val="22"/>
                <w:szCs w:val="22"/>
              </w:rPr>
              <w:t>The provider will ensure all Counterweight staff attend annual refresher training.</w:t>
            </w:r>
          </w:p>
          <w:p w:rsidR="0086519B" w:rsidRDefault="0086519B">
            <w:pPr>
              <w:pStyle w:val="ListParagraph"/>
              <w:suppressAutoHyphens w:val="0"/>
              <w:spacing w:line="276" w:lineRule="auto"/>
              <w:jc w:val="left"/>
              <w:rPr>
                <w:rFonts w:cs="Arial"/>
                <w:szCs w:val="22"/>
              </w:rPr>
            </w:pPr>
          </w:p>
          <w:p w:rsidR="0086519B" w:rsidRDefault="0086519B" w:rsidP="0086519B">
            <w:pPr>
              <w:numPr>
                <w:ilvl w:val="0"/>
                <w:numId w:val="29"/>
              </w:numPr>
              <w:tabs>
                <w:tab w:val="clear" w:pos="360"/>
                <w:tab w:val="num" w:pos="639"/>
              </w:tabs>
              <w:suppressAutoHyphens w:val="0"/>
              <w:spacing w:line="276" w:lineRule="auto"/>
              <w:ind w:left="356" w:hanging="4"/>
              <w:jc w:val="left"/>
              <w:rPr>
                <w:rFonts w:cs="Arial"/>
              </w:rPr>
            </w:pPr>
            <w:r>
              <w:rPr>
                <w:sz w:val="22"/>
                <w:szCs w:val="22"/>
              </w:rPr>
              <w:t xml:space="preserve">The provider will </w:t>
            </w:r>
            <w:r>
              <w:rPr>
                <w:rFonts w:cs="Arial"/>
                <w:sz w:val="22"/>
                <w:szCs w:val="22"/>
              </w:rPr>
              <w:t xml:space="preserve">monitor outcomes using the bespoke Counterweight data collection   </w:t>
            </w:r>
          </w:p>
          <w:p w:rsidR="0086519B" w:rsidRDefault="0086519B">
            <w:pPr>
              <w:suppressAutoHyphens w:val="0"/>
              <w:spacing w:line="276" w:lineRule="auto"/>
              <w:ind w:left="356"/>
              <w:jc w:val="left"/>
              <w:rPr>
                <w:rFonts w:cs="Arial"/>
              </w:rPr>
            </w:pPr>
            <w:r>
              <w:rPr>
                <w:rFonts w:cs="Arial"/>
                <w:sz w:val="22"/>
                <w:szCs w:val="22"/>
              </w:rPr>
              <w:t xml:space="preserve">      methods and </w:t>
            </w:r>
            <w:r>
              <w:rPr>
                <w:sz w:val="22"/>
                <w:szCs w:val="22"/>
              </w:rPr>
              <w:t>provide data on a quarterly basis including nil returns.</w:t>
            </w:r>
          </w:p>
          <w:p w:rsidR="0086519B" w:rsidRDefault="0086519B">
            <w:pPr>
              <w:suppressAutoHyphens w:val="0"/>
              <w:spacing w:line="276" w:lineRule="auto"/>
              <w:ind w:left="360"/>
              <w:jc w:val="left"/>
              <w:rPr>
                <w:rFonts w:cs="Arial"/>
              </w:rPr>
            </w:pPr>
          </w:p>
          <w:p w:rsidR="0086519B" w:rsidRDefault="0086519B" w:rsidP="0086519B">
            <w:pPr>
              <w:pStyle w:val="ListParagraph"/>
              <w:numPr>
                <w:ilvl w:val="0"/>
                <w:numId w:val="29"/>
              </w:numPr>
              <w:spacing w:line="276" w:lineRule="auto"/>
              <w:ind w:hanging="4"/>
              <w:rPr>
                <w:b/>
                <w:iCs/>
                <w:szCs w:val="22"/>
              </w:rPr>
            </w:pPr>
            <w:r>
              <w:rPr>
                <w:iCs/>
                <w:sz w:val="22"/>
                <w:szCs w:val="22"/>
              </w:rPr>
              <w:lastRenderedPageBreak/>
              <w:t xml:space="preserve">The provider will provide (and maintain/calibrate to the appropriate standards) all      </w:t>
            </w:r>
          </w:p>
          <w:p w:rsidR="0086519B" w:rsidRDefault="0086519B">
            <w:pPr>
              <w:spacing w:line="276" w:lineRule="auto"/>
              <w:ind w:left="356"/>
              <w:rPr>
                <w:iCs/>
                <w:szCs w:val="22"/>
              </w:rPr>
            </w:pPr>
            <w:r>
              <w:rPr>
                <w:iCs/>
                <w:sz w:val="22"/>
                <w:szCs w:val="22"/>
              </w:rPr>
              <w:t xml:space="preserve">      necessary equipment as specified in the SOP.</w:t>
            </w:r>
          </w:p>
          <w:p w:rsidR="0086519B" w:rsidRDefault="0086519B">
            <w:pPr>
              <w:spacing w:line="276" w:lineRule="auto"/>
              <w:ind w:left="356"/>
              <w:rPr>
                <w:b/>
                <w:iCs/>
                <w:szCs w:val="22"/>
              </w:rPr>
            </w:pPr>
          </w:p>
          <w:p w:rsidR="0086519B" w:rsidRDefault="0086519B" w:rsidP="0086519B">
            <w:pPr>
              <w:pStyle w:val="ListParagraph"/>
              <w:numPr>
                <w:ilvl w:val="0"/>
                <w:numId w:val="29"/>
              </w:numPr>
              <w:suppressAutoHyphens w:val="0"/>
              <w:spacing w:line="276" w:lineRule="auto"/>
              <w:ind w:hanging="4"/>
              <w:jc w:val="left"/>
              <w:rPr>
                <w:szCs w:val="22"/>
              </w:rPr>
            </w:pPr>
            <w:r>
              <w:rPr>
                <w:sz w:val="22"/>
                <w:szCs w:val="22"/>
              </w:rPr>
              <w:t xml:space="preserve">The commissioner will provide training, resources and ongoing support to  </w:t>
            </w:r>
          </w:p>
          <w:p w:rsidR="0086519B" w:rsidRDefault="0086519B">
            <w:pPr>
              <w:suppressAutoHyphens w:val="0"/>
              <w:spacing w:line="276" w:lineRule="auto"/>
              <w:ind w:left="356"/>
              <w:jc w:val="left"/>
              <w:rPr>
                <w:szCs w:val="22"/>
              </w:rPr>
            </w:pPr>
            <w:r>
              <w:rPr>
                <w:sz w:val="22"/>
                <w:szCs w:val="22"/>
              </w:rPr>
              <w:t xml:space="preserve">      Counterweight staff.</w:t>
            </w:r>
          </w:p>
          <w:p w:rsidR="0086519B" w:rsidRDefault="0086519B">
            <w:pPr>
              <w:pStyle w:val="BodyText"/>
              <w:spacing w:line="276" w:lineRule="auto"/>
              <w:jc w:val="both"/>
              <w:rPr>
                <w:bCs/>
                <w:sz w:val="20"/>
                <w:szCs w:val="2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86519B" w:rsidRDefault="0086519B">
            <w:pPr>
              <w:pStyle w:val="BodyText"/>
              <w:spacing w:line="276" w:lineRule="auto"/>
              <w:jc w:val="both"/>
              <w:rPr>
                <w:b/>
                <w:color w:val="FFFFFF"/>
                <w:sz w:val="10"/>
                <w:szCs w:val="10"/>
                <w:u w:val="single"/>
              </w:rPr>
            </w:pPr>
          </w:p>
          <w:p w:rsidR="0086519B" w:rsidRDefault="0086519B">
            <w:pPr>
              <w:pStyle w:val="BodyText"/>
              <w:spacing w:line="276" w:lineRule="auto"/>
              <w:jc w:val="both"/>
              <w:rPr>
                <w:b/>
                <w:color w:val="FFFFFF"/>
                <w:sz w:val="20"/>
                <w:szCs w:val="20"/>
              </w:rPr>
            </w:pPr>
            <w:r>
              <w:rPr>
                <w:b/>
                <w:color w:val="FFFFFF"/>
                <w:sz w:val="20"/>
                <w:szCs w:val="20"/>
              </w:rPr>
              <w:t xml:space="preserve">3. Scope </w:t>
            </w:r>
          </w:p>
          <w:p w:rsidR="0086519B" w:rsidRDefault="0086519B">
            <w:pPr>
              <w:pStyle w:val="BodyText"/>
              <w:spacing w:line="276" w:lineRule="auto"/>
              <w:jc w:val="both"/>
              <w:rPr>
                <w:b/>
                <w:color w:val="FFFFFF"/>
                <w:sz w:val="10"/>
                <w:szCs w:val="10"/>
                <w:u w:val="single"/>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spacing w:line="276" w:lineRule="auto"/>
              <w:rPr>
                <w:rFonts w:cs="Arial"/>
                <w:bCs/>
                <w:color w:val="339966"/>
                <w:szCs w:val="22"/>
              </w:rPr>
            </w:pPr>
          </w:p>
          <w:p w:rsidR="0086519B" w:rsidRDefault="0086519B">
            <w:pPr>
              <w:spacing w:line="276" w:lineRule="auto"/>
              <w:rPr>
                <w:rFonts w:cs="Arial"/>
                <w:b/>
                <w:bCs/>
                <w:color w:val="339966"/>
                <w:szCs w:val="22"/>
              </w:rPr>
            </w:pPr>
            <w:r>
              <w:rPr>
                <w:rFonts w:cs="Arial"/>
                <w:b/>
                <w:bCs/>
                <w:color w:val="339966"/>
                <w:sz w:val="22"/>
                <w:szCs w:val="22"/>
              </w:rPr>
              <w:t>3.1 Aims and objectives of service</w:t>
            </w:r>
          </w:p>
          <w:p w:rsidR="0086519B" w:rsidRDefault="0086519B">
            <w:pPr>
              <w:spacing w:line="276" w:lineRule="auto"/>
              <w:rPr>
                <w:rFonts w:cs="Arial"/>
                <w:b/>
                <w:bCs/>
                <w:color w:val="339966"/>
                <w:szCs w:val="22"/>
              </w:rPr>
            </w:pPr>
          </w:p>
          <w:p w:rsidR="0086519B" w:rsidRDefault="0086519B">
            <w:pPr>
              <w:spacing w:after="150" w:line="180" w:lineRule="atLeast"/>
              <w:rPr>
                <w:rFonts w:cs="Arial"/>
                <w:szCs w:val="22"/>
                <w:lang w:eastAsia="en-GB"/>
              </w:rPr>
            </w:pPr>
            <w:r>
              <w:rPr>
                <w:rFonts w:cs="Arial"/>
                <w:sz w:val="22"/>
                <w:szCs w:val="22"/>
                <w:lang w:eastAsia="en-GB"/>
              </w:rPr>
              <w:t xml:space="preserve">The Counterweight Programme is an evidence-based weight management programme for adults.  The Counterweight Programme promotes behavioural strategies, which seek to change eating habits, activity levels, sedentary behaviours and thinking processes that contribute to an individual being overweight or obese.  The Programme provides a range of options which promote active weight loss for three to six months, followed by long-term weight loss maintenance. </w:t>
            </w:r>
          </w:p>
          <w:p w:rsidR="0086519B" w:rsidRDefault="0086519B">
            <w:pPr>
              <w:spacing w:after="150" w:line="180" w:lineRule="atLeast"/>
              <w:rPr>
                <w:rFonts w:cs="Arial"/>
                <w:b/>
                <w:szCs w:val="22"/>
                <w:lang w:eastAsia="en-GB"/>
              </w:rPr>
            </w:pPr>
            <w:r>
              <w:rPr>
                <w:rFonts w:cs="Arial"/>
                <w:b/>
                <w:sz w:val="22"/>
                <w:szCs w:val="22"/>
                <w:lang w:eastAsia="en-GB"/>
              </w:rPr>
              <w:t>Aims:</w:t>
            </w:r>
          </w:p>
          <w:p w:rsidR="0086519B" w:rsidRDefault="0086519B" w:rsidP="0086519B">
            <w:pPr>
              <w:pStyle w:val="ListParagraph"/>
              <w:numPr>
                <w:ilvl w:val="0"/>
                <w:numId w:val="29"/>
              </w:numPr>
              <w:spacing w:after="150" w:line="180" w:lineRule="atLeast"/>
              <w:rPr>
                <w:rFonts w:cs="Arial"/>
                <w:b/>
                <w:szCs w:val="22"/>
                <w:lang w:eastAsia="en-GB"/>
              </w:rPr>
            </w:pPr>
            <w:r>
              <w:rPr>
                <w:rFonts w:cs="Arial"/>
                <w:sz w:val="22"/>
                <w:szCs w:val="22"/>
                <w:lang w:eastAsia="en-GB"/>
              </w:rPr>
              <w:t>To achieve and maintain medically valuable weight loss of 5 – 10%.</w:t>
            </w:r>
          </w:p>
          <w:p w:rsidR="0086519B" w:rsidRDefault="0086519B" w:rsidP="0086519B">
            <w:pPr>
              <w:pStyle w:val="ListParagraph"/>
              <w:numPr>
                <w:ilvl w:val="0"/>
                <w:numId w:val="29"/>
              </w:numPr>
              <w:spacing w:after="150" w:line="180" w:lineRule="atLeast"/>
              <w:rPr>
                <w:rFonts w:cs="Arial"/>
                <w:b/>
                <w:szCs w:val="22"/>
                <w:lang w:eastAsia="en-GB"/>
              </w:rPr>
            </w:pPr>
            <w:r>
              <w:rPr>
                <w:rFonts w:cs="Arial"/>
                <w:sz w:val="22"/>
                <w:szCs w:val="22"/>
                <w:lang w:eastAsia="en-GB"/>
              </w:rPr>
              <w:t>To make sustainable changes to eating and physical activity behaviours.</w:t>
            </w:r>
          </w:p>
          <w:p w:rsidR="0086519B" w:rsidRDefault="0086519B" w:rsidP="0086519B">
            <w:pPr>
              <w:pStyle w:val="ListParagraph"/>
              <w:numPr>
                <w:ilvl w:val="0"/>
                <w:numId w:val="29"/>
              </w:numPr>
              <w:spacing w:after="150" w:line="180" w:lineRule="atLeast"/>
              <w:rPr>
                <w:rFonts w:cs="Arial"/>
                <w:b/>
                <w:szCs w:val="22"/>
                <w:lang w:eastAsia="en-GB"/>
              </w:rPr>
            </w:pPr>
            <w:r>
              <w:rPr>
                <w:rFonts w:cs="Arial"/>
                <w:sz w:val="22"/>
                <w:szCs w:val="22"/>
                <w:lang w:eastAsia="en-GB"/>
              </w:rPr>
              <w:t>To maintain weight loss long term.</w:t>
            </w:r>
          </w:p>
          <w:p w:rsidR="0086519B" w:rsidRDefault="0086519B" w:rsidP="0086519B">
            <w:pPr>
              <w:pStyle w:val="ListParagraph"/>
              <w:numPr>
                <w:ilvl w:val="0"/>
                <w:numId w:val="29"/>
              </w:numPr>
              <w:spacing w:after="150" w:line="180" w:lineRule="atLeast"/>
              <w:rPr>
                <w:rFonts w:cs="Arial"/>
                <w:b/>
                <w:szCs w:val="22"/>
                <w:lang w:eastAsia="en-GB"/>
              </w:rPr>
            </w:pPr>
            <w:r>
              <w:rPr>
                <w:rFonts w:cs="Arial"/>
                <w:sz w:val="22"/>
                <w:szCs w:val="22"/>
                <w:lang w:eastAsia="en-GB"/>
              </w:rPr>
              <w:t>To improve health status.</w:t>
            </w:r>
          </w:p>
          <w:p w:rsidR="0086519B" w:rsidRDefault="0086519B">
            <w:pPr>
              <w:spacing w:line="276" w:lineRule="auto"/>
              <w:rPr>
                <w:rFonts w:cs="Arial"/>
                <w:szCs w:val="22"/>
              </w:rPr>
            </w:pPr>
          </w:p>
          <w:p w:rsidR="0086519B" w:rsidRDefault="0086519B">
            <w:pPr>
              <w:spacing w:line="276" w:lineRule="auto"/>
              <w:rPr>
                <w:rFonts w:cs="Arial"/>
                <w:b/>
                <w:bCs/>
                <w:color w:val="339966"/>
                <w:szCs w:val="22"/>
              </w:rPr>
            </w:pPr>
            <w:r>
              <w:rPr>
                <w:rFonts w:cs="Arial"/>
                <w:b/>
                <w:bCs/>
                <w:color w:val="339966"/>
                <w:sz w:val="22"/>
                <w:szCs w:val="22"/>
              </w:rPr>
              <w:t xml:space="preserve">3.2 Service description/pathway </w:t>
            </w:r>
          </w:p>
          <w:p w:rsidR="0086519B" w:rsidRDefault="0086519B">
            <w:pPr>
              <w:spacing w:line="276" w:lineRule="auto"/>
              <w:rPr>
                <w:rFonts w:cs="Arial"/>
                <w:b/>
                <w:bCs/>
                <w:color w:val="339966"/>
                <w:szCs w:val="22"/>
              </w:rPr>
            </w:pPr>
          </w:p>
          <w:p w:rsidR="0086519B" w:rsidRDefault="0086519B">
            <w:pPr>
              <w:spacing w:line="276" w:lineRule="auto"/>
              <w:rPr>
                <w:rFonts w:cs="Arial"/>
                <w:bCs/>
                <w:szCs w:val="22"/>
              </w:rPr>
            </w:pPr>
            <w:r>
              <w:rPr>
                <w:rFonts w:cs="Arial"/>
                <w:bCs/>
                <w:sz w:val="22"/>
                <w:szCs w:val="22"/>
              </w:rPr>
              <w:t>Please refer to the Standard operating procedures.</w:t>
            </w:r>
          </w:p>
          <w:p w:rsidR="0086519B" w:rsidRDefault="0086519B">
            <w:pPr>
              <w:spacing w:line="276" w:lineRule="auto"/>
              <w:rPr>
                <w:rFonts w:cs="Arial"/>
                <w:bCs/>
                <w:szCs w:val="22"/>
              </w:rPr>
            </w:pPr>
          </w:p>
          <w:p w:rsidR="0086519B" w:rsidRDefault="0086519B">
            <w:pPr>
              <w:spacing w:line="276" w:lineRule="auto"/>
              <w:rPr>
                <w:rFonts w:cs="Arial"/>
                <w:bCs/>
                <w:szCs w:val="22"/>
              </w:rPr>
            </w:pPr>
            <w:r w:rsidRPr="006F37BB">
              <w:rPr>
                <w:rFonts w:cs="Arial"/>
                <w:bCs/>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458390695" r:id="rId9">
                  <o:FieldCodes>\s</o:FieldCodes>
                </o:OLEObject>
              </w:object>
            </w:r>
          </w:p>
          <w:p w:rsidR="0086519B" w:rsidRDefault="0086519B">
            <w:pPr>
              <w:spacing w:line="276" w:lineRule="auto"/>
              <w:rPr>
                <w:rFonts w:cs="Arial"/>
                <w:bCs/>
                <w:szCs w:val="22"/>
              </w:rPr>
            </w:pPr>
          </w:p>
          <w:p w:rsidR="0086519B" w:rsidRDefault="0086519B">
            <w:pPr>
              <w:spacing w:line="276" w:lineRule="auto"/>
              <w:rPr>
                <w:rFonts w:cs="Arial"/>
                <w:szCs w:val="22"/>
              </w:rPr>
            </w:pPr>
            <w:r>
              <w:rPr>
                <w:rFonts w:cs="Arial"/>
                <w:sz w:val="22"/>
                <w:szCs w:val="22"/>
              </w:rPr>
              <w:t>All patients will be referred to the Weight Management Team where motivation will be assessed and the most suitable service determined.</w:t>
            </w:r>
          </w:p>
          <w:p w:rsidR="0086519B" w:rsidRDefault="0086519B">
            <w:pPr>
              <w:spacing w:line="276" w:lineRule="auto"/>
              <w:rPr>
                <w:rFonts w:cs="Arial"/>
                <w:szCs w:val="22"/>
              </w:rPr>
            </w:pPr>
          </w:p>
          <w:p w:rsidR="0086519B" w:rsidRDefault="0086519B">
            <w:pPr>
              <w:spacing w:line="276" w:lineRule="auto"/>
              <w:rPr>
                <w:rFonts w:cs="Arial"/>
                <w:szCs w:val="22"/>
              </w:rPr>
            </w:pPr>
            <w:r>
              <w:rPr>
                <w:rFonts w:cs="Arial"/>
                <w:sz w:val="22"/>
                <w:szCs w:val="22"/>
              </w:rPr>
              <w:t xml:space="preserve">The service is expected to: </w:t>
            </w:r>
          </w:p>
          <w:p w:rsidR="0086519B" w:rsidRDefault="0086519B" w:rsidP="0086519B">
            <w:pPr>
              <w:pStyle w:val="Bulletleft1"/>
              <w:numPr>
                <w:ilvl w:val="0"/>
                <w:numId w:val="31"/>
              </w:numPr>
              <w:spacing w:line="240" w:lineRule="auto"/>
              <w:jc w:val="both"/>
              <w:rPr>
                <w:rFonts w:cs="Arial"/>
                <w:szCs w:val="22"/>
              </w:rPr>
            </w:pPr>
            <w:r>
              <w:rPr>
                <w:rFonts w:cs="Arial"/>
                <w:sz w:val="22"/>
                <w:szCs w:val="22"/>
              </w:rPr>
              <w:t>address the reasons why someone might find it difficult to lose weight</w:t>
            </w:r>
          </w:p>
          <w:p w:rsidR="0086519B" w:rsidRDefault="0086519B" w:rsidP="0086519B">
            <w:pPr>
              <w:pStyle w:val="Bulletleft1"/>
              <w:numPr>
                <w:ilvl w:val="0"/>
                <w:numId w:val="31"/>
              </w:numPr>
              <w:spacing w:line="240" w:lineRule="auto"/>
              <w:jc w:val="both"/>
              <w:rPr>
                <w:rFonts w:cs="Arial"/>
                <w:szCs w:val="22"/>
              </w:rPr>
            </w:pPr>
            <w:r>
              <w:rPr>
                <w:rFonts w:cs="Arial"/>
                <w:sz w:val="22"/>
                <w:szCs w:val="22"/>
              </w:rPr>
              <w:t xml:space="preserve">be tailored to individual needs and choices </w:t>
            </w:r>
          </w:p>
          <w:p w:rsidR="0086519B" w:rsidRDefault="0086519B" w:rsidP="0086519B">
            <w:pPr>
              <w:pStyle w:val="Bulletleft1"/>
              <w:numPr>
                <w:ilvl w:val="0"/>
                <w:numId w:val="31"/>
              </w:numPr>
              <w:spacing w:line="240" w:lineRule="auto"/>
              <w:jc w:val="both"/>
              <w:rPr>
                <w:rFonts w:cs="Arial"/>
                <w:szCs w:val="22"/>
              </w:rPr>
            </w:pPr>
            <w:r>
              <w:rPr>
                <w:rFonts w:cs="Arial"/>
                <w:sz w:val="22"/>
                <w:szCs w:val="22"/>
              </w:rPr>
              <w:t>be sensitive to the person’s weight concerns</w:t>
            </w:r>
          </w:p>
          <w:p w:rsidR="0086519B" w:rsidRDefault="0086519B" w:rsidP="0086519B">
            <w:pPr>
              <w:pStyle w:val="Bulletleft1"/>
              <w:numPr>
                <w:ilvl w:val="0"/>
                <w:numId w:val="31"/>
              </w:numPr>
              <w:spacing w:line="240" w:lineRule="auto"/>
              <w:jc w:val="both"/>
              <w:rPr>
                <w:rFonts w:cs="Arial"/>
                <w:szCs w:val="22"/>
              </w:rPr>
            </w:pPr>
            <w:r>
              <w:rPr>
                <w:rFonts w:cs="Arial"/>
                <w:sz w:val="22"/>
                <w:szCs w:val="22"/>
              </w:rPr>
              <w:t>be based on a balanced, healthy diet</w:t>
            </w:r>
          </w:p>
          <w:p w:rsidR="0086519B" w:rsidRDefault="0086519B" w:rsidP="0086519B">
            <w:pPr>
              <w:pStyle w:val="Bulletleft1"/>
              <w:numPr>
                <w:ilvl w:val="0"/>
                <w:numId w:val="31"/>
              </w:numPr>
              <w:spacing w:line="240" w:lineRule="auto"/>
              <w:jc w:val="both"/>
              <w:rPr>
                <w:rFonts w:cs="Arial"/>
                <w:szCs w:val="22"/>
              </w:rPr>
            </w:pPr>
            <w:r>
              <w:rPr>
                <w:rFonts w:cs="Arial"/>
                <w:sz w:val="22"/>
                <w:szCs w:val="22"/>
              </w:rPr>
              <w:t>encourage regular physical activity</w:t>
            </w:r>
          </w:p>
          <w:p w:rsidR="0086519B" w:rsidRDefault="0086519B" w:rsidP="0086519B">
            <w:pPr>
              <w:pStyle w:val="Bulletleft1"/>
              <w:numPr>
                <w:ilvl w:val="0"/>
                <w:numId w:val="31"/>
              </w:numPr>
              <w:spacing w:line="240" w:lineRule="auto"/>
              <w:jc w:val="both"/>
              <w:rPr>
                <w:rFonts w:cs="Arial"/>
                <w:szCs w:val="22"/>
              </w:rPr>
            </w:pPr>
            <w:r>
              <w:rPr>
                <w:rFonts w:cs="Arial"/>
                <w:sz w:val="22"/>
                <w:szCs w:val="22"/>
              </w:rPr>
              <w:t>support people to lose no more than 0.5–1 kg (1–2 lb) a week;</w:t>
            </w:r>
            <w:r>
              <w:rPr>
                <w:rFonts w:cs="Arial"/>
                <w:sz w:val="22"/>
                <w:szCs w:val="22"/>
                <w:vertAlign w:val="superscript"/>
              </w:rPr>
              <w:t xml:space="preserve"> </w:t>
            </w:r>
            <w:r>
              <w:rPr>
                <w:rFonts w:cs="Arial"/>
                <w:sz w:val="22"/>
                <w:szCs w:val="22"/>
              </w:rPr>
              <w:t>approximately 5–10% of their original weight</w:t>
            </w:r>
          </w:p>
          <w:p w:rsidR="0086519B" w:rsidRDefault="0086519B" w:rsidP="0086519B">
            <w:pPr>
              <w:pStyle w:val="Bulletleft1last"/>
              <w:numPr>
                <w:ilvl w:val="0"/>
                <w:numId w:val="31"/>
              </w:numPr>
              <w:spacing w:after="0" w:line="240" w:lineRule="auto"/>
              <w:jc w:val="both"/>
              <w:rPr>
                <w:szCs w:val="22"/>
              </w:rPr>
            </w:pPr>
            <w:r>
              <w:rPr>
                <w:sz w:val="22"/>
                <w:szCs w:val="22"/>
                <w:lang w:val="en-GB"/>
              </w:rPr>
              <w:t>identify and address barriers to change.</w:t>
            </w:r>
          </w:p>
          <w:p w:rsidR="0086519B" w:rsidRDefault="0086519B" w:rsidP="0086519B">
            <w:pPr>
              <w:pStyle w:val="Bulletleft1last"/>
              <w:numPr>
                <w:ilvl w:val="0"/>
                <w:numId w:val="31"/>
              </w:numPr>
              <w:spacing w:after="0" w:line="240" w:lineRule="auto"/>
              <w:jc w:val="both"/>
              <w:rPr>
                <w:szCs w:val="22"/>
              </w:rPr>
            </w:pPr>
            <w:r>
              <w:rPr>
                <w:sz w:val="22"/>
                <w:szCs w:val="22"/>
              </w:rPr>
              <w:t>focus on long-term lifestyle changes rather than a short-term, quick-fix approach</w:t>
            </w:r>
          </w:p>
          <w:p w:rsidR="0086519B" w:rsidRDefault="0086519B" w:rsidP="0086519B">
            <w:pPr>
              <w:pStyle w:val="Bulletleft1last"/>
              <w:numPr>
                <w:ilvl w:val="0"/>
                <w:numId w:val="31"/>
              </w:numPr>
              <w:spacing w:after="0" w:line="240" w:lineRule="auto"/>
              <w:jc w:val="both"/>
              <w:rPr>
                <w:szCs w:val="22"/>
              </w:rPr>
            </w:pPr>
            <w:r>
              <w:rPr>
                <w:sz w:val="22"/>
                <w:szCs w:val="22"/>
              </w:rPr>
              <w:t xml:space="preserve">include some </w:t>
            </w:r>
            <w:proofErr w:type="spellStart"/>
            <w:r>
              <w:rPr>
                <w:sz w:val="22"/>
                <w:szCs w:val="22"/>
              </w:rPr>
              <w:t>behaviour</w:t>
            </w:r>
            <w:proofErr w:type="spellEnd"/>
            <w:r>
              <w:rPr>
                <w:sz w:val="22"/>
                <w:szCs w:val="22"/>
              </w:rPr>
              <w:t xml:space="preserve">-change techniques, such as keeping a diary and advice on how to cope with ‘lapses’ and ‘high-risk’ situations </w:t>
            </w:r>
          </w:p>
          <w:p w:rsidR="0086519B" w:rsidRDefault="0086519B" w:rsidP="0086519B">
            <w:pPr>
              <w:pStyle w:val="Bulletleft1last"/>
              <w:numPr>
                <w:ilvl w:val="0"/>
                <w:numId w:val="31"/>
              </w:numPr>
              <w:spacing w:after="0" w:line="240" w:lineRule="auto"/>
              <w:jc w:val="both"/>
              <w:rPr>
                <w:szCs w:val="22"/>
              </w:rPr>
            </w:pPr>
            <w:r>
              <w:rPr>
                <w:sz w:val="22"/>
                <w:szCs w:val="22"/>
              </w:rPr>
              <w:t>recommend and/or provide ongoing support (including appropriate written materials)</w:t>
            </w:r>
          </w:p>
          <w:p w:rsidR="0086519B" w:rsidRDefault="0086519B">
            <w:pPr>
              <w:pStyle w:val="Bulletleft1last"/>
              <w:numPr>
                <w:ilvl w:val="0"/>
                <w:numId w:val="0"/>
              </w:numPr>
              <w:tabs>
                <w:tab w:val="left" w:pos="720"/>
              </w:tabs>
              <w:spacing w:after="0" w:line="240" w:lineRule="auto"/>
              <w:jc w:val="both"/>
              <w:rPr>
                <w:szCs w:val="22"/>
              </w:rPr>
            </w:pPr>
          </w:p>
          <w:p w:rsidR="0086519B" w:rsidRDefault="0086519B">
            <w:pPr>
              <w:spacing w:line="276" w:lineRule="auto"/>
              <w:rPr>
                <w:rFonts w:cs="Arial"/>
                <w:b/>
                <w:bCs/>
                <w:color w:val="339966"/>
                <w:szCs w:val="22"/>
              </w:rPr>
            </w:pPr>
            <w:r>
              <w:rPr>
                <w:rFonts w:cs="Arial"/>
                <w:b/>
                <w:bCs/>
                <w:color w:val="339966"/>
                <w:sz w:val="22"/>
                <w:szCs w:val="22"/>
              </w:rPr>
              <w:t>3.3 Population covered</w:t>
            </w:r>
          </w:p>
          <w:p w:rsidR="0086519B" w:rsidRDefault="0086519B">
            <w:pPr>
              <w:spacing w:line="276" w:lineRule="auto"/>
              <w:rPr>
                <w:rFonts w:cs="Arial"/>
                <w:b/>
                <w:bCs/>
                <w:color w:val="339966"/>
                <w:szCs w:val="22"/>
              </w:rPr>
            </w:pPr>
          </w:p>
          <w:p w:rsidR="0086519B" w:rsidRDefault="0086519B">
            <w:pPr>
              <w:pStyle w:val="CM16"/>
              <w:spacing w:line="276" w:lineRule="auto"/>
              <w:rPr>
                <w:rFonts w:ascii="Arial" w:hAnsi="Arial" w:cs="Arial"/>
                <w:sz w:val="22"/>
                <w:szCs w:val="22"/>
                <w:lang w:eastAsia="en-US"/>
              </w:rPr>
            </w:pPr>
            <w:r>
              <w:rPr>
                <w:rFonts w:ascii="Arial" w:hAnsi="Arial" w:cs="Arial"/>
                <w:sz w:val="22"/>
                <w:szCs w:val="22"/>
                <w:lang w:eastAsia="en-US"/>
              </w:rPr>
              <w:t xml:space="preserve">To be eligible for Counterweight patient must:– </w:t>
            </w:r>
          </w:p>
          <w:p w:rsidR="0086519B" w:rsidRDefault="0086519B" w:rsidP="0086519B">
            <w:pPr>
              <w:pStyle w:val="Default"/>
              <w:numPr>
                <w:ilvl w:val="0"/>
                <w:numId w:val="32"/>
              </w:numPr>
              <w:spacing w:line="276" w:lineRule="auto"/>
              <w:rPr>
                <w:rFonts w:ascii="Arial" w:hAnsi="Arial" w:cs="Arial"/>
                <w:color w:val="auto"/>
                <w:sz w:val="22"/>
                <w:szCs w:val="22"/>
                <w:lang w:eastAsia="en-US"/>
              </w:rPr>
            </w:pPr>
            <w:r>
              <w:rPr>
                <w:rFonts w:ascii="Arial" w:hAnsi="Arial" w:cs="Arial"/>
                <w:color w:val="auto"/>
                <w:sz w:val="22"/>
                <w:szCs w:val="22"/>
                <w:lang w:eastAsia="en-US"/>
              </w:rPr>
              <w:t>Be a resident or work within the Metropolitan Borough of Dudley.</w:t>
            </w:r>
          </w:p>
          <w:p w:rsidR="0086519B" w:rsidRDefault="0086519B" w:rsidP="0086519B">
            <w:pPr>
              <w:pStyle w:val="Default"/>
              <w:numPr>
                <w:ilvl w:val="0"/>
                <w:numId w:val="32"/>
              </w:numPr>
              <w:spacing w:line="276" w:lineRule="auto"/>
              <w:rPr>
                <w:rFonts w:ascii="Arial" w:hAnsi="Arial" w:cs="Arial"/>
                <w:color w:val="auto"/>
                <w:sz w:val="22"/>
                <w:szCs w:val="22"/>
                <w:lang w:eastAsia="en-US"/>
              </w:rPr>
            </w:pPr>
            <w:r>
              <w:rPr>
                <w:rFonts w:ascii="Arial" w:hAnsi="Arial" w:cs="Arial"/>
                <w:color w:val="auto"/>
                <w:sz w:val="22"/>
                <w:szCs w:val="22"/>
                <w:lang w:eastAsia="en-US"/>
              </w:rPr>
              <w:t>Have a BMI above 30 or above BMI 27.5 (for patients of South Asian origin) or BMI of 28 or 23 (South Asian origin) with co morbidities.</w:t>
            </w:r>
          </w:p>
          <w:p w:rsidR="0086519B" w:rsidRDefault="0086519B" w:rsidP="0086519B">
            <w:pPr>
              <w:pStyle w:val="Default"/>
              <w:numPr>
                <w:ilvl w:val="0"/>
                <w:numId w:val="32"/>
              </w:numPr>
              <w:spacing w:line="276" w:lineRule="auto"/>
              <w:rPr>
                <w:rFonts w:ascii="Arial" w:hAnsi="Arial" w:cs="Arial"/>
                <w:color w:val="auto"/>
                <w:sz w:val="22"/>
                <w:szCs w:val="22"/>
                <w:lang w:eastAsia="en-US"/>
              </w:rPr>
            </w:pPr>
            <w:r>
              <w:rPr>
                <w:rFonts w:ascii="Arial" w:hAnsi="Arial" w:cs="Arial"/>
                <w:color w:val="auto"/>
                <w:sz w:val="22"/>
                <w:szCs w:val="22"/>
                <w:lang w:eastAsia="en-US"/>
              </w:rPr>
              <w:t xml:space="preserve">Have stated that a group intervention is not suitable. </w:t>
            </w:r>
          </w:p>
          <w:p w:rsidR="0086519B" w:rsidRDefault="0086519B">
            <w:pPr>
              <w:spacing w:line="276" w:lineRule="auto"/>
              <w:rPr>
                <w:rFonts w:cs="Arial"/>
                <w:b/>
                <w:bCs/>
                <w:color w:val="339966"/>
                <w:szCs w:val="22"/>
              </w:rPr>
            </w:pPr>
          </w:p>
          <w:p w:rsidR="0086519B" w:rsidRDefault="0086519B">
            <w:pPr>
              <w:spacing w:line="276" w:lineRule="auto"/>
              <w:rPr>
                <w:rFonts w:cs="Arial"/>
                <w:b/>
                <w:bCs/>
                <w:color w:val="339966"/>
                <w:szCs w:val="22"/>
              </w:rPr>
            </w:pPr>
            <w:r>
              <w:rPr>
                <w:rFonts w:cs="Arial"/>
                <w:b/>
                <w:bCs/>
                <w:color w:val="339966"/>
                <w:sz w:val="22"/>
                <w:szCs w:val="22"/>
              </w:rPr>
              <w:t xml:space="preserve">3.4 Any acceptance and exclusion criteria and thresholds </w:t>
            </w:r>
          </w:p>
          <w:p w:rsidR="0086519B" w:rsidRDefault="0086519B">
            <w:pPr>
              <w:spacing w:line="276" w:lineRule="auto"/>
              <w:rPr>
                <w:rFonts w:cs="Arial"/>
                <w:bCs/>
                <w:szCs w:val="22"/>
              </w:rPr>
            </w:pPr>
          </w:p>
          <w:p w:rsidR="0086519B" w:rsidRDefault="0086519B">
            <w:pPr>
              <w:spacing w:line="276" w:lineRule="auto"/>
              <w:rPr>
                <w:rFonts w:cs="Arial"/>
                <w:bCs/>
                <w:szCs w:val="22"/>
              </w:rPr>
            </w:pPr>
            <w:r>
              <w:rPr>
                <w:rFonts w:cs="Arial"/>
                <w:bCs/>
                <w:sz w:val="22"/>
                <w:szCs w:val="22"/>
              </w:rPr>
              <w:t>The Weight Management Service provide a range of weight management services.  Patients are only eligible for referral into one service at a time.</w:t>
            </w:r>
          </w:p>
          <w:p w:rsidR="0086519B" w:rsidRDefault="0086519B">
            <w:pPr>
              <w:spacing w:line="276" w:lineRule="auto"/>
              <w:rPr>
                <w:rFonts w:cs="Arial"/>
                <w:bCs/>
                <w:szCs w:val="22"/>
              </w:rPr>
            </w:pPr>
          </w:p>
          <w:p w:rsidR="0086519B" w:rsidRDefault="0086519B">
            <w:pPr>
              <w:spacing w:line="276" w:lineRule="auto"/>
              <w:rPr>
                <w:rFonts w:cs="Arial"/>
                <w:b/>
                <w:bCs/>
                <w:color w:val="339966"/>
                <w:szCs w:val="22"/>
              </w:rPr>
            </w:pPr>
            <w:r>
              <w:rPr>
                <w:rFonts w:cs="Arial"/>
                <w:b/>
                <w:bCs/>
                <w:color w:val="339966"/>
                <w:sz w:val="22"/>
                <w:szCs w:val="22"/>
              </w:rPr>
              <w:t>3.5 Interdependencies with other services</w:t>
            </w:r>
          </w:p>
          <w:p w:rsidR="0086519B" w:rsidRDefault="0086519B">
            <w:pPr>
              <w:spacing w:line="276" w:lineRule="auto"/>
              <w:rPr>
                <w:rFonts w:cs="Arial"/>
                <w:b/>
                <w:bCs/>
                <w:color w:val="339966"/>
                <w:szCs w:val="22"/>
              </w:rPr>
            </w:pPr>
          </w:p>
          <w:p w:rsidR="0086519B" w:rsidRDefault="0086519B">
            <w:pPr>
              <w:spacing w:line="276" w:lineRule="auto"/>
              <w:rPr>
                <w:rFonts w:eastAsia="MS ??" w:cs="Arial"/>
                <w:bCs/>
                <w:szCs w:val="22"/>
              </w:rPr>
            </w:pPr>
            <w:r>
              <w:rPr>
                <w:rFonts w:cs="Arial"/>
                <w:b/>
                <w:bCs/>
                <w:color w:val="339966"/>
                <w:sz w:val="22"/>
                <w:szCs w:val="22"/>
              </w:rPr>
              <w:t>3.6 Any activity planning assumptions</w:t>
            </w:r>
            <w:r>
              <w:rPr>
                <w:rFonts w:eastAsia="MS ??" w:cs="Arial"/>
                <w:bCs/>
                <w:sz w:val="22"/>
                <w:szCs w:val="22"/>
              </w:rPr>
              <w:t xml:space="preserve"> </w:t>
            </w:r>
          </w:p>
          <w:p w:rsidR="0086519B" w:rsidRDefault="0086519B">
            <w:pPr>
              <w:pStyle w:val="BodyText"/>
              <w:spacing w:line="276" w:lineRule="auto"/>
              <w:jc w:val="both"/>
              <w:rPr>
                <w:bCs/>
              </w:rPr>
            </w:pPr>
          </w:p>
          <w:p w:rsidR="0086519B" w:rsidRDefault="0086519B">
            <w:pPr>
              <w:pStyle w:val="BodyText"/>
              <w:spacing w:line="276" w:lineRule="auto"/>
              <w:jc w:val="both"/>
              <w:rPr>
                <w:bCs/>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86519B" w:rsidRDefault="0086519B">
            <w:pPr>
              <w:pStyle w:val="BodyText"/>
              <w:spacing w:line="276" w:lineRule="auto"/>
              <w:jc w:val="both"/>
              <w:rPr>
                <w:b/>
                <w:color w:val="FFFFFF"/>
                <w:sz w:val="10"/>
                <w:szCs w:val="10"/>
              </w:rPr>
            </w:pPr>
          </w:p>
          <w:p w:rsidR="0086519B" w:rsidRDefault="0086519B">
            <w:pPr>
              <w:pStyle w:val="BodyText"/>
              <w:spacing w:line="276" w:lineRule="auto"/>
              <w:jc w:val="both"/>
              <w:rPr>
                <w:b/>
                <w:color w:val="FFFFFF"/>
                <w:sz w:val="20"/>
                <w:szCs w:val="20"/>
              </w:rPr>
            </w:pPr>
            <w:r>
              <w:rPr>
                <w:b/>
                <w:color w:val="FFFFFF"/>
                <w:sz w:val="20"/>
                <w:szCs w:val="20"/>
              </w:rPr>
              <w:t xml:space="preserve">4. Applicable Service Standards </w:t>
            </w:r>
          </w:p>
          <w:p w:rsidR="0086519B" w:rsidRDefault="0086519B">
            <w:pPr>
              <w:pStyle w:val="BodyText"/>
              <w:spacing w:line="276" w:lineRule="auto"/>
              <w:jc w:val="both"/>
              <w:rPr>
                <w:b/>
                <w:color w:val="FFFFFF"/>
                <w:sz w:val="10"/>
                <w:szCs w:val="10"/>
              </w:rPr>
            </w:pPr>
          </w:p>
        </w:tc>
      </w:tr>
      <w:tr w:rsidR="0086519B" w:rsidTr="0086519B">
        <w:trPr>
          <w:trHeight w:val="1904"/>
        </w:trPr>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pStyle w:val="BodyText"/>
              <w:spacing w:line="276" w:lineRule="auto"/>
              <w:jc w:val="both"/>
              <w:rPr>
                <w:color w:val="FFFFFF"/>
                <w:sz w:val="20"/>
                <w:szCs w:val="20"/>
              </w:rPr>
            </w:pPr>
          </w:p>
          <w:p w:rsidR="0086519B" w:rsidRDefault="0086519B">
            <w:pPr>
              <w:spacing w:line="276" w:lineRule="auto"/>
              <w:rPr>
                <w:rFonts w:cs="Arial"/>
                <w:bCs/>
                <w:color w:val="339966"/>
                <w:szCs w:val="22"/>
              </w:rPr>
            </w:pPr>
            <w:r>
              <w:rPr>
                <w:rFonts w:ascii="Arial Bold" w:hAnsi="Arial Bold" w:cs="Arial Bold"/>
                <w:bCs/>
                <w:color w:val="339966"/>
                <w:sz w:val="20"/>
              </w:rPr>
              <w:t xml:space="preserve">4.1 </w:t>
            </w:r>
            <w:r>
              <w:rPr>
                <w:rFonts w:cs="Arial"/>
                <w:bCs/>
                <w:color w:val="339966"/>
                <w:sz w:val="22"/>
                <w:szCs w:val="22"/>
              </w:rPr>
              <w:t xml:space="preserve">Applicable national standards </w:t>
            </w:r>
            <w:proofErr w:type="spellStart"/>
            <w:r>
              <w:rPr>
                <w:rFonts w:cs="Arial"/>
                <w:bCs/>
                <w:color w:val="339966"/>
                <w:sz w:val="22"/>
                <w:szCs w:val="22"/>
              </w:rPr>
              <w:t>eg</w:t>
            </w:r>
            <w:proofErr w:type="spellEnd"/>
            <w:r>
              <w:rPr>
                <w:rFonts w:cs="Arial"/>
                <w:bCs/>
                <w:color w:val="339966"/>
                <w:sz w:val="22"/>
                <w:szCs w:val="22"/>
              </w:rPr>
              <w:t xml:space="preserve"> </w:t>
            </w:r>
            <w:smartTag w:uri="urn:schemas-microsoft-com:office:smarttags" w:element="stockticker">
              <w:r>
                <w:rPr>
                  <w:rFonts w:cs="Arial"/>
                  <w:bCs/>
                  <w:color w:val="339966"/>
                  <w:sz w:val="22"/>
                  <w:szCs w:val="22"/>
                </w:rPr>
                <w:t>NICE</w:t>
              </w:r>
            </w:smartTag>
          </w:p>
          <w:p w:rsidR="0086519B" w:rsidRDefault="0086519B">
            <w:pPr>
              <w:spacing w:line="276" w:lineRule="auto"/>
              <w:rPr>
                <w:rFonts w:cs="Arial"/>
                <w:bCs/>
                <w:color w:val="339966"/>
                <w:szCs w:val="22"/>
              </w:rPr>
            </w:pPr>
            <w:r>
              <w:rPr>
                <w:rFonts w:cs="Arial"/>
                <w:sz w:val="22"/>
                <w:szCs w:val="22"/>
              </w:rPr>
              <w:t>Enable more people to be achieve the recommended 5-10% weight loss target set out by NICE weight management guidelines.</w:t>
            </w:r>
          </w:p>
          <w:p w:rsidR="0086519B" w:rsidRDefault="0086519B">
            <w:pPr>
              <w:spacing w:line="276" w:lineRule="auto"/>
              <w:rPr>
                <w:rFonts w:cs="Arial"/>
                <w:bCs/>
                <w:color w:val="339966"/>
                <w:szCs w:val="22"/>
              </w:rPr>
            </w:pPr>
          </w:p>
          <w:p w:rsidR="0086519B" w:rsidRDefault="0086519B">
            <w:pPr>
              <w:spacing w:line="276" w:lineRule="auto"/>
              <w:rPr>
                <w:rFonts w:cs="Arial"/>
                <w:bCs/>
                <w:color w:val="339966"/>
                <w:szCs w:val="22"/>
              </w:rPr>
            </w:pPr>
          </w:p>
          <w:p w:rsidR="0086519B" w:rsidRDefault="0086519B">
            <w:pPr>
              <w:spacing w:line="276" w:lineRule="auto"/>
              <w:rPr>
                <w:rFonts w:cs="Arial"/>
                <w:bCs/>
                <w:color w:val="339966"/>
                <w:szCs w:val="22"/>
              </w:rPr>
            </w:pPr>
            <w:r>
              <w:rPr>
                <w:rFonts w:cs="Arial"/>
                <w:bCs/>
                <w:color w:val="339966"/>
                <w:sz w:val="22"/>
                <w:szCs w:val="22"/>
              </w:rPr>
              <w:t>4.2 Applicable local standards</w:t>
            </w:r>
          </w:p>
          <w:p w:rsidR="0086519B" w:rsidRDefault="0086519B" w:rsidP="0086519B">
            <w:pPr>
              <w:pStyle w:val="BodyText"/>
              <w:numPr>
                <w:ilvl w:val="0"/>
                <w:numId w:val="33"/>
              </w:numPr>
              <w:spacing w:line="276" w:lineRule="auto"/>
              <w:jc w:val="both"/>
            </w:pPr>
            <w:r>
              <w:t>The local standard operating procedure and Counterweight Programme Reference Manual must be used for delivery of this service</w:t>
            </w:r>
          </w:p>
          <w:p w:rsidR="0086519B" w:rsidRDefault="0086519B" w:rsidP="0086519B">
            <w:pPr>
              <w:pStyle w:val="ListParagraph"/>
              <w:numPr>
                <w:ilvl w:val="0"/>
                <w:numId w:val="29"/>
              </w:numPr>
              <w:autoSpaceDE w:val="0"/>
              <w:autoSpaceDN w:val="0"/>
              <w:adjustRightInd w:val="0"/>
              <w:spacing w:before="120" w:after="120" w:line="276" w:lineRule="auto"/>
              <w:rPr>
                <w:rFonts w:cs="Arial"/>
                <w:szCs w:val="22"/>
              </w:rPr>
            </w:pPr>
            <w:r>
              <w:rPr>
                <w:rFonts w:cs="Arial"/>
                <w:sz w:val="22"/>
                <w:szCs w:val="22"/>
              </w:rPr>
              <w:t>Providers will meet all national and local standards of service quality and clinical governance including those set out in Standards for Better Health</w:t>
            </w:r>
            <w:hyperlink w:history="1"/>
            <w:r>
              <w:rPr>
                <w:rFonts w:cs="Arial"/>
                <w:sz w:val="22"/>
                <w:szCs w:val="22"/>
              </w:rPr>
              <w:t xml:space="preserve"> . </w:t>
            </w:r>
          </w:p>
          <w:p w:rsidR="0086519B" w:rsidRDefault="0086519B" w:rsidP="0086519B">
            <w:pPr>
              <w:pStyle w:val="ListParagraph"/>
              <w:numPr>
                <w:ilvl w:val="0"/>
                <w:numId w:val="29"/>
              </w:numPr>
              <w:spacing w:before="120" w:after="120" w:line="276" w:lineRule="auto"/>
              <w:rPr>
                <w:rFonts w:cs="Arial"/>
                <w:szCs w:val="22"/>
              </w:rPr>
            </w:pPr>
            <w:r>
              <w:rPr>
                <w:rFonts w:cs="Arial"/>
                <w:sz w:val="22"/>
                <w:szCs w:val="22"/>
              </w:rPr>
              <w:t>Any communications strategy or provision should be coherent with and follow local policies and the NHS Confidentiality Code of Practice, vulnerable adult protection procedures, and should outline the mechanisms to safeguard patient information when shared within an integrated service. Procedures should be put in place to obtain patient consent for the onward transmission of their records.   Providers should comply with the Dudley Local Authority policies on secure data transmission.</w:t>
            </w:r>
          </w:p>
          <w:p w:rsidR="0086519B" w:rsidRDefault="0086519B" w:rsidP="0086519B">
            <w:pPr>
              <w:pStyle w:val="ListParagraph"/>
              <w:numPr>
                <w:ilvl w:val="0"/>
                <w:numId w:val="29"/>
              </w:numPr>
              <w:spacing w:before="120" w:after="120" w:line="276" w:lineRule="auto"/>
              <w:rPr>
                <w:rFonts w:cs="Arial"/>
                <w:szCs w:val="22"/>
              </w:rPr>
            </w:pPr>
            <w:r>
              <w:rPr>
                <w:rFonts w:cs="Arial"/>
                <w:sz w:val="22"/>
                <w:szCs w:val="22"/>
              </w:rPr>
              <w:t>Dudley Obesity Strategy</w:t>
            </w:r>
          </w:p>
          <w:p w:rsidR="0086519B" w:rsidRDefault="0086519B">
            <w:pPr>
              <w:pStyle w:val="BodyText"/>
              <w:spacing w:line="276" w:lineRule="auto"/>
              <w:jc w:val="both"/>
              <w:rPr>
                <w:color w:val="FFFFFF"/>
                <w:sz w:val="20"/>
                <w:szCs w:val="2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86519B" w:rsidRDefault="0086519B">
            <w:pPr>
              <w:pStyle w:val="BodyText"/>
              <w:spacing w:line="276" w:lineRule="auto"/>
              <w:jc w:val="both"/>
              <w:rPr>
                <w:b/>
                <w:color w:val="FFFFFF"/>
                <w:sz w:val="10"/>
                <w:szCs w:val="10"/>
                <w:u w:val="single"/>
              </w:rPr>
            </w:pPr>
          </w:p>
          <w:p w:rsidR="0086519B" w:rsidRDefault="0086519B">
            <w:pPr>
              <w:pStyle w:val="BodyText"/>
              <w:spacing w:line="276" w:lineRule="auto"/>
              <w:jc w:val="both"/>
              <w:rPr>
                <w:b/>
                <w:color w:val="FFFFFF"/>
                <w:sz w:val="20"/>
                <w:szCs w:val="20"/>
              </w:rPr>
            </w:pPr>
            <w:r>
              <w:rPr>
                <w:b/>
                <w:color w:val="FFFFFF"/>
                <w:sz w:val="20"/>
                <w:szCs w:val="20"/>
              </w:rPr>
              <w:t>5.  Location of Provider Premises</w:t>
            </w:r>
          </w:p>
          <w:p w:rsidR="0086519B" w:rsidRDefault="0086519B">
            <w:pPr>
              <w:pStyle w:val="BodyText"/>
              <w:spacing w:line="276" w:lineRule="auto"/>
              <w:jc w:val="both"/>
              <w:rPr>
                <w:b/>
                <w:color w:val="FFFFFF"/>
                <w:sz w:val="10"/>
                <w:szCs w:val="10"/>
                <w:u w:val="single"/>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pStyle w:val="BodyText"/>
              <w:spacing w:line="276" w:lineRule="auto"/>
              <w:jc w:val="both"/>
              <w:rPr>
                <w:sz w:val="20"/>
                <w:szCs w:val="20"/>
              </w:rPr>
            </w:pPr>
          </w:p>
          <w:p w:rsidR="0086519B" w:rsidRDefault="0086519B">
            <w:pPr>
              <w:pStyle w:val="BodyText"/>
              <w:spacing w:line="276" w:lineRule="auto"/>
              <w:jc w:val="both"/>
              <w:rPr>
                <w:b/>
                <w:color w:val="339966"/>
                <w:sz w:val="20"/>
                <w:szCs w:val="20"/>
              </w:rPr>
            </w:pPr>
            <w:r>
              <w:rPr>
                <w:b/>
                <w:color w:val="339966"/>
                <w:sz w:val="20"/>
                <w:szCs w:val="20"/>
              </w:rPr>
              <w:t xml:space="preserve">The Provider’s Premises are located at: </w:t>
            </w:r>
          </w:p>
          <w:p w:rsidR="0086519B" w:rsidRDefault="0086519B">
            <w:pPr>
              <w:pStyle w:val="BodyText"/>
              <w:spacing w:line="276" w:lineRule="auto"/>
              <w:jc w:val="both"/>
            </w:pPr>
          </w:p>
          <w:p w:rsidR="0086519B" w:rsidRDefault="0086519B" w:rsidP="0086519B">
            <w:pPr>
              <w:pStyle w:val="BodyText"/>
              <w:numPr>
                <w:ilvl w:val="0"/>
                <w:numId w:val="33"/>
              </w:numPr>
              <w:spacing w:line="276" w:lineRule="auto"/>
              <w:jc w:val="both"/>
            </w:pPr>
            <w:r>
              <w:t>Pharmacies and GP Practices across Dudley Borough</w:t>
            </w:r>
          </w:p>
          <w:p w:rsidR="0086519B" w:rsidRDefault="0086519B">
            <w:pPr>
              <w:pStyle w:val="BodyText"/>
              <w:spacing w:line="276" w:lineRule="auto"/>
              <w:jc w:val="both"/>
              <w:rPr>
                <w:b/>
                <w:bCs/>
                <w:sz w:val="20"/>
                <w:szCs w:val="2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shd w:val="clear" w:color="auto" w:fill="808080"/>
          </w:tcPr>
          <w:p w:rsidR="0086519B" w:rsidRDefault="0086519B">
            <w:pPr>
              <w:pStyle w:val="BodyText"/>
              <w:spacing w:line="276" w:lineRule="auto"/>
              <w:jc w:val="both"/>
              <w:rPr>
                <w:b/>
                <w:color w:val="FFFFFF"/>
                <w:sz w:val="20"/>
                <w:szCs w:val="20"/>
              </w:rPr>
            </w:pPr>
          </w:p>
          <w:p w:rsidR="0086519B" w:rsidRDefault="0086519B">
            <w:pPr>
              <w:pStyle w:val="BodyText"/>
              <w:spacing w:line="276" w:lineRule="auto"/>
              <w:jc w:val="both"/>
              <w:rPr>
                <w:b/>
                <w:color w:val="FFFFFF"/>
                <w:sz w:val="20"/>
                <w:szCs w:val="20"/>
              </w:rPr>
            </w:pPr>
            <w:r>
              <w:rPr>
                <w:b/>
                <w:color w:val="FFFFFF"/>
                <w:sz w:val="20"/>
                <w:szCs w:val="20"/>
              </w:rPr>
              <w:t>6. Required Insurances</w:t>
            </w:r>
          </w:p>
          <w:p w:rsidR="0086519B" w:rsidRDefault="0086519B">
            <w:pPr>
              <w:pStyle w:val="BodyText"/>
              <w:spacing w:line="276" w:lineRule="auto"/>
              <w:jc w:val="both"/>
              <w:rPr>
                <w:b/>
                <w:color w:val="FFFFFF"/>
                <w:sz w:val="20"/>
                <w:szCs w:val="20"/>
              </w:rPr>
            </w:pPr>
          </w:p>
        </w:tc>
      </w:tr>
      <w:tr w:rsidR="0086519B" w:rsidTr="0086519B">
        <w:tc>
          <w:tcPr>
            <w:tcW w:w="9238" w:type="dxa"/>
            <w:tcBorders>
              <w:top w:val="single" w:sz="4" w:space="0" w:color="999999"/>
              <w:left w:val="single" w:sz="4" w:space="0" w:color="999999"/>
              <w:bottom w:val="single" w:sz="4" w:space="0" w:color="999999"/>
              <w:right w:val="single" w:sz="4" w:space="0" w:color="999999"/>
            </w:tcBorders>
          </w:tcPr>
          <w:p w:rsidR="0086519B" w:rsidRDefault="0086519B">
            <w:pPr>
              <w:pStyle w:val="BodyText"/>
              <w:spacing w:line="276" w:lineRule="auto"/>
              <w:jc w:val="both"/>
              <w:rPr>
                <w:b/>
                <w:color w:val="339966"/>
                <w:sz w:val="20"/>
                <w:szCs w:val="20"/>
              </w:rPr>
            </w:pPr>
          </w:p>
          <w:p w:rsidR="0086519B" w:rsidRDefault="0086519B">
            <w:pPr>
              <w:pStyle w:val="BodyText"/>
              <w:spacing w:line="276" w:lineRule="auto"/>
              <w:jc w:val="both"/>
              <w:rPr>
                <w:b/>
                <w:color w:val="339966"/>
                <w:sz w:val="20"/>
                <w:szCs w:val="20"/>
              </w:rPr>
            </w:pPr>
            <w:r>
              <w:rPr>
                <w:b/>
                <w:color w:val="339966"/>
                <w:sz w:val="20"/>
                <w:szCs w:val="20"/>
              </w:rPr>
              <w:t>6.1 If required, insert types of insurances and levels of cover required</w:t>
            </w:r>
          </w:p>
          <w:p w:rsidR="0086519B" w:rsidRDefault="0086519B">
            <w:pPr>
              <w:pStyle w:val="BodyText"/>
              <w:spacing w:line="276" w:lineRule="auto"/>
              <w:jc w:val="both"/>
              <w:rPr>
                <w:color w:val="FF0000"/>
                <w:sz w:val="20"/>
                <w:szCs w:val="20"/>
              </w:rPr>
            </w:pPr>
          </w:p>
        </w:tc>
      </w:tr>
      <w:tr w:rsidR="0086519B" w:rsidTr="0086519B">
        <w:tc>
          <w:tcPr>
            <w:tcW w:w="9238" w:type="dxa"/>
            <w:tcBorders>
              <w:top w:val="nil"/>
              <w:left w:val="nil"/>
              <w:bottom w:val="nil"/>
              <w:right w:val="nil"/>
            </w:tcBorders>
          </w:tcPr>
          <w:p w:rsidR="0086519B" w:rsidRDefault="0086519B">
            <w:pPr>
              <w:pStyle w:val="BodyText"/>
              <w:spacing w:line="276" w:lineRule="auto"/>
              <w:jc w:val="both"/>
              <w:rPr>
                <w:sz w:val="20"/>
                <w:szCs w:val="20"/>
              </w:rPr>
            </w:pPr>
          </w:p>
          <w:p w:rsidR="0086519B" w:rsidRDefault="0086519B">
            <w:pPr>
              <w:pStyle w:val="BodyText"/>
              <w:spacing w:line="276" w:lineRule="auto"/>
              <w:jc w:val="both"/>
              <w:rPr>
                <w:sz w:val="20"/>
                <w:szCs w:val="20"/>
              </w:rPr>
            </w:pPr>
          </w:p>
          <w:p w:rsidR="0086519B" w:rsidRDefault="0086519B" w:rsidP="0086519B">
            <w:pPr>
              <w:pStyle w:val="BodyText"/>
              <w:jc w:val="center"/>
              <w:rPr>
                <w:b/>
                <w:sz w:val="20"/>
                <w:szCs w:val="20"/>
              </w:rPr>
            </w:pPr>
            <w:r w:rsidRPr="000027A8">
              <w:rPr>
                <w:b/>
                <w:sz w:val="20"/>
                <w:szCs w:val="20"/>
              </w:rPr>
              <w:t>APPENDIX B</w:t>
            </w:r>
          </w:p>
          <w:tbl>
            <w:tblPr>
              <w:tblW w:w="9238" w:type="dxa"/>
              <w:tblLook w:val="01E0"/>
            </w:tblPr>
            <w:tblGrid>
              <w:gridCol w:w="9142"/>
            </w:tblGrid>
            <w:tr w:rsidR="0086519B" w:rsidRPr="009E2A23" w:rsidTr="001072C5">
              <w:tc>
                <w:tcPr>
                  <w:tcW w:w="9238" w:type="dxa"/>
                </w:tcPr>
                <w:p w:rsidR="0086519B" w:rsidRPr="000027A8" w:rsidRDefault="0086519B" w:rsidP="001072C5">
                  <w:pPr>
                    <w:pStyle w:val="BodyText"/>
                    <w:jc w:val="center"/>
                    <w:rPr>
                      <w:b/>
                      <w:sz w:val="20"/>
                      <w:szCs w:val="20"/>
                    </w:rPr>
                  </w:pPr>
                </w:p>
                <w:p w:rsidR="0086519B" w:rsidRPr="000027A8" w:rsidRDefault="0086519B" w:rsidP="001072C5">
                  <w:pPr>
                    <w:pStyle w:val="BodyText"/>
                    <w:jc w:val="center"/>
                    <w:rPr>
                      <w:b/>
                      <w:sz w:val="20"/>
                      <w:szCs w:val="20"/>
                    </w:rPr>
                  </w:pPr>
                  <w:r w:rsidRPr="000027A8">
                    <w:rPr>
                      <w:b/>
                      <w:sz w:val="20"/>
                      <w:szCs w:val="20"/>
                    </w:rPr>
                    <w:t>CONDITIONS PRECEDENT</w:t>
                  </w:r>
                </w:p>
                <w:p w:rsidR="0086519B" w:rsidRDefault="0086519B" w:rsidP="001072C5">
                  <w:pPr>
                    <w:pStyle w:val="BodyText"/>
                    <w:jc w:val="both"/>
                    <w:rPr>
                      <w:sz w:val="20"/>
                      <w:szCs w:val="20"/>
                    </w:rPr>
                  </w:pPr>
                </w:p>
                <w:p w:rsidR="0086519B" w:rsidRDefault="0086519B" w:rsidP="001072C5">
                  <w:pPr>
                    <w:pStyle w:val="BodyText"/>
                    <w:numPr>
                      <w:ilvl w:val="0"/>
                      <w:numId w:val="24"/>
                    </w:numPr>
                    <w:jc w:val="both"/>
                    <w:rPr>
                      <w:sz w:val="20"/>
                      <w:szCs w:val="20"/>
                    </w:rPr>
                  </w:pPr>
                  <w:r>
                    <w:rPr>
                      <w:sz w:val="20"/>
                      <w:szCs w:val="20"/>
                    </w:rPr>
                    <w:t>Provide the Authority with a copy of the Provider’s registration with the CQC where the Provider must be so registered under the Law.</w:t>
                  </w:r>
                </w:p>
                <w:p w:rsidR="00504597" w:rsidRPr="00504597" w:rsidRDefault="00504597" w:rsidP="00504597">
                  <w:pPr>
                    <w:pStyle w:val="ListParagraph"/>
                    <w:numPr>
                      <w:ilvl w:val="0"/>
                      <w:numId w:val="24"/>
                    </w:numPr>
                    <w:rPr>
                      <w:rFonts w:cs="Arial"/>
                      <w:sz w:val="20"/>
                    </w:rPr>
                  </w:pPr>
                  <w:r w:rsidRPr="00504597">
                    <w:rPr>
                      <w:rFonts w:cs="Arial"/>
                      <w:sz w:val="20"/>
                    </w:rPr>
                    <w:t>The provider must be:</w:t>
                  </w:r>
                </w:p>
                <w:p w:rsidR="00504597" w:rsidRPr="002E2532" w:rsidRDefault="00504597" w:rsidP="00504597">
                  <w:pPr>
                    <w:ind w:left="360"/>
                    <w:rPr>
                      <w:rFonts w:cs="Arial"/>
                      <w:sz w:val="20"/>
                    </w:rPr>
                  </w:pPr>
                </w:p>
                <w:p w:rsidR="00504597" w:rsidRPr="002E2532" w:rsidRDefault="00504597" w:rsidP="00504597">
                  <w:pPr>
                    <w:numPr>
                      <w:ilvl w:val="0"/>
                      <w:numId w:val="40"/>
                    </w:numPr>
                    <w:suppressAutoHyphens w:val="0"/>
                    <w:jc w:val="left"/>
                    <w:rPr>
                      <w:rFonts w:cs="Arial"/>
                      <w:color w:val="339966"/>
                      <w:sz w:val="20"/>
                    </w:rPr>
                  </w:pPr>
                  <w:r w:rsidRPr="002E2532">
                    <w:rPr>
                      <w:rFonts w:cs="Arial"/>
                      <w:sz w:val="20"/>
                    </w:rPr>
                    <w:t>Registered with the Dudley (</w:t>
                  </w:r>
                  <w:r w:rsidRPr="002E2532">
                    <w:rPr>
                      <w:rFonts w:cs="Arial"/>
                      <w:color w:val="FF0000"/>
                      <w:sz w:val="20"/>
                    </w:rPr>
                    <w:t>NHS England Local Area Team</w:t>
                  </w:r>
                  <w:r w:rsidRPr="002E2532">
                    <w:rPr>
                      <w:rFonts w:cs="Arial"/>
                      <w:sz w:val="20"/>
                    </w:rPr>
                    <w:t xml:space="preserve">) performers list. </w:t>
                  </w:r>
                </w:p>
                <w:p w:rsidR="00504597" w:rsidRPr="002E2532" w:rsidRDefault="00504597" w:rsidP="00504597">
                  <w:pPr>
                    <w:pStyle w:val="ListParagraph"/>
                    <w:numPr>
                      <w:ilvl w:val="0"/>
                      <w:numId w:val="40"/>
                    </w:numPr>
                    <w:suppressAutoHyphens w:val="0"/>
                    <w:spacing w:after="200" w:line="276" w:lineRule="auto"/>
                    <w:contextualSpacing/>
                    <w:jc w:val="left"/>
                    <w:rPr>
                      <w:rFonts w:cs="Arial"/>
                      <w:sz w:val="20"/>
                    </w:rPr>
                  </w:pPr>
                  <w:r w:rsidRPr="002E2532">
                    <w:rPr>
                      <w:rFonts w:cs="Arial"/>
                      <w:sz w:val="20"/>
                    </w:rPr>
                    <w:t>Registered with the General Pharmaceutical Council (</w:t>
                  </w:r>
                  <w:proofErr w:type="spellStart"/>
                  <w:r w:rsidRPr="002E2532">
                    <w:rPr>
                      <w:rFonts w:cs="Arial"/>
                      <w:sz w:val="20"/>
                    </w:rPr>
                    <w:t>GPhC</w:t>
                  </w:r>
                  <w:proofErr w:type="spellEnd"/>
                  <w:r w:rsidRPr="002E2532">
                    <w:rPr>
                      <w:rFonts w:cs="Arial"/>
                      <w:sz w:val="20"/>
                    </w:rPr>
                    <w:t>).</w:t>
                  </w:r>
                </w:p>
                <w:p w:rsidR="00504597" w:rsidRPr="002E2532" w:rsidRDefault="00504597" w:rsidP="00504597">
                  <w:pPr>
                    <w:pStyle w:val="ListParagraph"/>
                    <w:numPr>
                      <w:ilvl w:val="0"/>
                      <w:numId w:val="40"/>
                    </w:numPr>
                    <w:suppressAutoHyphens w:val="0"/>
                    <w:spacing w:after="200" w:line="276" w:lineRule="auto"/>
                    <w:contextualSpacing/>
                    <w:jc w:val="left"/>
                    <w:rPr>
                      <w:rFonts w:cs="Arial"/>
                      <w:sz w:val="20"/>
                    </w:rPr>
                  </w:pPr>
                  <w:r w:rsidRPr="002E2532">
                    <w:rPr>
                      <w:rFonts w:cs="Arial"/>
                      <w:sz w:val="20"/>
                    </w:rPr>
                    <w:t xml:space="preserve">Demonstrate compliance with the standards for registered pharmacies set out by </w:t>
                  </w:r>
                  <w:proofErr w:type="spellStart"/>
                  <w:r w:rsidRPr="002E2532">
                    <w:rPr>
                      <w:rFonts w:cs="Arial"/>
                      <w:sz w:val="20"/>
                    </w:rPr>
                    <w:t>GPhC</w:t>
                  </w:r>
                  <w:proofErr w:type="spellEnd"/>
                  <w:r w:rsidRPr="002E2532">
                    <w:rPr>
                      <w:rFonts w:cs="Arial"/>
                      <w:sz w:val="20"/>
                    </w:rPr>
                    <w:t xml:space="preserve">. </w:t>
                  </w:r>
                  <w:hyperlink r:id="rId10" w:history="1">
                    <w:r w:rsidRPr="002E2532">
                      <w:rPr>
                        <w:rStyle w:val="Hyperlink"/>
                        <w:rFonts w:cs="Arial"/>
                        <w:sz w:val="20"/>
                      </w:rPr>
                      <w:t>http://www.pharmacyregulation.org/sites/default/files/Standards%20for%20registered%20pharmacies%20September%202012.pdf</w:t>
                    </w:r>
                  </w:hyperlink>
                </w:p>
                <w:p w:rsidR="00504597" w:rsidRPr="002E2532" w:rsidRDefault="00504597" w:rsidP="00504597">
                  <w:pPr>
                    <w:pStyle w:val="ListParagraph"/>
                    <w:numPr>
                      <w:ilvl w:val="0"/>
                      <w:numId w:val="40"/>
                    </w:numPr>
                    <w:suppressAutoHyphens w:val="0"/>
                    <w:spacing w:after="200" w:line="276" w:lineRule="auto"/>
                    <w:contextualSpacing/>
                    <w:jc w:val="left"/>
                    <w:rPr>
                      <w:rFonts w:cs="Arial"/>
                      <w:sz w:val="20"/>
                    </w:rPr>
                  </w:pPr>
                  <w:r w:rsidRPr="002E2532">
                    <w:rPr>
                      <w:rFonts w:cs="Arial"/>
                      <w:sz w:val="20"/>
                    </w:rPr>
                    <w:t>Demonstrate compliance with the s</w:t>
                  </w:r>
                  <w:r w:rsidRPr="002E2532">
                    <w:rPr>
                      <w:rFonts w:cs="Arial"/>
                      <w:color w:val="322719"/>
                      <w:sz w:val="20"/>
                      <w:lang w:eastAsia="en-GB"/>
                    </w:rPr>
                    <w:t xml:space="preserve">tandards of conduct, ethics and performance set by the </w:t>
                  </w:r>
                  <w:proofErr w:type="spellStart"/>
                  <w:r w:rsidRPr="002E2532">
                    <w:rPr>
                      <w:rFonts w:cs="Arial"/>
                      <w:color w:val="322719"/>
                      <w:sz w:val="20"/>
                      <w:lang w:eastAsia="en-GB"/>
                    </w:rPr>
                    <w:t>GPhC</w:t>
                  </w:r>
                  <w:proofErr w:type="spellEnd"/>
                  <w:r w:rsidRPr="002E2532">
                    <w:rPr>
                      <w:rFonts w:cs="Arial"/>
                      <w:color w:val="322719"/>
                      <w:sz w:val="20"/>
                      <w:lang w:eastAsia="en-GB"/>
                    </w:rPr>
                    <w:t>.</w:t>
                  </w:r>
                  <w:r w:rsidRPr="002E2532">
                    <w:rPr>
                      <w:sz w:val="20"/>
                    </w:rPr>
                    <w:t xml:space="preserve"> </w:t>
                  </w:r>
                  <w:hyperlink r:id="rId11" w:history="1">
                    <w:r w:rsidRPr="002E2532">
                      <w:rPr>
                        <w:rStyle w:val="Hyperlink"/>
                        <w:rFonts w:cs="Arial"/>
                        <w:sz w:val="20"/>
                        <w:lang w:eastAsia="en-GB"/>
                      </w:rPr>
                      <w:t>http://www.pharmacyregulation.org/sites/default/files/Standards%20of%20conduct%20ethics%20and%20performance%20July%202012.pdf</w:t>
                    </w:r>
                  </w:hyperlink>
                </w:p>
                <w:p w:rsidR="00504597" w:rsidRDefault="00504597" w:rsidP="00504597"/>
                <w:p w:rsidR="00504597" w:rsidRPr="0086519B" w:rsidRDefault="00504597" w:rsidP="00813D35">
                  <w:pPr>
                    <w:pStyle w:val="BodyText"/>
                    <w:ind w:left="720"/>
                    <w:jc w:val="both"/>
                    <w:rPr>
                      <w:sz w:val="20"/>
                      <w:szCs w:val="20"/>
                    </w:rPr>
                  </w:pPr>
                </w:p>
              </w:tc>
            </w:tr>
            <w:tr w:rsidR="0086519B" w:rsidRPr="009E2A23" w:rsidTr="001072C5">
              <w:tc>
                <w:tcPr>
                  <w:tcW w:w="9238" w:type="dxa"/>
                </w:tcPr>
                <w:p w:rsidR="0086519B" w:rsidRPr="00C90C25" w:rsidRDefault="0086519B" w:rsidP="001072C5">
                  <w:pPr>
                    <w:pStyle w:val="BodyText"/>
                    <w:jc w:val="both"/>
                    <w:rPr>
                      <w:sz w:val="20"/>
                      <w:szCs w:val="20"/>
                    </w:rPr>
                  </w:pPr>
                </w:p>
              </w:tc>
            </w:tr>
          </w:tbl>
          <w:p w:rsidR="0086519B" w:rsidRDefault="0086519B" w:rsidP="0086519B">
            <w:pPr>
              <w:keepNext/>
              <w:keepLines/>
              <w:rPr>
                <w:b/>
                <w:color w:val="000000"/>
                <w:sz w:val="20"/>
              </w:rPr>
            </w:pPr>
          </w:p>
          <w:p w:rsidR="0086519B" w:rsidRDefault="0086519B" w:rsidP="0086519B">
            <w:pPr>
              <w:keepNext/>
              <w:keepLines/>
              <w:ind w:left="1"/>
              <w:jc w:val="center"/>
              <w:rPr>
                <w:rFonts w:eastAsiaTheme="minorHAnsi"/>
                <w:sz w:val="20"/>
              </w:rPr>
            </w:pPr>
            <w:r>
              <w:rPr>
                <w:b/>
                <w:color w:val="000000"/>
                <w:sz w:val="20"/>
              </w:rPr>
              <w:t>APPENDIX C</w:t>
            </w:r>
          </w:p>
        </w:tc>
      </w:tr>
      <w:tr w:rsidR="0086519B" w:rsidTr="0086519B">
        <w:tc>
          <w:tcPr>
            <w:tcW w:w="9238" w:type="dxa"/>
            <w:tcBorders>
              <w:top w:val="nil"/>
              <w:left w:val="nil"/>
              <w:bottom w:val="nil"/>
              <w:right w:val="nil"/>
            </w:tcBorders>
          </w:tcPr>
          <w:p w:rsidR="0086519B" w:rsidRDefault="0086519B">
            <w:pPr>
              <w:pStyle w:val="BodyText"/>
              <w:spacing w:line="276" w:lineRule="auto"/>
              <w:jc w:val="both"/>
              <w:rPr>
                <w:sz w:val="20"/>
                <w:szCs w:val="20"/>
              </w:rPr>
            </w:pPr>
          </w:p>
        </w:tc>
      </w:tr>
    </w:tbl>
    <w:p w:rsidR="0086519B" w:rsidRDefault="0086519B" w:rsidP="0086519B">
      <w:pPr>
        <w:keepNext/>
        <w:keepLines/>
        <w:jc w:val="center"/>
        <w:rPr>
          <w:rFonts w:cs="Arial"/>
          <w:sz w:val="20"/>
        </w:rPr>
      </w:pPr>
      <w:r>
        <w:rPr>
          <w:b/>
          <w:color w:val="000000"/>
          <w:sz w:val="20"/>
        </w:rPr>
        <w:t>QUALITY OUTCOMES INDICATORS</w:t>
      </w:r>
    </w:p>
    <w:p w:rsidR="0086519B" w:rsidRDefault="0086519B" w:rsidP="0086519B">
      <w:pPr>
        <w:keepNext/>
        <w:keepLines/>
        <w:ind w:left="1"/>
        <w:jc w:val="center"/>
        <w:rPr>
          <w:rFonts w:cs="Arial"/>
          <w:sz w:val="20"/>
        </w:rPr>
      </w:pP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1963"/>
        <w:gridCol w:w="2575"/>
        <w:gridCol w:w="2269"/>
      </w:tblGrid>
      <w:tr w:rsidR="0086519B" w:rsidTr="0086519B">
        <w:tc>
          <w:tcPr>
            <w:tcW w:w="2448" w:type="dxa"/>
            <w:tcBorders>
              <w:top w:val="single" w:sz="4" w:space="0" w:color="auto"/>
              <w:left w:val="single" w:sz="4" w:space="0" w:color="auto"/>
              <w:bottom w:val="single" w:sz="4" w:space="0" w:color="auto"/>
              <w:right w:val="single" w:sz="4" w:space="0" w:color="auto"/>
            </w:tcBorders>
            <w:shd w:val="clear" w:color="auto" w:fill="BFBFBF"/>
            <w:hideMark/>
          </w:tcPr>
          <w:p w:rsidR="0086519B" w:rsidRDefault="0086519B">
            <w:pPr>
              <w:spacing w:line="276" w:lineRule="auto"/>
              <w:rPr>
                <w:rFonts w:cs="Arial"/>
                <w:b/>
                <w:sz w:val="20"/>
              </w:rPr>
            </w:pPr>
            <w:r>
              <w:rPr>
                <w:rFonts w:cs="Arial"/>
                <w:b/>
                <w:sz w:val="20"/>
              </w:rPr>
              <w:t>Quality Outcomes Indicators</w:t>
            </w:r>
          </w:p>
        </w:tc>
        <w:tc>
          <w:tcPr>
            <w:tcW w:w="1962" w:type="dxa"/>
            <w:tcBorders>
              <w:top w:val="single" w:sz="4" w:space="0" w:color="auto"/>
              <w:left w:val="single" w:sz="4" w:space="0" w:color="auto"/>
              <w:bottom w:val="single" w:sz="4" w:space="0" w:color="auto"/>
              <w:right w:val="single" w:sz="4" w:space="0" w:color="auto"/>
            </w:tcBorders>
            <w:shd w:val="clear" w:color="auto" w:fill="BFBFBF"/>
            <w:hideMark/>
          </w:tcPr>
          <w:p w:rsidR="0086519B" w:rsidRDefault="0086519B">
            <w:pPr>
              <w:spacing w:line="276" w:lineRule="auto"/>
              <w:rPr>
                <w:rFonts w:cs="Arial"/>
                <w:b/>
                <w:sz w:val="20"/>
              </w:rPr>
            </w:pPr>
            <w:r>
              <w:rPr>
                <w:rFonts w:cs="Arial"/>
                <w:b/>
                <w:sz w:val="20"/>
              </w:rPr>
              <w:t>Threshold</w:t>
            </w:r>
          </w:p>
        </w:tc>
        <w:tc>
          <w:tcPr>
            <w:tcW w:w="2574" w:type="dxa"/>
            <w:tcBorders>
              <w:top w:val="single" w:sz="4" w:space="0" w:color="auto"/>
              <w:left w:val="single" w:sz="4" w:space="0" w:color="auto"/>
              <w:bottom w:val="single" w:sz="4" w:space="0" w:color="auto"/>
              <w:right w:val="single" w:sz="4" w:space="0" w:color="auto"/>
            </w:tcBorders>
            <w:shd w:val="clear" w:color="auto" w:fill="BFBFBF"/>
            <w:hideMark/>
          </w:tcPr>
          <w:p w:rsidR="0086519B" w:rsidRDefault="0086519B">
            <w:pPr>
              <w:spacing w:line="276" w:lineRule="auto"/>
              <w:rPr>
                <w:rFonts w:cs="Arial"/>
                <w:b/>
                <w:sz w:val="20"/>
              </w:rPr>
            </w:pPr>
            <w:r>
              <w:rPr>
                <w:rFonts w:cs="Arial"/>
                <w:b/>
                <w:sz w:val="20"/>
              </w:rPr>
              <w:t>Method of Measurement</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86519B" w:rsidRDefault="0086519B">
            <w:pPr>
              <w:spacing w:line="276" w:lineRule="auto"/>
              <w:rPr>
                <w:rFonts w:cs="Arial"/>
                <w:b/>
                <w:sz w:val="20"/>
              </w:rPr>
            </w:pPr>
            <w:r>
              <w:rPr>
                <w:rFonts w:cs="Arial"/>
                <w:b/>
                <w:sz w:val="20"/>
              </w:rPr>
              <w:t>Consequence of breach</w:t>
            </w:r>
          </w:p>
        </w:tc>
      </w:tr>
      <w:tr w:rsidR="0086519B" w:rsidTr="0086519B">
        <w:tc>
          <w:tcPr>
            <w:tcW w:w="2448"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b/>
                <w:sz w:val="20"/>
              </w:rPr>
            </w:pPr>
            <w:r>
              <w:rPr>
                <w:rFonts w:cs="Arial"/>
                <w:b/>
                <w:sz w:val="20"/>
              </w:rPr>
              <w:t>Recruitment</w:t>
            </w:r>
          </w:p>
          <w:p w:rsidR="0086519B" w:rsidRDefault="0086519B">
            <w:pPr>
              <w:spacing w:line="276" w:lineRule="auto"/>
              <w:rPr>
                <w:rFonts w:cs="Arial"/>
                <w:sz w:val="20"/>
              </w:rPr>
            </w:pPr>
            <w:r>
              <w:rPr>
                <w:rFonts w:cs="Arial"/>
                <w:sz w:val="20"/>
              </w:rPr>
              <w:t>Recruitment of new clients</w:t>
            </w:r>
          </w:p>
          <w:p w:rsidR="0086519B" w:rsidRDefault="0086519B">
            <w:pPr>
              <w:spacing w:line="276" w:lineRule="auto"/>
              <w:rPr>
                <w:rFonts w:cs="Arial"/>
                <w:sz w:val="20"/>
              </w:rPr>
            </w:pPr>
          </w:p>
        </w:tc>
        <w:tc>
          <w:tcPr>
            <w:tcW w:w="1962"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Minimum of 1 new client every 2 months to a minimum of 6 new clients per annum</w:t>
            </w:r>
          </w:p>
        </w:tc>
        <w:tc>
          <w:tcPr>
            <w:tcW w:w="2574"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 xml:space="preserve">Data extraction spreadsheet </w:t>
            </w:r>
          </w:p>
        </w:tc>
        <w:tc>
          <w:tcPr>
            <w:tcW w:w="2268"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Quarterly email.</w:t>
            </w:r>
          </w:p>
          <w:p w:rsidR="0086519B" w:rsidRDefault="0086519B">
            <w:pPr>
              <w:spacing w:line="276" w:lineRule="auto"/>
              <w:rPr>
                <w:rFonts w:cs="Arial"/>
                <w:sz w:val="20"/>
              </w:rPr>
            </w:pPr>
          </w:p>
          <w:p w:rsidR="0086519B" w:rsidRDefault="0086519B">
            <w:pPr>
              <w:spacing w:line="276" w:lineRule="auto"/>
              <w:jc w:val="left"/>
              <w:rPr>
                <w:rFonts w:cs="Arial"/>
                <w:sz w:val="20"/>
              </w:rPr>
            </w:pPr>
            <w:r>
              <w:rPr>
                <w:rFonts w:cs="Arial"/>
                <w:sz w:val="20"/>
              </w:rPr>
              <w:t>If the provider fails to recruit new clients for 6 consecutive months the agreement will be terminated.</w:t>
            </w:r>
          </w:p>
        </w:tc>
      </w:tr>
      <w:tr w:rsidR="0086519B" w:rsidTr="0086519B">
        <w:tc>
          <w:tcPr>
            <w:tcW w:w="2448"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b/>
                <w:sz w:val="20"/>
              </w:rPr>
            </w:pPr>
            <w:r>
              <w:rPr>
                <w:rFonts w:cs="Arial"/>
                <w:b/>
                <w:sz w:val="20"/>
              </w:rPr>
              <w:t>Training</w:t>
            </w:r>
          </w:p>
          <w:p w:rsidR="0086519B" w:rsidRDefault="0086519B">
            <w:pPr>
              <w:spacing w:line="276" w:lineRule="auto"/>
              <w:jc w:val="left"/>
              <w:rPr>
                <w:rFonts w:cs="Arial"/>
                <w:sz w:val="20"/>
              </w:rPr>
            </w:pPr>
            <w:r>
              <w:rPr>
                <w:rFonts w:cs="Arial"/>
                <w:sz w:val="20"/>
              </w:rPr>
              <w:t>All Counterweight staff to have completed the 2 day Counterweight Training and signed off as competent to deliver the programme.</w:t>
            </w:r>
          </w:p>
          <w:p w:rsidR="0086519B" w:rsidRDefault="0086519B">
            <w:pPr>
              <w:spacing w:line="276" w:lineRule="auto"/>
              <w:jc w:val="left"/>
              <w:rPr>
                <w:rFonts w:cs="Arial"/>
                <w:sz w:val="20"/>
              </w:rPr>
            </w:pPr>
          </w:p>
          <w:p w:rsidR="0086519B" w:rsidRDefault="0086519B">
            <w:pPr>
              <w:spacing w:line="276" w:lineRule="auto"/>
              <w:jc w:val="left"/>
              <w:rPr>
                <w:rFonts w:cs="Arial"/>
                <w:sz w:val="20"/>
              </w:rPr>
            </w:pPr>
            <w:r>
              <w:rPr>
                <w:rFonts w:cs="Arial"/>
                <w:sz w:val="20"/>
              </w:rPr>
              <w:t>All counterweight staff to complete annual refresher training</w:t>
            </w:r>
          </w:p>
        </w:tc>
        <w:tc>
          <w:tcPr>
            <w:tcW w:w="1962"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jc w:val="left"/>
              <w:rPr>
                <w:rFonts w:cs="Arial"/>
                <w:sz w:val="20"/>
              </w:rPr>
            </w:pPr>
            <w:r>
              <w:rPr>
                <w:rFonts w:cs="Arial"/>
                <w:sz w:val="20"/>
              </w:rPr>
              <w:t>100% of Counterweight staff</w:t>
            </w:r>
          </w:p>
          <w:p w:rsidR="0086519B" w:rsidRDefault="0086519B">
            <w:pPr>
              <w:spacing w:line="276" w:lineRule="auto"/>
              <w:jc w:val="left"/>
              <w:rPr>
                <w:rFonts w:cs="Arial"/>
                <w:sz w:val="20"/>
              </w:rPr>
            </w:pPr>
          </w:p>
          <w:p w:rsidR="0086519B" w:rsidRDefault="0086519B">
            <w:pPr>
              <w:spacing w:line="276" w:lineRule="auto"/>
              <w:jc w:val="left"/>
              <w:rPr>
                <w:rFonts w:cs="Arial"/>
                <w:sz w:val="20"/>
              </w:rPr>
            </w:pPr>
          </w:p>
          <w:p w:rsidR="0086519B" w:rsidRDefault="0086519B">
            <w:pPr>
              <w:spacing w:line="276" w:lineRule="auto"/>
              <w:jc w:val="left"/>
              <w:rPr>
                <w:rFonts w:cs="Arial"/>
                <w:sz w:val="20"/>
              </w:rPr>
            </w:pPr>
          </w:p>
          <w:p w:rsidR="0086519B" w:rsidRDefault="0086519B">
            <w:pPr>
              <w:spacing w:line="276" w:lineRule="auto"/>
              <w:jc w:val="left"/>
              <w:rPr>
                <w:rFonts w:cs="Arial"/>
                <w:sz w:val="20"/>
              </w:rPr>
            </w:pPr>
          </w:p>
          <w:p w:rsidR="0086519B" w:rsidRDefault="0086519B">
            <w:pPr>
              <w:spacing w:line="276" w:lineRule="auto"/>
              <w:jc w:val="left"/>
              <w:rPr>
                <w:rFonts w:cs="Arial"/>
                <w:sz w:val="20"/>
              </w:rPr>
            </w:pPr>
          </w:p>
          <w:p w:rsidR="0086519B" w:rsidRDefault="0086519B">
            <w:pPr>
              <w:spacing w:line="276" w:lineRule="auto"/>
              <w:jc w:val="left"/>
              <w:rPr>
                <w:rFonts w:cs="Arial"/>
                <w:sz w:val="20"/>
              </w:rPr>
            </w:pPr>
            <w:r>
              <w:rPr>
                <w:rFonts w:cs="Arial"/>
                <w:sz w:val="20"/>
              </w:rPr>
              <w:t>100% of Counterweight staff</w:t>
            </w:r>
          </w:p>
        </w:tc>
        <w:tc>
          <w:tcPr>
            <w:tcW w:w="2574"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WMT Counterweight Training record.</w:t>
            </w:r>
          </w:p>
        </w:tc>
        <w:tc>
          <w:tcPr>
            <w:tcW w:w="2268"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Service provider unable to provide Counterweight service</w:t>
            </w:r>
          </w:p>
          <w:p w:rsidR="0086519B" w:rsidRDefault="0086519B">
            <w:pPr>
              <w:spacing w:line="276" w:lineRule="auto"/>
              <w:rPr>
                <w:rFonts w:cs="Arial"/>
                <w:sz w:val="20"/>
              </w:rPr>
            </w:pPr>
          </w:p>
          <w:p w:rsidR="0086519B" w:rsidRDefault="0086519B">
            <w:pPr>
              <w:spacing w:line="276" w:lineRule="auto"/>
              <w:rPr>
                <w:rFonts w:cs="Arial"/>
                <w:sz w:val="20"/>
              </w:rPr>
            </w:pPr>
          </w:p>
          <w:p w:rsidR="0086519B" w:rsidRDefault="0086519B">
            <w:pPr>
              <w:spacing w:line="276" w:lineRule="auto"/>
              <w:rPr>
                <w:rFonts w:cs="Arial"/>
                <w:sz w:val="20"/>
              </w:rPr>
            </w:pPr>
          </w:p>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Service suspended.</w:t>
            </w:r>
          </w:p>
        </w:tc>
      </w:tr>
      <w:tr w:rsidR="0086519B" w:rsidTr="0086519B">
        <w:tc>
          <w:tcPr>
            <w:tcW w:w="244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cs="Arial"/>
                <w:b/>
                <w:sz w:val="20"/>
              </w:rPr>
            </w:pPr>
            <w:r>
              <w:rPr>
                <w:rFonts w:cs="Arial"/>
                <w:b/>
                <w:sz w:val="20"/>
              </w:rPr>
              <w:t xml:space="preserve">Counterweight </w:t>
            </w:r>
            <w:r>
              <w:rPr>
                <w:rFonts w:cs="Arial"/>
                <w:b/>
                <w:sz w:val="20"/>
              </w:rPr>
              <w:lastRenderedPageBreak/>
              <w:t>Delivery</w:t>
            </w:r>
          </w:p>
          <w:p w:rsidR="0086519B" w:rsidRDefault="0086519B">
            <w:pPr>
              <w:spacing w:line="276" w:lineRule="auto"/>
              <w:jc w:val="left"/>
              <w:rPr>
                <w:rFonts w:cs="Arial"/>
                <w:sz w:val="20"/>
              </w:rPr>
            </w:pPr>
            <w:r>
              <w:rPr>
                <w:rFonts w:cs="Arial"/>
                <w:sz w:val="20"/>
              </w:rPr>
              <w:t>Deliver the Counterweight service to staff as per Counterweight Programme Reference Manual</w:t>
            </w:r>
          </w:p>
        </w:tc>
        <w:tc>
          <w:tcPr>
            <w:tcW w:w="1962"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cs="Arial"/>
                <w:sz w:val="20"/>
              </w:rPr>
            </w:pPr>
            <w:r>
              <w:rPr>
                <w:rFonts w:cs="Arial"/>
                <w:sz w:val="20"/>
              </w:rPr>
              <w:lastRenderedPageBreak/>
              <w:t xml:space="preserve">&gt;5% weight loss for </w:t>
            </w:r>
            <w:r>
              <w:rPr>
                <w:rFonts w:cs="Arial"/>
                <w:sz w:val="20"/>
              </w:rPr>
              <w:lastRenderedPageBreak/>
              <w:t xml:space="preserve">40% of clients completing the programme </w:t>
            </w:r>
          </w:p>
        </w:tc>
        <w:tc>
          <w:tcPr>
            <w:tcW w:w="2574"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left"/>
              <w:rPr>
                <w:rFonts w:cs="Arial"/>
                <w:sz w:val="20"/>
              </w:rPr>
            </w:pPr>
            <w:r>
              <w:rPr>
                <w:rFonts w:cs="Arial"/>
                <w:sz w:val="20"/>
              </w:rPr>
              <w:lastRenderedPageBreak/>
              <w:t xml:space="preserve">Data extraction </w:t>
            </w:r>
            <w:r>
              <w:rPr>
                <w:rFonts w:cs="Arial"/>
                <w:sz w:val="20"/>
              </w:rPr>
              <w:lastRenderedPageBreak/>
              <w:t>spreadsheet</w:t>
            </w:r>
          </w:p>
        </w:tc>
        <w:tc>
          <w:tcPr>
            <w:tcW w:w="226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left"/>
              <w:rPr>
                <w:rFonts w:cs="Arial"/>
                <w:sz w:val="20"/>
              </w:rPr>
            </w:pPr>
            <w:r>
              <w:rPr>
                <w:rFonts w:cs="Arial"/>
                <w:sz w:val="20"/>
              </w:rPr>
              <w:lastRenderedPageBreak/>
              <w:t xml:space="preserve">Review contract on a </w:t>
            </w:r>
            <w:r>
              <w:rPr>
                <w:rFonts w:cs="Arial"/>
                <w:sz w:val="20"/>
              </w:rPr>
              <w:lastRenderedPageBreak/>
              <w:t>quarterly basis – recovery plan required if not meeting threshold.</w:t>
            </w:r>
          </w:p>
          <w:p w:rsidR="0086519B" w:rsidRDefault="0086519B">
            <w:pPr>
              <w:spacing w:line="276" w:lineRule="auto"/>
              <w:rPr>
                <w:rFonts w:cs="Arial"/>
                <w:sz w:val="20"/>
              </w:rPr>
            </w:pPr>
            <w:r>
              <w:rPr>
                <w:rFonts w:cs="Arial"/>
                <w:sz w:val="20"/>
              </w:rPr>
              <w:t>Withdrawal of contract</w:t>
            </w:r>
          </w:p>
        </w:tc>
      </w:tr>
      <w:tr w:rsidR="0086519B" w:rsidTr="0086519B">
        <w:tc>
          <w:tcPr>
            <w:tcW w:w="244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cs="Arial"/>
                <w:b/>
                <w:sz w:val="20"/>
              </w:rPr>
            </w:pPr>
            <w:r>
              <w:rPr>
                <w:rFonts w:cs="Arial"/>
                <w:b/>
                <w:sz w:val="20"/>
              </w:rPr>
              <w:lastRenderedPageBreak/>
              <w:t>Monitoring</w:t>
            </w:r>
          </w:p>
          <w:p w:rsidR="0086519B" w:rsidRDefault="0086519B">
            <w:pPr>
              <w:spacing w:line="276" w:lineRule="auto"/>
              <w:jc w:val="left"/>
              <w:rPr>
                <w:rFonts w:cs="Arial"/>
                <w:sz w:val="20"/>
              </w:rPr>
            </w:pPr>
            <w:r>
              <w:rPr>
                <w:rFonts w:cs="Arial"/>
                <w:sz w:val="20"/>
              </w:rPr>
              <w:t>Fully complete bespoke Counterweight data collection tool and return on a quarterly basis.</w:t>
            </w:r>
          </w:p>
        </w:tc>
        <w:tc>
          <w:tcPr>
            <w:tcW w:w="1962"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100%</w:t>
            </w:r>
          </w:p>
        </w:tc>
        <w:tc>
          <w:tcPr>
            <w:tcW w:w="2574"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rPr>
                <w:rFonts w:cs="Arial"/>
                <w:sz w:val="20"/>
              </w:rPr>
            </w:pPr>
            <w:r>
              <w:rPr>
                <w:rFonts w:cs="Arial"/>
                <w:sz w:val="20"/>
              </w:rPr>
              <w:t>Data extraction spreadsheet/or Patient data form</w:t>
            </w:r>
          </w:p>
        </w:tc>
        <w:tc>
          <w:tcPr>
            <w:tcW w:w="2268" w:type="dxa"/>
            <w:tcBorders>
              <w:top w:val="single" w:sz="4" w:space="0" w:color="auto"/>
              <w:left w:val="single" w:sz="4" w:space="0" w:color="auto"/>
              <w:bottom w:val="single" w:sz="4" w:space="0" w:color="auto"/>
              <w:right w:val="single" w:sz="4" w:space="0" w:color="auto"/>
            </w:tcBorders>
          </w:tcPr>
          <w:p w:rsidR="0086519B" w:rsidRDefault="0086519B">
            <w:pPr>
              <w:spacing w:line="276" w:lineRule="auto"/>
              <w:rPr>
                <w:rFonts w:cs="Arial"/>
                <w:sz w:val="20"/>
              </w:rPr>
            </w:pPr>
          </w:p>
          <w:p w:rsidR="0086519B" w:rsidRDefault="0086519B">
            <w:pPr>
              <w:spacing w:line="276" w:lineRule="auto"/>
              <w:jc w:val="left"/>
              <w:rPr>
                <w:rFonts w:cs="Arial"/>
                <w:sz w:val="20"/>
              </w:rPr>
            </w:pPr>
            <w:r>
              <w:rPr>
                <w:rFonts w:cs="Arial"/>
                <w:sz w:val="20"/>
              </w:rPr>
              <w:t>Non payment to provider</w:t>
            </w:r>
          </w:p>
        </w:tc>
      </w:tr>
    </w:tbl>
    <w:p w:rsidR="0086519B" w:rsidRDefault="0086519B" w:rsidP="0086519B">
      <w:pPr>
        <w:jc w:val="center"/>
        <w:rPr>
          <w:rFonts w:cs="Arial"/>
          <w:b/>
          <w:sz w:val="20"/>
        </w:rPr>
      </w:pPr>
    </w:p>
    <w:p w:rsidR="0086519B" w:rsidRDefault="0086519B">
      <w:pPr>
        <w:suppressAutoHyphens w:val="0"/>
        <w:spacing w:after="200" w:line="276" w:lineRule="auto"/>
        <w:jc w:val="left"/>
        <w:rPr>
          <w:rFonts w:eastAsia="MS ??" w:cs="Arial"/>
          <w:b/>
          <w:sz w:val="22"/>
          <w:szCs w:val="22"/>
        </w:rPr>
      </w:pPr>
      <w:r>
        <w:rPr>
          <w:b/>
        </w:rPr>
        <w:br w:type="page"/>
      </w:r>
    </w:p>
    <w:p w:rsidR="0086519B" w:rsidRDefault="0086519B" w:rsidP="0086519B">
      <w:pPr>
        <w:pStyle w:val="BodyText"/>
        <w:jc w:val="both"/>
        <w:rPr>
          <w:b/>
        </w:rPr>
      </w:pPr>
    </w:p>
    <w:p w:rsidR="0086519B" w:rsidRDefault="0086519B" w:rsidP="0086519B">
      <w:pPr>
        <w:pStyle w:val="BodyText"/>
        <w:jc w:val="both"/>
        <w:rPr>
          <w:b/>
        </w:rPr>
      </w:pPr>
      <w:r>
        <w:rPr>
          <w:b/>
        </w:rPr>
        <w:t>Expected Outcomes</w:t>
      </w:r>
    </w:p>
    <w:p w:rsidR="0086519B" w:rsidRDefault="0086519B" w:rsidP="0086519B">
      <w:pPr>
        <w:pStyle w:val="BodyText"/>
        <w:jc w:val="both"/>
        <w:rPr>
          <w:b/>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408"/>
        <w:gridCol w:w="3967"/>
      </w:tblGrid>
      <w:tr w:rsidR="0086519B" w:rsidTr="0086519B">
        <w:tc>
          <w:tcPr>
            <w:tcW w:w="283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6519B" w:rsidRDefault="0086519B">
            <w:pPr>
              <w:pStyle w:val="BodyText"/>
              <w:spacing w:line="276" w:lineRule="auto"/>
              <w:jc w:val="both"/>
              <w:rPr>
                <w:b/>
                <w:bCs/>
              </w:rPr>
            </w:pPr>
            <w:r>
              <w:rPr>
                <w:b/>
                <w:bCs/>
              </w:rPr>
              <w:t>Outcome</w:t>
            </w:r>
          </w:p>
        </w:tc>
        <w:tc>
          <w:tcPr>
            <w:tcW w:w="24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6519B" w:rsidRDefault="0086519B">
            <w:pPr>
              <w:pStyle w:val="BodyText"/>
              <w:spacing w:line="276" w:lineRule="auto"/>
              <w:jc w:val="both"/>
              <w:rPr>
                <w:b/>
                <w:bCs/>
              </w:rPr>
            </w:pPr>
            <w:r>
              <w:rPr>
                <w:b/>
                <w:bCs/>
              </w:rPr>
              <w:t>Measure</w:t>
            </w:r>
          </w:p>
        </w:tc>
        <w:tc>
          <w:tcPr>
            <w:tcW w:w="39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6519B" w:rsidRDefault="0086519B">
            <w:pPr>
              <w:pStyle w:val="BodyText"/>
              <w:spacing w:line="276" w:lineRule="auto"/>
              <w:jc w:val="both"/>
              <w:rPr>
                <w:b/>
                <w:bCs/>
              </w:rPr>
            </w:pPr>
            <w:r>
              <w:rPr>
                <w:b/>
                <w:bCs/>
              </w:rPr>
              <w:t>Report</w:t>
            </w:r>
          </w:p>
        </w:tc>
      </w:tr>
      <w:tr w:rsidR="0086519B" w:rsidTr="0086519B">
        <w:tc>
          <w:tcPr>
            <w:tcW w:w="2836"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Clients attend all 6 sessions</w:t>
            </w:r>
          </w:p>
        </w:tc>
        <w:tc>
          <w:tcPr>
            <w:tcW w:w="240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Consultation form</w:t>
            </w:r>
          </w:p>
        </w:tc>
        <w:tc>
          <w:tcPr>
            <w:tcW w:w="396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Data Extraction Spreadsheet or Patient Data form</w:t>
            </w:r>
          </w:p>
        </w:tc>
      </w:tr>
      <w:tr w:rsidR="0086519B" w:rsidTr="0086519B">
        <w:tc>
          <w:tcPr>
            <w:tcW w:w="2836"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 xml:space="preserve">Client have achieved 5% weight loss target </w:t>
            </w:r>
          </w:p>
        </w:tc>
        <w:tc>
          <w:tcPr>
            <w:tcW w:w="240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Consultation form</w:t>
            </w:r>
          </w:p>
        </w:tc>
        <w:tc>
          <w:tcPr>
            <w:tcW w:w="396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Data Extraction Spreadsheet or Patient Data form</w:t>
            </w:r>
          </w:p>
        </w:tc>
      </w:tr>
      <w:tr w:rsidR="0086519B" w:rsidTr="0086519B">
        <w:tc>
          <w:tcPr>
            <w:tcW w:w="2836"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 xml:space="preserve">Client attended follow up appointments 7-9 </w:t>
            </w:r>
          </w:p>
        </w:tc>
        <w:tc>
          <w:tcPr>
            <w:tcW w:w="240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Consultation form</w:t>
            </w:r>
          </w:p>
        </w:tc>
        <w:tc>
          <w:tcPr>
            <w:tcW w:w="396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Data Extraction Spreadsheet or Patient Data form</w:t>
            </w:r>
          </w:p>
        </w:tc>
      </w:tr>
      <w:tr w:rsidR="0086519B" w:rsidTr="0086519B">
        <w:tc>
          <w:tcPr>
            <w:tcW w:w="2836"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Client has continued to lose/maintain weight</w:t>
            </w:r>
          </w:p>
        </w:tc>
        <w:tc>
          <w:tcPr>
            <w:tcW w:w="240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Consultation form</w:t>
            </w:r>
          </w:p>
        </w:tc>
        <w:tc>
          <w:tcPr>
            <w:tcW w:w="3969" w:type="dxa"/>
            <w:tcBorders>
              <w:top w:val="single" w:sz="4" w:space="0" w:color="000000"/>
              <w:left w:val="single" w:sz="4" w:space="0" w:color="000000"/>
              <w:bottom w:val="single" w:sz="4" w:space="0" w:color="000000"/>
              <w:right w:val="single" w:sz="4" w:space="0" w:color="000000"/>
            </w:tcBorders>
            <w:hideMark/>
          </w:tcPr>
          <w:p w:rsidR="0086519B" w:rsidRDefault="0086519B">
            <w:pPr>
              <w:pStyle w:val="BodyText"/>
              <w:spacing w:line="276" w:lineRule="auto"/>
              <w:jc w:val="both"/>
              <w:rPr>
                <w:bCs/>
              </w:rPr>
            </w:pPr>
            <w:r>
              <w:rPr>
                <w:bCs/>
              </w:rPr>
              <w:t>Data Extraction Spreadsheet or Patient Data form</w:t>
            </w:r>
          </w:p>
        </w:tc>
      </w:tr>
    </w:tbl>
    <w:p w:rsidR="0086519B" w:rsidRDefault="0086519B" w:rsidP="0086519B">
      <w:pPr>
        <w:jc w:val="center"/>
        <w:rPr>
          <w:rFonts w:cs="Arial"/>
          <w:b/>
          <w:sz w:val="20"/>
        </w:rPr>
      </w:pPr>
    </w:p>
    <w:p w:rsidR="0086519B" w:rsidRDefault="0086519B" w:rsidP="0086519B">
      <w:pPr>
        <w:jc w:val="center"/>
        <w:rPr>
          <w:rFonts w:cs="Arial"/>
          <w:b/>
          <w:sz w:val="20"/>
        </w:rPr>
      </w:pPr>
    </w:p>
    <w:p w:rsidR="0086519B" w:rsidRDefault="0086519B" w:rsidP="0086519B">
      <w:pPr>
        <w:suppressAutoHyphens w:val="0"/>
        <w:spacing w:after="200" w:line="276" w:lineRule="auto"/>
        <w:jc w:val="left"/>
        <w:rPr>
          <w:rFonts w:cs="Arial"/>
          <w:b/>
          <w:sz w:val="20"/>
        </w:rPr>
      </w:pPr>
    </w:p>
    <w:p w:rsidR="0086519B" w:rsidRDefault="0086519B" w:rsidP="0086519B">
      <w:pPr>
        <w:jc w:val="center"/>
        <w:rPr>
          <w:rFonts w:cs="Arial"/>
          <w:b/>
          <w:sz w:val="20"/>
        </w:rPr>
      </w:pPr>
      <w:r>
        <w:rPr>
          <w:rFonts w:cs="Arial"/>
          <w:b/>
          <w:sz w:val="20"/>
        </w:rPr>
        <w:t>APPENDIX D</w:t>
      </w:r>
    </w:p>
    <w:p w:rsidR="0086519B" w:rsidRDefault="0086519B" w:rsidP="0086519B">
      <w:pPr>
        <w:jc w:val="center"/>
        <w:rPr>
          <w:rFonts w:cs="Arial"/>
          <w:b/>
          <w:sz w:val="20"/>
        </w:rPr>
      </w:pPr>
    </w:p>
    <w:p w:rsidR="0086519B" w:rsidRDefault="0086519B" w:rsidP="0086519B">
      <w:pPr>
        <w:jc w:val="center"/>
        <w:rPr>
          <w:rFonts w:cs="Arial"/>
          <w:sz w:val="20"/>
        </w:rPr>
      </w:pPr>
      <w:r>
        <w:rPr>
          <w:rFonts w:cs="Arial"/>
          <w:b/>
          <w:sz w:val="20"/>
        </w:rPr>
        <w:t xml:space="preserve">SERVICE USER, CARER </w:t>
      </w:r>
      <w:smartTag w:uri="urn:schemas-microsoft-com:office:smarttags" w:element="stockticker">
        <w:r>
          <w:rPr>
            <w:rFonts w:cs="Arial"/>
            <w:b/>
            <w:sz w:val="20"/>
          </w:rPr>
          <w:t>AND</w:t>
        </w:r>
      </w:smartTag>
      <w:r>
        <w:rPr>
          <w:rFonts w:cs="Arial"/>
          <w:b/>
          <w:sz w:val="20"/>
        </w:rPr>
        <w:t xml:space="preserve"> STAFF SURVEYS</w:t>
      </w:r>
    </w:p>
    <w:p w:rsidR="0086519B" w:rsidRDefault="0086519B" w:rsidP="0086519B">
      <w:pPr>
        <w:rPr>
          <w:rFonts w:cs="Arial"/>
          <w:sz w:val="20"/>
        </w:rPr>
      </w:pPr>
    </w:p>
    <w:tbl>
      <w:tblPr>
        <w:tblStyle w:val="TableGrid"/>
        <w:tblW w:w="0" w:type="auto"/>
        <w:tblLook w:val="04A0"/>
      </w:tblPr>
      <w:tblGrid>
        <w:gridCol w:w="2321"/>
        <w:gridCol w:w="2321"/>
        <w:gridCol w:w="2322"/>
        <w:gridCol w:w="2322"/>
      </w:tblGrid>
      <w:tr w:rsidR="0086519B" w:rsidTr="0086519B">
        <w:tc>
          <w:tcPr>
            <w:tcW w:w="2321"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b/>
                <w:lang w:eastAsia="en-US"/>
              </w:rPr>
            </w:pPr>
            <w:r>
              <w:rPr>
                <w:b/>
              </w:rPr>
              <w:t>Specification</w:t>
            </w:r>
          </w:p>
        </w:tc>
        <w:tc>
          <w:tcPr>
            <w:tcW w:w="2321"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b/>
                <w:lang w:eastAsia="en-US"/>
              </w:rPr>
            </w:pPr>
            <w:r>
              <w:rPr>
                <w:b/>
              </w:rPr>
              <w:t>Form</w:t>
            </w:r>
          </w:p>
        </w:tc>
        <w:tc>
          <w:tcPr>
            <w:tcW w:w="2322"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b/>
                <w:lang w:eastAsia="en-US"/>
              </w:rPr>
            </w:pPr>
            <w:r>
              <w:rPr>
                <w:b/>
              </w:rPr>
              <w:t>Frequency</w:t>
            </w:r>
          </w:p>
        </w:tc>
        <w:tc>
          <w:tcPr>
            <w:tcW w:w="2322"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b/>
                <w:lang w:eastAsia="en-US"/>
              </w:rPr>
            </w:pPr>
            <w:r>
              <w:rPr>
                <w:b/>
              </w:rPr>
              <w:t>Reporting process</w:t>
            </w:r>
          </w:p>
        </w:tc>
      </w:tr>
      <w:tr w:rsidR="0086519B" w:rsidTr="0086519B">
        <w:tc>
          <w:tcPr>
            <w:tcW w:w="2321"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lang w:eastAsia="en-US"/>
              </w:rPr>
            </w:pPr>
            <w:r>
              <w:t>The Weight Management Team will carry out 1 service user survey per year with a minimum of 50% of service users.</w:t>
            </w:r>
          </w:p>
        </w:tc>
        <w:tc>
          <w:tcPr>
            <w:tcW w:w="2321"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lang w:eastAsia="en-US"/>
              </w:rPr>
            </w:pPr>
            <w:r>
              <w:t>Weight Management Team Client satisfaction survey</w:t>
            </w:r>
          </w:p>
        </w:tc>
        <w:tc>
          <w:tcPr>
            <w:tcW w:w="2322"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lang w:eastAsia="en-US"/>
              </w:rPr>
            </w:pPr>
            <w:r>
              <w:t>Annually</w:t>
            </w:r>
          </w:p>
        </w:tc>
        <w:tc>
          <w:tcPr>
            <w:tcW w:w="2322" w:type="dxa"/>
            <w:tcBorders>
              <w:top w:val="single" w:sz="4" w:space="0" w:color="auto"/>
              <w:left w:val="single" w:sz="4" w:space="0" w:color="auto"/>
              <w:bottom w:val="single" w:sz="4" w:space="0" w:color="auto"/>
              <w:right w:val="single" w:sz="4" w:space="0" w:color="auto"/>
            </w:tcBorders>
            <w:hideMark/>
          </w:tcPr>
          <w:p w:rsidR="0086519B" w:rsidRDefault="0086519B">
            <w:pPr>
              <w:pStyle w:val="BodyText"/>
              <w:suppressAutoHyphens/>
              <w:jc w:val="both"/>
              <w:rPr>
                <w:lang w:eastAsia="en-US"/>
              </w:rPr>
            </w:pPr>
            <w:r>
              <w:t>Report completed and any issues reported back to service providers</w:t>
            </w:r>
          </w:p>
        </w:tc>
      </w:tr>
    </w:tbl>
    <w:p w:rsidR="0086519B" w:rsidRDefault="0086519B" w:rsidP="0086519B">
      <w:pPr>
        <w:pStyle w:val="BodyText"/>
        <w:jc w:val="both"/>
      </w:pPr>
      <w:r>
        <w:t>.</w:t>
      </w:r>
    </w:p>
    <w:p w:rsidR="0086519B" w:rsidRDefault="0086519B" w:rsidP="0086519B">
      <w:pPr>
        <w:jc w:val="center"/>
        <w:rPr>
          <w:rFonts w:cs="Arial"/>
          <w:b/>
          <w:sz w:val="20"/>
        </w:rPr>
      </w:pPr>
    </w:p>
    <w:p w:rsidR="0086519B" w:rsidRDefault="0086519B" w:rsidP="0086519B">
      <w:pPr>
        <w:jc w:val="center"/>
        <w:rPr>
          <w:rFonts w:cs="Arial"/>
          <w:b/>
          <w:sz w:val="20"/>
        </w:rPr>
      </w:pPr>
      <w:r>
        <w:rPr>
          <w:rFonts w:cs="Arial"/>
          <w:b/>
          <w:sz w:val="20"/>
        </w:rPr>
        <w:t>APPENDIX  E</w:t>
      </w:r>
    </w:p>
    <w:p w:rsidR="0086519B" w:rsidRDefault="0086519B" w:rsidP="0086519B">
      <w:pPr>
        <w:jc w:val="center"/>
        <w:rPr>
          <w:rFonts w:cs="Arial"/>
          <w:b/>
          <w:sz w:val="20"/>
        </w:rPr>
      </w:pPr>
    </w:p>
    <w:p w:rsidR="0086519B" w:rsidRDefault="0086519B" w:rsidP="0086519B">
      <w:pPr>
        <w:jc w:val="center"/>
        <w:rPr>
          <w:rFonts w:cs="Arial"/>
          <w:b/>
          <w:sz w:val="20"/>
        </w:rPr>
      </w:pPr>
      <w:r>
        <w:rPr>
          <w:rFonts w:cs="Arial"/>
          <w:b/>
          <w:sz w:val="20"/>
        </w:rPr>
        <w:t>CHARGES</w:t>
      </w:r>
    </w:p>
    <w:p w:rsidR="0086519B" w:rsidRDefault="0086519B" w:rsidP="0086519B">
      <w:pPr>
        <w:rPr>
          <w:rFonts w:cs="Arial"/>
          <w:sz w:val="20"/>
        </w:rPr>
      </w:pPr>
    </w:p>
    <w:p w:rsidR="0086519B" w:rsidRDefault="0086519B" w:rsidP="0086519B">
      <w:pPr>
        <w:jc w:val="left"/>
        <w:rPr>
          <w:rFonts w:cs="Arial"/>
          <w:sz w:val="20"/>
        </w:rPr>
      </w:pPr>
    </w:p>
    <w:tbl>
      <w:tblPr>
        <w:tblpPr w:leftFromText="180" w:rightFromText="180" w:bottomFromText="200" w:vertAnchor="text" w:horzAnchor="margin" w:tblpY="7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6736"/>
      </w:tblGrid>
      <w:tr w:rsidR="0086519B" w:rsidTr="0086519B">
        <w:tc>
          <w:tcPr>
            <w:tcW w:w="329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eastAsia="Calibri" w:cs="Arial"/>
                <w:szCs w:val="24"/>
                <w:highlight w:val="yellow"/>
              </w:rPr>
            </w:pPr>
            <w:r>
              <w:rPr>
                <w:rFonts w:eastAsia="Calibri" w:cs="Arial"/>
                <w:szCs w:val="24"/>
              </w:rPr>
              <w:t>Telephone Contact</w:t>
            </w:r>
          </w:p>
        </w:tc>
        <w:tc>
          <w:tcPr>
            <w:tcW w:w="6733"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eastAsia="Calibri" w:cs="Arial"/>
                <w:szCs w:val="24"/>
                <w:highlight w:val="yellow"/>
              </w:rPr>
            </w:pPr>
            <w:r>
              <w:rPr>
                <w:rFonts w:eastAsia="Calibri" w:cs="Arial"/>
                <w:szCs w:val="24"/>
              </w:rPr>
              <w:t>To arrange 1</w:t>
            </w:r>
            <w:r>
              <w:rPr>
                <w:rFonts w:eastAsia="Calibri" w:cs="Arial"/>
                <w:szCs w:val="24"/>
                <w:vertAlign w:val="superscript"/>
              </w:rPr>
              <w:t>st</w:t>
            </w:r>
            <w:r>
              <w:rPr>
                <w:rFonts w:eastAsia="Calibri" w:cs="Arial"/>
                <w:szCs w:val="24"/>
              </w:rPr>
              <w:t xml:space="preserve"> appointment</w:t>
            </w:r>
          </w:p>
        </w:tc>
      </w:tr>
      <w:tr w:rsidR="0086519B" w:rsidTr="0086519B">
        <w:tc>
          <w:tcPr>
            <w:tcW w:w="329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eastAsia="Calibri" w:cs="Arial"/>
                <w:szCs w:val="24"/>
              </w:rPr>
            </w:pPr>
            <w:r>
              <w:rPr>
                <w:rFonts w:eastAsia="Calibri" w:cs="Arial"/>
                <w:szCs w:val="24"/>
              </w:rPr>
              <w:t xml:space="preserve">Phase 1  – Appointment 1-6 (week 1- 12) </w:t>
            </w:r>
          </w:p>
        </w:tc>
        <w:tc>
          <w:tcPr>
            <w:tcW w:w="6733"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Cs w:val="24"/>
              </w:rPr>
            </w:pPr>
            <w:r>
              <w:rPr>
                <w:szCs w:val="24"/>
              </w:rPr>
              <w:t>£25 for individuals who attend all 6 appointments</w:t>
            </w:r>
          </w:p>
          <w:p w:rsidR="0086519B" w:rsidRDefault="0086519B">
            <w:pPr>
              <w:spacing w:line="276" w:lineRule="auto"/>
              <w:rPr>
                <w:szCs w:val="24"/>
              </w:rPr>
            </w:pPr>
            <w:r>
              <w:rPr>
                <w:szCs w:val="24"/>
              </w:rPr>
              <w:t>+ £10 if individual meets 5% weight loss target</w:t>
            </w:r>
          </w:p>
          <w:p w:rsidR="0086519B" w:rsidRDefault="0086519B">
            <w:pPr>
              <w:spacing w:line="276" w:lineRule="auto"/>
              <w:rPr>
                <w:rFonts w:eastAsia="Calibri" w:cs="Arial"/>
                <w:szCs w:val="24"/>
              </w:rPr>
            </w:pPr>
            <w:r>
              <w:rPr>
                <w:szCs w:val="24"/>
              </w:rPr>
              <w:t>(Payment released following return of data)</w:t>
            </w:r>
          </w:p>
        </w:tc>
      </w:tr>
      <w:tr w:rsidR="0086519B" w:rsidTr="0086519B">
        <w:tc>
          <w:tcPr>
            <w:tcW w:w="329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rFonts w:eastAsia="Calibri" w:cs="Arial"/>
                <w:szCs w:val="24"/>
              </w:rPr>
            </w:pPr>
            <w:r>
              <w:rPr>
                <w:rFonts w:eastAsia="Calibri" w:cs="Arial"/>
                <w:szCs w:val="24"/>
              </w:rPr>
              <w:t xml:space="preserve">Phase 2 – Appointment 7-9 </w:t>
            </w:r>
          </w:p>
          <w:p w:rsidR="0086519B" w:rsidRDefault="0086519B">
            <w:pPr>
              <w:spacing w:line="276" w:lineRule="auto"/>
              <w:rPr>
                <w:rFonts w:eastAsia="Calibri" w:cs="Arial"/>
                <w:szCs w:val="24"/>
              </w:rPr>
            </w:pPr>
            <w:r>
              <w:rPr>
                <w:szCs w:val="24"/>
              </w:rPr>
              <w:t>Over a 9 month period within 12 months from the initial appointment</w:t>
            </w:r>
          </w:p>
        </w:tc>
        <w:tc>
          <w:tcPr>
            <w:tcW w:w="6733"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Cs w:val="24"/>
              </w:rPr>
            </w:pPr>
            <w:r>
              <w:rPr>
                <w:szCs w:val="24"/>
              </w:rPr>
              <w:t>£40 for individuals who have maintained a 5% weight loss or continued to lose weight</w:t>
            </w:r>
          </w:p>
          <w:p w:rsidR="0086519B" w:rsidRDefault="0086519B">
            <w:pPr>
              <w:spacing w:line="276" w:lineRule="auto"/>
              <w:rPr>
                <w:szCs w:val="24"/>
              </w:rPr>
            </w:pPr>
            <w:r>
              <w:rPr>
                <w:szCs w:val="24"/>
              </w:rPr>
              <w:t xml:space="preserve">£20 for individuals who have achieved and maintained  a 5% weight loss in phase 2 of the programme </w:t>
            </w:r>
          </w:p>
          <w:p w:rsidR="0086519B" w:rsidRDefault="0086519B">
            <w:pPr>
              <w:spacing w:line="276" w:lineRule="auto"/>
              <w:rPr>
                <w:szCs w:val="24"/>
              </w:rPr>
            </w:pPr>
            <w:r>
              <w:rPr>
                <w:szCs w:val="24"/>
              </w:rPr>
              <w:t xml:space="preserve">£10 for individuals who are lighter than their initial referral weight </w:t>
            </w:r>
          </w:p>
          <w:p w:rsidR="0086519B" w:rsidRDefault="0086519B">
            <w:pPr>
              <w:spacing w:line="276" w:lineRule="auto"/>
              <w:rPr>
                <w:rFonts w:eastAsia="Calibri" w:cs="Arial"/>
                <w:szCs w:val="24"/>
              </w:rPr>
            </w:pPr>
            <w:r>
              <w:rPr>
                <w:szCs w:val="24"/>
              </w:rPr>
              <w:t>(Payment released following return of data)</w:t>
            </w:r>
          </w:p>
        </w:tc>
      </w:tr>
    </w:tbl>
    <w:p w:rsidR="0086519B" w:rsidRDefault="0086519B" w:rsidP="0086519B">
      <w:pPr>
        <w:pStyle w:val="BodyText"/>
        <w:jc w:val="both"/>
        <w:rPr>
          <w:b/>
        </w:rPr>
      </w:pPr>
    </w:p>
    <w:p w:rsidR="0086519B" w:rsidRDefault="0086519B" w:rsidP="0086519B">
      <w:pPr>
        <w:jc w:val="left"/>
        <w:rPr>
          <w:rFonts w:cs="Arial"/>
          <w:sz w:val="22"/>
          <w:szCs w:val="22"/>
        </w:rPr>
      </w:pPr>
      <w:r>
        <w:rPr>
          <w:rFonts w:cs="Arial"/>
          <w:sz w:val="22"/>
          <w:szCs w:val="22"/>
        </w:rPr>
        <w:t>Service providers will receive payments only on completion and submission of the data extraction spreadsheet.</w:t>
      </w:r>
    </w:p>
    <w:p w:rsidR="0086519B" w:rsidRDefault="0086519B" w:rsidP="0086519B">
      <w:pPr>
        <w:pStyle w:val="BodyText"/>
        <w:jc w:val="both"/>
        <w:rPr>
          <w:b/>
        </w:rPr>
      </w:pPr>
    </w:p>
    <w:p w:rsidR="0086519B" w:rsidRDefault="0086519B" w:rsidP="0086519B">
      <w:pPr>
        <w:pStyle w:val="BodyText"/>
        <w:jc w:val="both"/>
        <w:rPr>
          <w:b/>
        </w:rPr>
      </w:pPr>
    </w:p>
    <w:p w:rsidR="0086519B" w:rsidRDefault="0086519B" w:rsidP="0086519B">
      <w:pPr>
        <w:jc w:val="center"/>
        <w:rPr>
          <w:rFonts w:cs="Arial"/>
          <w:b/>
          <w:sz w:val="20"/>
        </w:rPr>
      </w:pPr>
    </w:p>
    <w:p w:rsidR="0086519B" w:rsidRDefault="0086519B" w:rsidP="0086519B">
      <w:pPr>
        <w:jc w:val="center"/>
        <w:rPr>
          <w:rFonts w:cs="Arial"/>
          <w:b/>
          <w:sz w:val="20"/>
        </w:rPr>
      </w:pPr>
    </w:p>
    <w:p w:rsidR="0086519B" w:rsidRDefault="0086519B" w:rsidP="0086519B">
      <w:pPr>
        <w:jc w:val="center"/>
        <w:rPr>
          <w:rFonts w:cs="Arial"/>
          <w:b/>
          <w:sz w:val="20"/>
        </w:rPr>
      </w:pPr>
      <w:r>
        <w:rPr>
          <w:rFonts w:cs="Arial"/>
          <w:b/>
          <w:sz w:val="20"/>
        </w:rPr>
        <w:lastRenderedPageBreak/>
        <w:t>APPENDIX F</w:t>
      </w:r>
    </w:p>
    <w:p w:rsidR="0086519B" w:rsidRPr="009F35AD" w:rsidRDefault="0086519B" w:rsidP="0086519B">
      <w:pPr>
        <w:jc w:val="center"/>
        <w:rPr>
          <w:rFonts w:cs="Arial"/>
          <w:b/>
          <w:sz w:val="20"/>
        </w:rPr>
      </w:pPr>
    </w:p>
    <w:p w:rsidR="0086519B" w:rsidRDefault="0086519B" w:rsidP="0086519B">
      <w:pPr>
        <w:jc w:val="center"/>
        <w:rPr>
          <w:rFonts w:cs="Arial"/>
          <w:b/>
          <w:sz w:val="20"/>
        </w:rPr>
      </w:pPr>
      <w:r>
        <w:rPr>
          <w:rFonts w:cs="Arial"/>
          <w:b/>
          <w:sz w:val="20"/>
        </w:rPr>
        <w:t>SAFEGUARDING POLICIES</w:t>
      </w:r>
    </w:p>
    <w:p w:rsidR="0086519B" w:rsidRPr="00EF7D12" w:rsidRDefault="0086519B" w:rsidP="0086519B">
      <w:pPr>
        <w:rPr>
          <w:rFonts w:cs="Arial"/>
          <w:sz w:val="20"/>
        </w:rPr>
      </w:pPr>
    </w:p>
    <w:p w:rsidR="0086519B" w:rsidRPr="00B41CC1" w:rsidRDefault="0086519B" w:rsidP="0086519B">
      <w:pPr>
        <w:spacing w:after="200" w:line="276" w:lineRule="auto"/>
        <w:jc w:val="left"/>
        <w:rPr>
          <w:color w:val="000000"/>
          <w:sz w:val="20"/>
        </w:rPr>
      </w:pPr>
      <w:r>
        <w:rPr>
          <w:color w:val="000000"/>
          <w:sz w:val="20"/>
        </w:rPr>
        <w:t>Dudley Office of Public Health</w:t>
      </w:r>
      <w:r w:rsidRPr="00B41CC1">
        <w:rPr>
          <w:color w:val="000000"/>
          <w:sz w:val="20"/>
        </w:rPr>
        <w:t xml:space="preserve"> shares a commitment to safeguard and promote the welfare of children and young people. </w:t>
      </w:r>
      <w:r>
        <w:rPr>
          <w:color w:val="000000"/>
          <w:sz w:val="20"/>
        </w:rPr>
        <w:t>All</w:t>
      </w:r>
      <w:r w:rsidRPr="002D16BD">
        <w:rPr>
          <w:color w:val="000000"/>
          <w:sz w:val="20"/>
        </w:rPr>
        <w:t xml:space="preserve"> Service</w:t>
      </w:r>
      <w:r>
        <w:rPr>
          <w:color w:val="000000"/>
          <w:sz w:val="20"/>
        </w:rPr>
        <w:t>s provided by Dudley Group NHS Foundation Trust</w:t>
      </w:r>
      <w:r w:rsidRPr="002D16BD">
        <w:rPr>
          <w:color w:val="000000"/>
          <w:sz w:val="20"/>
        </w:rPr>
        <w:t xml:space="preserve"> must comply with the statutory</w:t>
      </w:r>
      <w:r w:rsidRPr="00B41CC1">
        <w:rPr>
          <w:color w:val="000000"/>
          <w:sz w:val="20"/>
        </w:rPr>
        <w:t xml:space="preserve"> duty under Section 11 of the Children’s Act 2004</w:t>
      </w:r>
      <w:r>
        <w:rPr>
          <w:color w:val="000000"/>
          <w:sz w:val="20"/>
        </w:rPr>
        <w:t xml:space="preserve">   </w:t>
      </w:r>
      <w:hyperlink r:id="rId12" w:history="1">
        <w:r w:rsidRPr="007134DE">
          <w:rPr>
            <w:rStyle w:val="Hyperlink"/>
            <w:sz w:val="20"/>
          </w:rPr>
          <w:t>http://www.legislation.gov.uk/ukpga/2004/31/section/11</w:t>
        </w:r>
      </w:hyperlink>
      <w:r>
        <w:rPr>
          <w:color w:val="000000"/>
          <w:sz w:val="20"/>
        </w:rPr>
        <w:t>.  This</w:t>
      </w:r>
      <w:r w:rsidRPr="00B41CC1">
        <w:rPr>
          <w:color w:val="000000"/>
          <w:sz w:val="20"/>
        </w:rPr>
        <w:t xml:space="preserve"> safeguarding section of this service specification should be read</w:t>
      </w:r>
      <w:r>
        <w:rPr>
          <w:color w:val="000000"/>
          <w:sz w:val="20"/>
        </w:rPr>
        <w:t xml:space="preserve"> and acted upon in conjunction with:</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color w:val="000000"/>
          <w:sz w:val="20"/>
        </w:rPr>
        <w:t xml:space="preserve"> </w:t>
      </w:r>
      <w:r w:rsidRPr="00B41CC1">
        <w:rPr>
          <w:i/>
          <w:color w:val="000000"/>
          <w:sz w:val="20"/>
        </w:rPr>
        <w:t>NHS Dudley Safeguarding Children Post CQC/</w:t>
      </w:r>
      <w:proofErr w:type="spellStart"/>
      <w:r w:rsidRPr="00B41CC1">
        <w:rPr>
          <w:i/>
          <w:color w:val="000000"/>
          <w:sz w:val="20"/>
        </w:rPr>
        <w:t>Ofsted</w:t>
      </w:r>
      <w:proofErr w:type="spellEnd"/>
      <w:r w:rsidRPr="00B41CC1">
        <w:rPr>
          <w:i/>
          <w:color w:val="000000"/>
          <w:sz w:val="20"/>
        </w:rPr>
        <w:t xml:space="preserve"> Visit. Master Action Plan, Version 5.0 (8th February 2012).</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i/>
          <w:color w:val="000000"/>
          <w:sz w:val="20"/>
        </w:rPr>
        <w:t xml:space="preserve">Right Services, Right Time, Right Place. (Dudley Children &amp; Young People’s Partnership and Dudley Safeguarding Children Board, September 2011). </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i/>
          <w:color w:val="000000"/>
          <w:sz w:val="20"/>
        </w:rPr>
        <w:t>Working Together</w:t>
      </w:r>
      <w:r w:rsidRPr="00B41CC1">
        <w:rPr>
          <w:color w:val="000000"/>
          <w:sz w:val="20"/>
        </w:rPr>
        <w:t xml:space="preserve"> (HM Government, 2010).</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i/>
          <w:color w:val="000000"/>
          <w:sz w:val="20"/>
        </w:rPr>
        <w:t>What to do if you are worried about a child is being abused</w:t>
      </w:r>
      <w:r w:rsidRPr="00B41CC1">
        <w:rPr>
          <w:color w:val="000000"/>
          <w:sz w:val="20"/>
        </w:rPr>
        <w:t xml:space="preserve"> (</w:t>
      </w:r>
      <w:proofErr w:type="spellStart"/>
      <w:r w:rsidRPr="00B41CC1">
        <w:rPr>
          <w:color w:val="000000"/>
          <w:sz w:val="20"/>
        </w:rPr>
        <w:t>DfES</w:t>
      </w:r>
      <w:proofErr w:type="spellEnd"/>
      <w:r w:rsidRPr="00B41CC1">
        <w:rPr>
          <w:color w:val="000000"/>
          <w:sz w:val="20"/>
        </w:rPr>
        <w:t>, 2010)</w:t>
      </w:r>
      <w:r>
        <w:rPr>
          <w:color w:val="000000"/>
          <w:sz w:val="20"/>
        </w:rPr>
        <w:t>.</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i/>
          <w:color w:val="000000"/>
          <w:sz w:val="20"/>
        </w:rPr>
        <w:t>Working Together</w:t>
      </w:r>
      <w:r w:rsidRPr="00B41CC1">
        <w:rPr>
          <w:color w:val="000000"/>
          <w:sz w:val="20"/>
        </w:rPr>
        <w:t xml:space="preserve"> (HM Government, 2010).</w:t>
      </w:r>
    </w:p>
    <w:p w:rsidR="0086519B" w:rsidRPr="00B41CC1" w:rsidRDefault="0086519B" w:rsidP="0086519B">
      <w:pPr>
        <w:pStyle w:val="ListParagraph"/>
        <w:numPr>
          <w:ilvl w:val="0"/>
          <w:numId w:val="23"/>
        </w:numPr>
        <w:suppressAutoHyphens w:val="0"/>
        <w:spacing w:after="200" w:line="276" w:lineRule="auto"/>
        <w:contextualSpacing/>
        <w:jc w:val="left"/>
        <w:rPr>
          <w:color w:val="000000"/>
          <w:sz w:val="20"/>
        </w:rPr>
      </w:pPr>
      <w:r w:rsidRPr="00B41CC1">
        <w:rPr>
          <w:i/>
          <w:color w:val="000000"/>
          <w:sz w:val="20"/>
        </w:rPr>
        <w:t xml:space="preserve">Statutory Guidance on Promoting the Health and Well-being of Looked After Children (DH &amp; Department for Children, Schools and Families, 2009). </w:t>
      </w:r>
    </w:p>
    <w:p w:rsidR="0086519B" w:rsidRPr="004F67BE" w:rsidRDefault="0086519B" w:rsidP="0086519B">
      <w:pPr>
        <w:pStyle w:val="ListParagraph"/>
        <w:numPr>
          <w:ilvl w:val="0"/>
          <w:numId w:val="23"/>
        </w:numPr>
        <w:suppressAutoHyphens w:val="0"/>
        <w:spacing w:after="200" w:line="276" w:lineRule="auto"/>
        <w:contextualSpacing/>
        <w:jc w:val="left"/>
        <w:rPr>
          <w:rFonts w:cs="Arial"/>
          <w:b/>
          <w:bCs/>
          <w:color w:val="339966"/>
          <w:sz w:val="20"/>
        </w:rPr>
      </w:pPr>
      <w:r w:rsidRPr="004F67BE">
        <w:rPr>
          <w:i/>
          <w:color w:val="000000"/>
          <w:sz w:val="20"/>
        </w:rPr>
        <w:t>Dudley Safeguarding Children’s Board</w:t>
      </w:r>
      <w:r w:rsidRPr="004F67BE">
        <w:rPr>
          <w:color w:val="000000"/>
          <w:sz w:val="20"/>
        </w:rPr>
        <w:t xml:space="preserve"> - Policy and Procedures (2008).       </w:t>
      </w:r>
    </w:p>
    <w:p w:rsidR="0086519B" w:rsidRPr="004F67BE" w:rsidRDefault="0086519B" w:rsidP="0086519B">
      <w:pPr>
        <w:pStyle w:val="ListParagraph"/>
        <w:numPr>
          <w:ilvl w:val="0"/>
          <w:numId w:val="23"/>
        </w:numPr>
        <w:suppressAutoHyphens w:val="0"/>
        <w:spacing w:after="200" w:line="276" w:lineRule="auto"/>
        <w:contextualSpacing/>
        <w:jc w:val="left"/>
        <w:rPr>
          <w:rFonts w:cs="Arial"/>
          <w:b/>
          <w:bCs/>
          <w:color w:val="339966"/>
          <w:sz w:val="20"/>
        </w:rPr>
      </w:pPr>
      <w:r w:rsidRPr="004F67BE">
        <w:rPr>
          <w:i/>
          <w:color w:val="000000"/>
          <w:sz w:val="20"/>
        </w:rPr>
        <w:t>NHS Dudley Child Protection procedures (2011)</w:t>
      </w:r>
      <w:r w:rsidRPr="004F67BE">
        <w:rPr>
          <w:color w:val="000000"/>
          <w:sz w:val="20"/>
        </w:rPr>
        <w:t xml:space="preserve">.  </w:t>
      </w:r>
    </w:p>
    <w:p w:rsidR="0086519B" w:rsidRDefault="0086519B" w:rsidP="0086519B">
      <w:pPr>
        <w:jc w:val="left"/>
        <w:rPr>
          <w:rFonts w:cs="Arial"/>
          <w:sz w:val="20"/>
        </w:rPr>
      </w:pPr>
    </w:p>
    <w:p w:rsidR="0086519B" w:rsidRDefault="0086519B">
      <w:pPr>
        <w:suppressAutoHyphens w:val="0"/>
        <w:spacing w:after="200" w:line="276" w:lineRule="auto"/>
        <w:jc w:val="left"/>
        <w:rPr>
          <w:rFonts w:cs="Arial"/>
          <w:b/>
          <w:sz w:val="20"/>
        </w:rPr>
      </w:pPr>
      <w:r>
        <w:rPr>
          <w:rFonts w:cs="Arial"/>
          <w:b/>
          <w:sz w:val="20"/>
        </w:rPr>
        <w:br w:type="page"/>
      </w:r>
    </w:p>
    <w:p w:rsidR="0086519B" w:rsidRDefault="0086519B" w:rsidP="0086519B">
      <w:pPr>
        <w:jc w:val="center"/>
        <w:rPr>
          <w:rFonts w:cs="Arial"/>
          <w:b/>
          <w:sz w:val="20"/>
        </w:rPr>
      </w:pPr>
      <w:r>
        <w:rPr>
          <w:rFonts w:cs="Arial"/>
          <w:b/>
          <w:sz w:val="20"/>
        </w:rPr>
        <w:lastRenderedPageBreak/>
        <w:t>APPENDIX G</w:t>
      </w:r>
    </w:p>
    <w:p w:rsidR="0086519B" w:rsidRPr="009F35AD" w:rsidRDefault="0086519B" w:rsidP="0086519B">
      <w:pPr>
        <w:jc w:val="center"/>
        <w:rPr>
          <w:rFonts w:cs="Arial"/>
          <w:b/>
          <w:sz w:val="20"/>
        </w:rPr>
      </w:pPr>
    </w:p>
    <w:p w:rsidR="0086519B" w:rsidRDefault="0086519B" w:rsidP="0086519B">
      <w:pPr>
        <w:jc w:val="center"/>
        <w:rPr>
          <w:b/>
          <w:sz w:val="20"/>
        </w:rPr>
      </w:pPr>
      <w:r w:rsidRPr="00AD75C7">
        <w:rPr>
          <w:b/>
          <w:sz w:val="20"/>
        </w:rPr>
        <w:t>INCIDENTS REQUIRING REPORTING PROCEDURE</w:t>
      </w:r>
    </w:p>
    <w:p w:rsidR="0086519B" w:rsidRDefault="0086519B" w:rsidP="0086519B">
      <w:pPr>
        <w:rPr>
          <w:rFonts w:cs="Arial"/>
          <w:sz w:val="20"/>
        </w:rPr>
      </w:pPr>
      <w:r>
        <w:rPr>
          <w:rFonts w:cs="Arial"/>
          <w:sz w:val="20"/>
        </w:rPr>
        <w:t>Definition:</w:t>
      </w:r>
    </w:p>
    <w:p w:rsidR="0086519B" w:rsidRDefault="0086519B" w:rsidP="0086519B">
      <w:pPr>
        <w:rPr>
          <w:rFonts w:cs="Arial"/>
          <w:sz w:val="20"/>
        </w:rPr>
      </w:pPr>
    </w:p>
    <w:p w:rsidR="0086519B" w:rsidRDefault="0086519B" w:rsidP="0086519B">
      <w:pPr>
        <w:rPr>
          <w:rFonts w:cs="Arial"/>
          <w:sz w:val="20"/>
        </w:rPr>
      </w:pPr>
      <w:r>
        <w:rPr>
          <w:rFonts w:cs="Arial"/>
          <w:sz w:val="20"/>
        </w:rPr>
        <w:t>A serious incident (SI) is an accident or incident (or series of incidents) when a patient/client, member of staff (including those working in the community), or a member of the public suffers (or potentially could suffer) serious injury, major permanent harm or unexpected death (or the risk of death or serious injury) on either premises where the service is provided, or whilst in receipt of the service, or where actions of service staff are likely to cause significant public concern.</w:t>
      </w:r>
    </w:p>
    <w:p w:rsidR="0086519B" w:rsidRDefault="0086519B" w:rsidP="0086519B">
      <w:pPr>
        <w:rPr>
          <w:rFonts w:cs="Arial"/>
          <w:sz w:val="20"/>
        </w:rPr>
      </w:pPr>
    </w:p>
    <w:p w:rsidR="0086519B" w:rsidRPr="00A37F94" w:rsidRDefault="0086519B" w:rsidP="0086519B">
      <w:pPr>
        <w:numPr>
          <w:ilvl w:val="0"/>
          <w:numId w:val="22"/>
        </w:numPr>
        <w:rPr>
          <w:rFonts w:cs="Arial"/>
          <w:sz w:val="20"/>
        </w:rPr>
      </w:pPr>
      <w:r>
        <w:rPr>
          <w:rFonts w:cs="Arial"/>
          <w:sz w:val="20"/>
        </w:rPr>
        <w:t xml:space="preserve">All identified serious incidents must be notified by the Provider to the Office of Public Health without delay and within </w:t>
      </w:r>
      <w:r>
        <w:rPr>
          <w:rFonts w:cs="Arial"/>
          <w:b/>
          <w:sz w:val="20"/>
        </w:rPr>
        <w:t>two working days.</w:t>
      </w:r>
    </w:p>
    <w:p w:rsidR="0086519B" w:rsidRDefault="0086519B" w:rsidP="0086519B">
      <w:pPr>
        <w:numPr>
          <w:ilvl w:val="0"/>
          <w:numId w:val="22"/>
        </w:numPr>
        <w:rPr>
          <w:rFonts w:cs="Arial"/>
          <w:sz w:val="20"/>
        </w:rPr>
      </w:pPr>
      <w:r>
        <w:rPr>
          <w:rFonts w:cs="Arial"/>
          <w:sz w:val="20"/>
        </w:rPr>
        <w:t>The Provider will comply and participate in the Nationally recognised reporting mechanisms for Serious Incidents (SI) and/or Clinical Incident Reporting systems and operate an internal system to record, collate and implement learning from incidents and events and agree to share such data with the Office of Public Health.</w:t>
      </w:r>
    </w:p>
    <w:p w:rsidR="0086519B" w:rsidRDefault="0086519B" w:rsidP="0086519B">
      <w:pPr>
        <w:numPr>
          <w:ilvl w:val="0"/>
          <w:numId w:val="22"/>
        </w:numPr>
        <w:rPr>
          <w:rFonts w:cs="Arial"/>
          <w:sz w:val="20"/>
        </w:rPr>
      </w:pPr>
      <w:r>
        <w:rPr>
          <w:rFonts w:cs="Arial"/>
          <w:sz w:val="20"/>
        </w:rPr>
        <w:t>The Provider will conduct a SI investigation in accordance with national standards and in agreement with the Office of Public Health as specified in Healthcare Guidance (referenced below) within a specified time scale.</w:t>
      </w:r>
    </w:p>
    <w:p w:rsidR="0086519B" w:rsidRDefault="0086519B" w:rsidP="0086519B">
      <w:pPr>
        <w:numPr>
          <w:ilvl w:val="0"/>
          <w:numId w:val="22"/>
        </w:numPr>
        <w:rPr>
          <w:rFonts w:cs="Arial"/>
          <w:sz w:val="20"/>
        </w:rPr>
      </w:pPr>
      <w:r>
        <w:rPr>
          <w:rFonts w:cs="Arial"/>
          <w:sz w:val="20"/>
        </w:rPr>
        <w:t>The Provider will designate a senior member of staff to have responsibility for reporting and follow-up of serious incidents within given timescales.</w:t>
      </w:r>
    </w:p>
    <w:p w:rsidR="0086519B" w:rsidRDefault="0086519B" w:rsidP="0086519B">
      <w:pPr>
        <w:numPr>
          <w:ilvl w:val="0"/>
          <w:numId w:val="22"/>
        </w:numPr>
        <w:rPr>
          <w:rFonts w:cs="Arial"/>
          <w:sz w:val="20"/>
        </w:rPr>
      </w:pPr>
      <w:r>
        <w:rPr>
          <w:rFonts w:cs="Arial"/>
          <w:sz w:val="20"/>
        </w:rPr>
        <w:t>Following the investigation of a serious incident an action plan will be drawn up by the Provider.</w:t>
      </w:r>
    </w:p>
    <w:p w:rsidR="0086519B" w:rsidRDefault="0086519B" w:rsidP="0086519B">
      <w:pPr>
        <w:numPr>
          <w:ilvl w:val="0"/>
          <w:numId w:val="22"/>
        </w:numPr>
        <w:rPr>
          <w:rFonts w:cs="Arial"/>
          <w:sz w:val="20"/>
        </w:rPr>
      </w:pPr>
      <w:r>
        <w:rPr>
          <w:rFonts w:cs="Arial"/>
          <w:sz w:val="20"/>
        </w:rPr>
        <w:t xml:space="preserve">The Office of Public Health will give feedback within </w:t>
      </w:r>
      <w:r>
        <w:rPr>
          <w:rFonts w:cs="Arial"/>
          <w:b/>
          <w:sz w:val="20"/>
        </w:rPr>
        <w:t>20 working days</w:t>
      </w:r>
      <w:r>
        <w:rPr>
          <w:rFonts w:cs="Arial"/>
          <w:sz w:val="20"/>
        </w:rPr>
        <w:t xml:space="preserve"> of receipt of the action plan and if it requires further development, will refer back to the Provider requesting additional information within a specified timescale.</w:t>
      </w:r>
    </w:p>
    <w:p w:rsidR="0086519B" w:rsidRDefault="0086519B" w:rsidP="0086519B">
      <w:pPr>
        <w:numPr>
          <w:ilvl w:val="0"/>
          <w:numId w:val="22"/>
        </w:numPr>
        <w:rPr>
          <w:rFonts w:cs="Arial"/>
          <w:sz w:val="20"/>
        </w:rPr>
      </w:pPr>
      <w:r>
        <w:rPr>
          <w:rFonts w:cs="Arial"/>
          <w:sz w:val="20"/>
        </w:rPr>
        <w:t>The serious incident will be deemed ‘closed’ with the agreement of the Office of Public Health, following the receipt of evidence of implementation of actions, and dissemination of lessons learnt within the Provider organisation.</w:t>
      </w:r>
    </w:p>
    <w:p w:rsidR="0086519B" w:rsidRPr="00A37F94" w:rsidRDefault="0086519B" w:rsidP="0086519B">
      <w:pPr>
        <w:numPr>
          <w:ilvl w:val="0"/>
          <w:numId w:val="22"/>
        </w:numPr>
        <w:rPr>
          <w:rFonts w:cs="Arial"/>
          <w:sz w:val="20"/>
        </w:rPr>
      </w:pPr>
      <w:r>
        <w:rPr>
          <w:rFonts w:cs="Arial"/>
          <w:sz w:val="20"/>
        </w:rPr>
        <w:t>The Office of Public Health shall have complete discretion to use the information provided by the Provider in any report internally, or to any other appropriate regulatory or official body in connection with such serious Incident or in relation to the prevention of Serious Incidents, provided that they shall in each case notify the Provider of the information disclosed, and the body to which they have disclosed it.</w:t>
      </w:r>
    </w:p>
    <w:p w:rsidR="0086519B" w:rsidRDefault="0086519B" w:rsidP="0086519B">
      <w:pPr>
        <w:jc w:val="center"/>
        <w:rPr>
          <w:b/>
          <w:sz w:val="20"/>
        </w:rPr>
      </w:pPr>
    </w:p>
    <w:p w:rsidR="0086519B" w:rsidRDefault="0086519B" w:rsidP="0086519B">
      <w:pPr>
        <w:jc w:val="left"/>
        <w:rPr>
          <w:sz w:val="20"/>
        </w:rPr>
      </w:pPr>
      <w:r w:rsidRPr="00EC73C4">
        <w:rPr>
          <w:sz w:val="20"/>
        </w:rPr>
        <w:t>All notifications in respect o</w:t>
      </w:r>
      <w:r>
        <w:rPr>
          <w:sz w:val="20"/>
        </w:rPr>
        <w:t>f</w:t>
      </w:r>
      <w:r w:rsidRPr="00EC73C4">
        <w:rPr>
          <w:sz w:val="20"/>
        </w:rPr>
        <w:t xml:space="preserve"> Serious Incidents </w:t>
      </w:r>
      <w:r>
        <w:rPr>
          <w:sz w:val="20"/>
        </w:rPr>
        <w:t xml:space="preserve">should be sent </w:t>
      </w:r>
    </w:p>
    <w:p w:rsidR="0086519B" w:rsidRDefault="0086519B" w:rsidP="0086519B">
      <w:pPr>
        <w:jc w:val="left"/>
        <w:rPr>
          <w:sz w:val="20"/>
        </w:rPr>
      </w:pPr>
    </w:p>
    <w:p w:rsidR="0086519B" w:rsidRDefault="0086519B" w:rsidP="0086519B">
      <w:pPr>
        <w:jc w:val="left"/>
        <w:rPr>
          <w:sz w:val="20"/>
        </w:rPr>
      </w:pPr>
      <w:proofErr w:type="gramStart"/>
      <w:r>
        <w:rPr>
          <w:sz w:val="20"/>
        </w:rPr>
        <w:t>to</w:t>
      </w:r>
      <w:proofErr w:type="gramEnd"/>
      <w:r>
        <w:rPr>
          <w:sz w:val="20"/>
        </w:rPr>
        <w:t>:</w:t>
      </w:r>
      <w:r>
        <w:rPr>
          <w:sz w:val="20"/>
        </w:rPr>
        <w:tab/>
      </w:r>
      <w:r w:rsidR="00403620">
        <w:rPr>
          <w:sz w:val="20"/>
        </w:rPr>
        <w:t>Catherine Goodridge</w:t>
      </w:r>
    </w:p>
    <w:p w:rsidR="0086519B" w:rsidRDefault="0086519B" w:rsidP="0086519B">
      <w:pPr>
        <w:jc w:val="left"/>
        <w:rPr>
          <w:sz w:val="20"/>
        </w:rPr>
      </w:pPr>
    </w:p>
    <w:p w:rsidR="0086519B" w:rsidRDefault="0086519B" w:rsidP="0086519B">
      <w:pPr>
        <w:jc w:val="left"/>
        <w:rPr>
          <w:sz w:val="20"/>
        </w:rPr>
      </w:pPr>
      <w:r>
        <w:rPr>
          <w:sz w:val="20"/>
        </w:rPr>
        <w:t xml:space="preserve">cc: </w:t>
      </w:r>
      <w:r>
        <w:rPr>
          <w:sz w:val="20"/>
        </w:rPr>
        <w:tab/>
      </w:r>
      <w:proofErr w:type="gramStart"/>
      <w:r w:rsidR="00403620">
        <w:rPr>
          <w:sz w:val="20"/>
        </w:rPr>
        <w:t>Bal</w:t>
      </w:r>
      <w:proofErr w:type="gramEnd"/>
      <w:r w:rsidR="00403620">
        <w:rPr>
          <w:sz w:val="20"/>
        </w:rPr>
        <w:t xml:space="preserve"> Kaur</w:t>
      </w:r>
    </w:p>
    <w:p w:rsidR="0086519B" w:rsidRDefault="0086519B" w:rsidP="0086519B">
      <w:pPr>
        <w:ind w:left="720"/>
        <w:jc w:val="left"/>
        <w:rPr>
          <w:sz w:val="20"/>
        </w:rPr>
      </w:pPr>
    </w:p>
    <w:p w:rsidR="0086519B" w:rsidRDefault="0086519B" w:rsidP="0086519B">
      <w:pPr>
        <w:jc w:val="left"/>
        <w:rPr>
          <w:sz w:val="20"/>
        </w:rPr>
      </w:pPr>
      <w:r>
        <w:rPr>
          <w:sz w:val="20"/>
        </w:rPr>
        <w:tab/>
      </w:r>
    </w:p>
    <w:p w:rsidR="0086519B" w:rsidRDefault="0086519B" w:rsidP="0086519B">
      <w:pPr>
        <w:jc w:val="left"/>
        <w:rPr>
          <w:sz w:val="20"/>
        </w:rPr>
      </w:pPr>
    </w:p>
    <w:p w:rsidR="0086519B" w:rsidRDefault="0086519B" w:rsidP="0086519B">
      <w:pPr>
        <w:jc w:val="left"/>
        <w:rPr>
          <w:sz w:val="20"/>
        </w:rPr>
      </w:pPr>
      <w:r>
        <w:rPr>
          <w:sz w:val="20"/>
        </w:rPr>
        <w:t>References:</w:t>
      </w:r>
    </w:p>
    <w:p w:rsidR="0086519B" w:rsidRPr="00520471" w:rsidRDefault="0086519B" w:rsidP="0086519B">
      <w:pPr>
        <w:jc w:val="left"/>
        <w:rPr>
          <w:i/>
          <w:sz w:val="20"/>
        </w:rPr>
      </w:pPr>
    </w:p>
    <w:p w:rsidR="0086519B" w:rsidRDefault="0086519B" w:rsidP="0086519B">
      <w:pPr>
        <w:jc w:val="left"/>
        <w:rPr>
          <w:sz w:val="20"/>
        </w:rPr>
      </w:pPr>
      <w:r w:rsidRPr="00520471">
        <w:rPr>
          <w:i/>
          <w:sz w:val="20"/>
        </w:rPr>
        <w:t>Revised Framework for Serious Incident Management in the NHS</w:t>
      </w:r>
      <w:r>
        <w:rPr>
          <w:sz w:val="20"/>
        </w:rPr>
        <w:t>, NHS England May 2013</w:t>
      </w:r>
    </w:p>
    <w:p w:rsidR="0086519B" w:rsidRDefault="0086519B" w:rsidP="0086519B">
      <w:pPr>
        <w:jc w:val="left"/>
        <w:rPr>
          <w:sz w:val="20"/>
        </w:rPr>
      </w:pPr>
    </w:p>
    <w:p w:rsidR="0086519B" w:rsidRDefault="0086519B" w:rsidP="0086519B">
      <w:pPr>
        <w:rPr>
          <w:b/>
          <w:sz w:val="20"/>
        </w:rPr>
      </w:pPr>
      <w:r w:rsidRPr="00520471">
        <w:rPr>
          <w:i/>
          <w:sz w:val="20"/>
        </w:rPr>
        <w:t xml:space="preserve">National Framework for Reporting and Learning form Serious Incidents </w:t>
      </w:r>
      <w:r>
        <w:rPr>
          <w:i/>
          <w:sz w:val="20"/>
        </w:rPr>
        <w:t>R</w:t>
      </w:r>
      <w:r w:rsidRPr="00520471">
        <w:rPr>
          <w:i/>
          <w:sz w:val="20"/>
        </w:rPr>
        <w:t>equiring Investigation,</w:t>
      </w:r>
      <w:r>
        <w:rPr>
          <w:sz w:val="20"/>
        </w:rPr>
        <w:t xml:space="preserve"> National Patient Safety Agency (NPSA) 2010</w:t>
      </w:r>
    </w:p>
    <w:p w:rsidR="0086519B" w:rsidRDefault="0086519B" w:rsidP="0086519B">
      <w:pPr>
        <w:suppressAutoHyphens w:val="0"/>
        <w:jc w:val="left"/>
        <w:rPr>
          <w:b/>
          <w:sz w:val="20"/>
        </w:rPr>
      </w:pPr>
    </w:p>
    <w:p w:rsidR="0086519B" w:rsidRDefault="0086519B" w:rsidP="0086519B">
      <w:pPr>
        <w:suppressAutoHyphens w:val="0"/>
        <w:spacing w:after="200" w:line="276" w:lineRule="auto"/>
        <w:jc w:val="left"/>
        <w:rPr>
          <w:b/>
          <w:sz w:val="20"/>
        </w:rPr>
      </w:pPr>
    </w:p>
    <w:p w:rsidR="0086519B" w:rsidRDefault="0086519B" w:rsidP="0086519B">
      <w:pPr>
        <w:suppressAutoHyphens w:val="0"/>
        <w:spacing w:after="200" w:line="276" w:lineRule="auto"/>
        <w:jc w:val="left"/>
        <w:rPr>
          <w:b/>
          <w:sz w:val="20"/>
        </w:rPr>
      </w:pPr>
      <w:r>
        <w:rPr>
          <w:b/>
          <w:sz w:val="20"/>
        </w:rPr>
        <w:br w:type="page"/>
      </w:r>
    </w:p>
    <w:p w:rsidR="0086519B" w:rsidRDefault="0086519B" w:rsidP="0086519B">
      <w:pPr>
        <w:jc w:val="center"/>
        <w:rPr>
          <w:b/>
          <w:sz w:val="20"/>
        </w:rPr>
      </w:pPr>
    </w:p>
    <w:p w:rsidR="0086519B" w:rsidRDefault="0086519B" w:rsidP="0086519B">
      <w:pPr>
        <w:jc w:val="center"/>
        <w:rPr>
          <w:b/>
          <w:sz w:val="20"/>
        </w:rPr>
      </w:pPr>
    </w:p>
    <w:p w:rsidR="0086519B" w:rsidRDefault="0086519B" w:rsidP="0086519B">
      <w:pPr>
        <w:jc w:val="center"/>
        <w:rPr>
          <w:b/>
          <w:sz w:val="20"/>
        </w:rPr>
      </w:pPr>
      <w:r>
        <w:rPr>
          <w:b/>
          <w:sz w:val="20"/>
        </w:rPr>
        <w:t>APPENDIX H</w:t>
      </w:r>
    </w:p>
    <w:p w:rsidR="0086519B" w:rsidRDefault="0086519B" w:rsidP="0086519B">
      <w:pPr>
        <w:jc w:val="center"/>
        <w:rPr>
          <w:b/>
          <w:sz w:val="20"/>
        </w:rPr>
      </w:pPr>
    </w:p>
    <w:p w:rsidR="0086519B" w:rsidRDefault="0086519B" w:rsidP="0086519B">
      <w:pPr>
        <w:jc w:val="center"/>
        <w:rPr>
          <w:b/>
          <w:sz w:val="20"/>
        </w:rPr>
      </w:pPr>
      <w:r>
        <w:rPr>
          <w:b/>
          <w:sz w:val="20"/>
        </w:rPr>
        <w:t>INFORMATION PROVISION</w:t>
      </w:r>
    </w:p>
    <w:p w:rsidR="0086519B" w:rsidRDefault="0086519B" w:rsidP="0086519B">
      <w:pPr>
        <w:jc w:val="center"/>
        <w:rPr>
          <w:b/>
          <w:sz w:val="20"/>
        </w:rPr>
      </w:pPr>
    </w:p>
    <w:p w:rsidR="0086519B" w:rsidRDefault="0086519B" w:rsidP="0086519B">
      <w:pPr>
        <w:jc w:val="center"/>
        <w:rPr>
          <w:b/>
          <w:i/>
          <w:sz w:val="2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559"/>
        <w:gridCol w:w="1701"/>
        <w:gridCol w:w="2268"/>
      </w:tblGrid>
      <w:tr w:rsidR="0086519B" w:rsidTr="0086519B">
        <w:tc>
          <w:tcPr>
            <w:tcW w:w="4254"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center"/>
              <w:rPr>
                <w:b/>
                <w:i/>
                <w:sz w:val="20"/>
              </w:rPr>
            </w:pPr>
            <w:r>
              <w:rPr>
                <w:b/>
                <w:i/>
                <w:sz w:val="20"/>
              </w:rPr>
              <w:t>Information Type</w:t>
            </w:r>
          </w:p>
        </w:tc>
        <w:tc>
          <w:tcPr>
            <w:tcW w:w="1559"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center"/>
              <w:rPr>
                <w:b/>
                <w:i/>
                <w:sz w:val="20"/>
              </w:rPr>
            </w:pPr>
            <w:r>
              <w:rPr>
                <w:b/>
                <w:i/>
                <w:sz w:val="20"/>
              </w:rPr>
              <w:t>Format</w:t>
            </w:r>
          </w:p>
        </w:tc>
        <w:tc>
          <w:tcPr>
            <w:tcW w:w="1701"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center"/>
              <w:rPr>
                <w:b/>
                <w:i/>
                <w:sz w:val="20"/>
              </w:rPr>
            </w:pPr>
            <w:r>
              <w:rPr>
                <w:b/>
                <w:i/>
                <w:sz w:val="20"/>
              </w:rPr>
              <w:t>Frequency</w:t>
            </w:r>
          </w:p>
        </w:tc>
        <w:tc>
          <w:tcPr>
            <w:tcW w:w="226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jc w:val="center"/>
              <w:rPr>
                <w:b/>
                <w:i/>
                <w:sz w:val="20"/>
              </w:rPr>
            </w:pPr>
            <w:r>
              <w:rPr>
                <w:b/>
                <w:i/>
                <w:sz w:val="20"/>
              </w:rPr>
              <w:t>Timescale</w:t>
            </w:r>
          </w:p>
        </w:tc>
      </w:tr>
      <w:tr w:rsidR="0086519B" w:rsidTr="0086519B">
        <w:tc>
          <w:tcPr>
            <w:tcW w:w="4254"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 w:val="20"/>
              </w:rPr>
            </w:pPr>
            <w:r>
              <w:rPr>
                <w:sz w:val="20"/>
              </w:rPr>
              <w:t>Weight Loss Data</w:t>
            </w:r>
          </w:p>
        </w:tc>
        <w:tc>
          <w:tcPr>
            <w:tcW w:w="1559"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 w:val="20"/>
              </w:rPr>
            </w:pPr>
            <w:r>
              <w:rPr>
                <w:sz w:val="20"/>
              </w:rPr>
              <w:t>Data extraction spreadsheet or patient data form</w:t>
            </w:r>
          </w:p>
        </w:tc>
        <w:tc>
          <w:tcPr>
            <w:tcW w:w="1701"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 w:val="20"/>
              </w:rPr>
            </w:pPr>
            <w:r>
              <w:rPr>
                <w:sz w:val="20"/>
              </w:rPr>
              <w:t>Quarterly</w:t>
            </w:r>
          </w:p>
        </w:tc>
        <w:tc>
          <w:tcPr>
            <w:tcW w:w="2268" w:type="dxa"/>
            <w:tcBorders>
              <w:top w:val="single" w:sz="4" w:space="0" w:color="auto"/>
              <w:left w:val="single" w:sz="4" w:space="0" w:color="auto"/>
              <w:bottom w:val="single" w:sz="4" w:space="0" w:color="auto"/>
              <w:right w:val="single" w:sz="4" w:space="0" w:color="auto"/>
            </w:tcBorders>
            <w:hideMark/>
          </w:tcPr>
          <w:p w:rsidR="0086519B" w:rsidRDefault="0086519B">
            <w:pPr>
              <w:spacing w:line="276" w:lineRule="auto"/>
              <w:rPr>
                <w:sz w:val="20"/>
              </w:rPr>
            </w:pPr>
            <w:r>
              <w:rPr>
                <w:sz w:val="20"/>
              </w:rPr>
              <w:t>5</w:t>
            </w:r>
            <w:r>
              <w:rPr>
                <w:sz w:val="20"/>
                <w:vertAlign w:val="superscript"/>
              </w:rPr>
              <w:t>th</w:t>
            </w:r>
            <w:r>
              <w:rPr>
                <w:sz w:val="20"/>
              </w:rPr>
              <w:t xml:space="preserve"> of month following quarter</w:t>
            </w:r>
          </w:p>
        </w:tc>
      </w:tr>
    </w:tbl>
    <w:p w:rsidR="0086519B" w:rsidRDefault="0086519B" w:rsidP="0086519B">
      <w:pPr>
        <w:jc w:val="center"/>
        <w:rPr>
          <w:b/>
          <w:sz w:val="20"/>
        </w:rPr>
      </w:pPr>
    </w:p>
    <w:p w:rsidR="0086519B" w:rsidRDefault="0086519B" w:rsidP="0086519B">
      <w:pPr>
        <w:jc w:val="center"/>
        <w:rPr>
          <w:rFonts w:cs="Arial"/>
          <w:b/>
          <w:sz w:val="20"/>
        </w:rPr>
      </w:pPr>
    </w:p>
    <w:p w:rsidR="0086519B" w:rsidRDefault="0086519B" w:rsidP="0086519B">
      <w:pPr>
        <w:jc w:val="center"/>
        <w:rPr>
          <w:rFonts w:cs="Arial"/>
          <w:b/>
          <w:sz w:val="20"/>
        </w:rPr>
      </w:pPr>
      <w:r>
        <w:rPr>
          <w:rFonts w:cs="Arial"/>
          <w:b/>
          <w:sz w:val="20"/>
        </w:rPr>
        <w:t>APPENDIX I</w:t>
      </w:r>
    </w:p>
    <w:p w:rsidR="0086519B" w:rsidRDefault="0086519B" w:rsidP="0086519B">
      <w:pPr>
        <w:jc w:val="center"/>
        <w:rPr>
          <w:rFonts w:cs="Arial"/>
          <w:b/>
          <w:sz w:val="20"/>
        </w:rPr>
      </w:pPr>
    </w:p>
    <w:p w:rsidR="0086519B" w:rsidRDefault="0086519B" w:rsidP="0086519B">
      <w:pPr>
        <w:jc w:val="center"/>
        <w:rPr>
          <w:rFonts w:cs="Arial"/>
          <w:sz w:val="20"/>
        </w:rPr>
      </w:pPr>
      <w:r>
        <w:rPr>
          <w:rFonts w:cs="Arial"/>
          <w:b/>
          <w:sz w:val="20"/>
        </w:rPr>
        <w:t xml:space="preserve">TRANSFER OF </w:t>
      </w:r>
      <w:smartTag w:uri="urn:schemas-microsoft-com:office:smarttags" w:element="stockticker">
        <w:r>
          <w:rPr>
            <w:rFonts w:cs="Arial"/>
            <w:b/>
            <w:sz w:val="20"/>
          </w:rPr>
          <w:t>AND</w:t>
        </w:r>
      </w:smartTag>
      <w:r>
        <w:rPr>
          <w:rFonts w:cs="Arial"/>
          <w:b/>
          <w:sz w:val="20"/>
        </w:rPr>
        <w:t xml:space="preserve"> DISCHARGE FROM </w:t>
      </w:r>
      <w:smartTag w:uri="urn:schemas-microsoft-com:office:smarttags" w:element="stockticker">
        <w:r>
          <w:rPr>
            <w:rFonts w:cs="Arial"/>
            <w:b/>
            <w:sz w:val="20"/>
          </w:rPr>
          <w:t>CARE</w:t>
        </w:r>
      </w:smartTag>
      <w:r>
        <w:rPr>
          <w:rFonts w:cs="Arial"/>
          <w:b/>
          <w:sz w:val="20"/>
        </w:rPr>
        <w:t xml:space="preserve"> PROTOCOLS</w:t>
      </w:r>
      <w:r>
        <w:rPr>
          <w:rFonts w:cs="Arial"/>
          <w:sz w:val="20"/>
        </w:rPr>
        <w:t xml:space="preserve"> </w:t>
      </w:r>
    </w:p>
    <w:p w:rsidR="0086519B" w:rsidRDefault="0086519B" w:rsidP="0086519B">
      <w:pPr>
        <w:rPr>
          <w:rFonts w:cs="Arial"/>
          <w:sz w:val="20"/>
        </w:rPr>
      </w:pPr>
    </w:p>
    <w:p w:rsidR="0086519B" w:rsidRDefault="0086519B" w:rsidP="0086519B">
      <w:pPr>
        <w:jc w:val="left"/>
        <w:rPr>
          <w:b/>
          <w:i/>
          <w:sz w:val="20"/>
        </w:rPr>
      </w:pPr>
      <w:r>
        <w:rPr>
          <w:b/>
          <w:i/>
          <w:sz w:val="20"/>
        </w:rPr>
        <w:t>N/A</w:t>
      </w:r>
    </w:p>
    <w:p w:rsidR="0086519B" w:rsidRDefault="0086519B" w:rsidP="0086519B">
      <w:pPr>
        <w:jc w:val="center"/>
        <w:rPr>
          <w:rFonts w:cs="Arial"/>
          <w:b/>
          <w:sz w:val="20"/>
        </w:rPr>
      </w:pPr>
    </w:p>
    <w:p w:rsidR="0086519B" w:rsidRDefault="0086519B" w:rsidP="0086519B">
      <w:pPr>
        <w:suppressAutoHyphens w:val="0"/>
        <w:spacing w:after="200" w:line="276" w:lineRule="auto"/>
        <w:jc w:val="left"/>
        <w:rPr>
          <w:rFonts w:cs="Arial"/>
          <w:b/>
          <w:sz w:val="20"/>
        </w:rPr>
      </w:pPr>
    </w:p>
    <w:p w:rsidR="0086519B" w:rsidRDefault="001072C5" w:rsidP="001072C5">
      <w:pPr>
        <w:suppressAutoHyphens w:val="0"/>
        <w:spacing w:after="200" w:line="276" w:lineRule="auto"/>
        <w:jc w:val="center"/>
        <w:rPr>
          <w:rFonts w:cs="Arial"/>
          <w:b/>
          <w:sz w:val="20"/>
        </w:rPr>
      </w:pPr>
      <w:r>
        <w:rPr>
          <w:rFonts w:cs="Arial"/>
          <w:b/>
          <w:sz w:val="20"/>
        </w:rPr>
        <w:t>APPENDIX J</w:t>
      </w:r>
    </w:p>
    <w:p w:rsidR="0086519B" w:rsidRDefault="0086519B" w:rsidP="001072C5">
      <w:pPr>
        <w:suppressAutoHyphens w:val="0"/>
        <w:spacing w:after="200" w:line="276" w:lineRule="auto"/>
        <w:jc w:val="center"/>
        <w:rPr>
          <w:rFonts w:cs="Arial"/>
          <w:b/>
          <w:sz w:val="20"/>
        </w:rPr>
      </w:pPr>
      <w:r>
        <w:rPr>
          <w:rFonts w:cs="Arial"/>
          <w:b/>
          <w:sz w:val="20"/>
        </w:rPr>
        <w:t>SERVICE QUALITY PERFORMANCE REPORT</w:t>
      </w:r>
    </w:p>
    <w:p w:rsidR="0086519B" w:rsidRDefault="0086519B" w:rsidP="0086519B">
      <w:pPr>
        <w:spacing w:before="120" w:after="120"/>
        <w:rPr>
          <w:b/>
          <w:iCs/>
          <w:sz w:val="22"/>
          <w:szCs w:val="22"/>
        </w:rPr>
      </w:pPr>
    </w:p>
    <w:p w:rsidR="0086519B" w:rsidRDefault="0086519B" w:rsidP="0086519B">
      <w:pPr>
        <w:spacing w:before="120" w:after="120"/>
        <w:rPr>
          <w:b/>
          <w:iCs/>
          <w:sz w:val="22"/>
          <w:szCs w:val="22"/>
        </w:rPr>
      </w:pPr>
      <w:r>
        <w:rPr>
          <w:b/>
          <w:iCs/>
          <w:sz w:val="22"/>
          <w:szCs w:val="22"/>
        </w:rPr>
        <w:t>Monitoring reports and evaluation</w:t>
      </w:r>
    </w:p>
    <w:p w:rsidR="0086519B" w:rsidRDefault="0086519B" w:rsidP="0086519B">
      <w:pPr>
        <w:spacing w:before="120" w:after="120"/>
        <w:rPr>
          <w:sz w:val="22"/>
          <w:szCs w:val="22"/>
        </w:rPr>
      </w:pPr>
      <w:r>
        <w:rPr>
          <w:sz w:val="22"/>
          <w:szCs w:val="22"/>
        </w:rPr>
        <w:t xml:space="preserve">The data collection tool will deliver the following minimum data set to the Dudley Public Health and the provider:  </w:t>
      </w:r>
    </w:p>
    <w:p w:rsidR="0086519B" w:rsidRDefault="0086519B" w:rsidP="0086519B">
      <w:pPr>
        <w:numPr>
          <w:ilvl w:val="0"/>
          <w:numId w:val="34"/>
        </w:numPr>
        <w:suppressAutoHyphens w:val="0"/>
        <w:spacing w:before="120" w:after="120"/>
        <w:jc w:val="left"/>
        <w:rPr>
          <w:sz w:val="22"/>
          <w:szCs w:val="22"/>
        </w:rPr>
      </w:pPr>
      <w:r>
        <w:rPr>
          <w:sz w:val="22"/>
          <w:szCs w:val="22"/>
        </w:rPr>
        <w:t>Number of people referred</w:t>
      </w:r>
    </w:p>
    <w:p w:rsidR="0086519B" w:rsidRDefault="0086519B" w:rsidP="0086519B">
      <w:pPr>
        <w:numPr>
          <w:ilvl w:val="0"/>
          <w:numId w:val="34"/>
        </w:numPr>
        <w:suppressAutoHyphens w:val="0"/>
        <w:spacing w:before="120" w:after="120"/>
        <w:jc w:val="left"/>
        <w:rPr>
          <w:sz w:val="22"/>
          <w:szCs w:val="22"/>
        </w:rPr>
      </w:pPr>
      <w:r>
        <w:rPr>
          <w:sz w:val="22"/>
          <w:szCs w:val="22"/>
        </w:rPr>
        <w:t>Numbers of people attending initial appointment</w:t>
      </w:r>
    </w:p>
    <w:p w:rsidR="0086519B" w:rsidRDefault="0086519B" w:rsidP="0086519B">
      <w:pPr>
        <w:numPr>
          <w:ilvl w:val="0"/>
          <w:numId w:val="34"/>
        </w:numPr>
        <w:suppressAutoHyphens w:val="0"/>
        <w:spacing w:before="120" w:after="120"/>
        <w:jc w:val="left"/>
        <w:rPr>
          <w:sz w:val="22"/>
          <w:szCs w:val="22"/>
        </w:rPr>
      </w:pPr>
      <w:r>
        <w:rPr>
          <w:sz w:val="22"/>
          <w:szCs w:val="22"/>
        </w:rPr>
        <w:t xml:space="preserve">Numbers of people completing 5 fortnightly appointments </w:t>
      </w:r>
    </w:p>
    <w:p w:rsidR="0086519B" w:rsidRDefault="0086519B" w:rsidP="0086519B">
      <w:pPr>
        <w:numPr>
          <w:ilvl w:val="0"/>
          <w:numId w:val="34"/>
        </w:numPr>
        <w:suppressAutoHyphens w:val="0"/>
        <w:spacing w:before="120" w:after="120"/>
        <w:jc w:val="left"/>
        <w:rPr>
          <w:sz w:val="22"/>
          <w:szCs w:val="22"/>
        </w:rPr>
      </w:pPr>
      <w:r>
        <w:rPr>
          <w:sz w:val="22"/>
          <w:szCs w:val="22"/>
        </w:rPr>
        <w:t>Numbers of people completing 3 quarterly follow up appointments</w:t>
      </w:r>
    </w:p>
    <w:p w:rsidR="0086519B" w:rsidRDefault="0086519B" w:rsidP="0086519B">
      <w:pPr>
        <w:numPr>
          <w:ilvl w:val="0"/>
          <w:numId w:val="34"/>
        </w:numPr>
        <w:suppressAutoHyphens w:val="0"/>
        <w:spacing w:before="120" w:after="120"/>
        <w:jc w:val="left"/>
        <w:rPr>
          <w:sz w:val="22"/>
          <w:szCs w:val="22"/>
        </w:rPr>
      </w:pPr>
      <w:r>
        <w:rPr>
          <w:sz w:val="22"/>
          <w:szCs w:val="22"/>
        </w:rPr>
        <w:t>Patient demographics- age, ethnicity, gender and postcode</w:t>
      </w:r>
    </w:p>
    <w:p w:rsidR="0086519B" w:rsidRDefault="0086519B" w:rsidP="0086519B">
      <w:pPr>
        <w:numPr>
          <w:ilvl w:val="0"/>
          <w:numId w:val="35"/>
        </w:numPr>
        <w:suppressAutoHyphens w:val="0"/>
        <w:spacing w:before="120" w:after="120"/>
        <w:jc w:val="left"/>
        <w:rPr>
          <w:sz w:val="22"/>
          <w:szCs w:val="22"/>
        </w:rPr>
      </w:pPr>
      <w:r>
        <w:rPr>
          <w:sz w:val="22"/>
          <w:szCs w:val="22"/>
        </w:rPr>
        <w:t>% weight loss</w:t>
      </w:r>
    </w:p>
    <w:p w:rsidR="0086519B" w:rsidRDefault="0086519B" w:rsidP="0086519B">
      <w:pPr>
        <w:numPr>
          <w:ilvl w:val="0"/>
          <w:numId w:val="35"/>
        </w:numPr>
        <w:suppressAutoHyphens w:val="0"/>
        <w:spacing w:before="120" w:after="120"/>
        <w:jc w:val="left"/>
        <w:rPr>
          <w:sz w:val="22"/>
          <w:szCs w:val="22"/>
        </w:rPr>
      </w:pPr>
      <w:r>
        <w:rPr>
          <w:sz w:val="22"/>
          <w:szCs w:val="22"/>
        </w:rPr>
        <w:t>Numbers prescribed anti obesity drugs</w:t>
      </w:r>
    </w:p>
    <w:p w:rsidR="0086519B" w:rsidRDefault="0086519B" w:rsidP="0086519B">
      <w:pPr>
        <w:jc w:val="left"/>
        <w:rPr>
          <w:b/>
          <w:i/>
          <w:sz w:val="20"/>
          <w:shd w:val="clear" w:color="auto" w:fill="FF0000"/>
        </w:rPr>
      </w:pPr>
    </w:p>
    <w:p w:rsidR="001072C5" w:rsidRDefault="001072C5" w:rsidP="001072C5">
      <w:pPr>
        <w:jc w:val="center"/>
        <w:rPr>
          <w:rFonts w:cs="Arial"/>
          <w:b/>
          <w:sz w:val="20"/>
        </w:rPr>
      </w:pPr>
      <w:r>
        <w:rPr>
          <w:rFonts w:cs="Arial"/>
          <w:b/>
          <w:sz w:val="20"/>
        </w:rPr>
        <w:t xml:space="preserve">APPENDIX K </w:t>
      </w:r>
    </w:p>
    <w:p w:rsidR="001072C5" w:rsidRDefault="001072C5" w:rsidP="0086519B">
      <w:pPr>
        <w:jc w:val="center"/>
        <w:rPr>
          <w:rFonts w:cs="Arial"/>
          <w:b/>
          <w:sz w:val="20"/>
        </w:rPr>
      </w:pPr>
    </w:p>
    <w:p w:rsidR="0086519B" w:rsidRDefault="0086519B" w:rsidP="0086519B">
      <w:pPr>
        <w:jc w:val="center"/>
        <w:rPr>
          <w:rFonts w:cs="Arial"/>
          <w:b/>
          <w:sz w:val="20"/>
        </w:rPr>
      </w:pPr>
      <w:r>
        <w:rPr>
          <w:rFonts w:cs="Arial"/>
          <w:b/>
          <w:sz w:val="20"/>
        </w:rPr>
        <w:t>DETAILS OF REVIEW MEETINGS</w:t>
      </w:r>
    </w:p>
    <w:p w:rsidR="0086519B" w:rsidRDefault="0086519B" w:rsidP="0086519B">
      <w:pPr>
        <w:jc w:val="center"/>
        <w:rPr>
          <w:rFonts w:cs="Arial"/>
          <w:b/>
          <w:sz w:val="20"/>
        </w:rPr>
      </w:pPr>
    </w:p>
    <w:p w:rsidR="0086519B" w:rsidRDefault="0086519B" w:rsidP="0086519B">
      <w:pPr>
        <w:jc w:val="left"/>
        <w:rPr>
          <w:rFonts w:cs="Arial"/>
          <w:sz w:val="20"/>
        </w:rPr>
      </w:pPr>
      <w:r>
        <w:rPr>
          <w:sz w:val="20"/>
        </w:rPr>
        <w:t xml:space="preserve">(This will be agreed once all expressions of interest are in - whether there is one review meeting  with a GP/Pharmacy covering all services or separate reviews.) </w:t>
      </w:r>
    </w:p>
    <w:p w:rsidR="0086519B" w:rsidRDefault="0086519B" w:rsidP="0086519B">
      <w:pPr>
        <w:jc w:val="left"/>
        <w:rPr>
          <w:rFonts w:cs="Arial"/>
          <w:b/>
          <w:sz w:val="20"/>
        </w:rPr>
      </w:pPr>
    </w:p>
    <w:p w:rsidR="0086519B" w:rsidRDefault="0086519B" w:rsidP="0086519B">
      <w:pPr>
        <w:jc w:val="center"/>
        <w:rPr>
          <w:rFonts w:cs="Arial"/>
          <w:b/>
          <w:sz w:val="20"/>
        </w:rPr>
      </w:pPr>
    </w:p>
    <w:p w:rsidR="0086519B" w:rsidRDefault="0086519B" w:rsidP="0086519B">
      <w:pPr>
        <w:jc w:val="left"/>
        <w:rPr>
          <w:rFonts w:cs="Arial"/>
          <w:sz w:val="20"/>
        </w:rPr>
      </w:pPr>
      <w:r>
        <w:rPr>
          <w:rFonts w:cs="Arial"/>
          <w:sz w:val="20"/>
        </w:rPr>
        <w:t>Review of number of candidates accessing the service in line with Standard operating procedures and the proportion of candidates achieving 5% weight loss and programme adherence.</w:t>
      </w:r>
    </w:p>
    <w:p w:rsidR="0086519B" w:rsidRDefault="0086519B" w:rsidP="0086519B">
      <w:pPr>
        <w:jc w:val="left"/>
        <w:rPr>
          <w:rFonts w:cs="Arial"/>
          <w:sz w:val="20"/>
        </w:rPr>
      </w:pPr>
    </w:p>
    <w:p w:rsidR="0086519B" w:rsidRDefault="0086519B" w:rsidP="0086519B">
      <w:pPr>
        <w:jc w:val="left"/>
        <w:rPr>
          <w:rFonts w:cs="Arial"/>
          <w:sz w:val="20"/>
        </w:rPr>
      </w:pPr>
    </w:p>
    <w:p w:rsidR="0086519B" w:rsidRDefault="0086519B" w:rsidP="0086519B">
      <w:pPr>
        <w:jc w:val="left"/>
        <w:rPr>
          <w:rFonts w:cs="Arial"/>
          <w:sz w:val="20"/>
        </w:rPr>
      </w:pPr>
    </w:p>
    <w:p w:rsidR="0086519B" w:rsidRDefault="0086519B" w:rsidP="0086519B">
      <w:pPr>
        <w:jc w:val="left"/>
        <w:rPr>
          <w:rFonts w:cs="Arial"/>
          <w:sz w:val="20"/>
        </w:rPr>
      </w:pPr>
    </w:p>
    <w:p w:rsidR="0086519B" w:rsidRDefault="0086519B" w:rsidP="0086519B">
      <w:pPr>
        <w:jc w:val="left"/>
        <w:rPr>
          <w:rFonts w:cs="Arial"/>
          <w:b/>
          <w:sz w:val="20"/>
        </w:rPr>
      </w:pPr>
    </w:p>
    <w:p w:rsidR="00170232" w:rsidRDefault="00170232">
      <w:pPr>
        <w:suppressAutoHyphens w:val="0"/>
        <w:spacing w:after="200" w:line="276" w:lineRule="auto"/>
        <w:jc w:val="left"/>
        <w:rPr>
          <w:rFonts w:cs="Arial"/>
          <w:b/>
          <w:sz w:val="20"/>
        </w:rPr>
      </w:pPr>
      <w:r>
        <w:rPr>
          <w:rFonts w:cs="Arial"/>
          <w:b/>
          <w:sz w:val="20"/>
        </w:rPr>
        <w:br w:type="page"/>
      </w:r>
    </w:p>
    <w:p w:rsidR="00170232" w:rsidRDefault="00170232" w:rsidP="00170232">
      <w:pPr>
        <w:outlineLvl w:val="0"/>
        <w:rPr>
          <w:b/>
          <w:sz w:val="20"/>
        </w:rPr>
      </w:pPr>
      <w:bookmarkStart w:id="0" w:name="_Toc374199461"/>
    </w:p>
    <w:p w:rsidR="00170232" w:rsidRDefault="00170232" w:rsidP="00170232">
      <w:pPr>
        <w:outlineLvl w:val="0"/>
        <w:rPr>
          <w:b/>
          <w:sz w:val="20"/>
        </w:rPr>
      </w:pPr>
      <w:r>
        <w:rPr>
          <w:b/>
          <w:sz w:val="20"/>
        </w:rPr>
        <w:t>APPENDIX M: DISPUTE RESOLUTION</w:t>
      </w:r>
      <w:bookmarkEnd w:id="0"/>
    </w:p>
    <w:p w:rsidR="00170232" w:rsidRDefault="00170232" w:rsidP="00170232">
      <w:pPr>
        <w:rPr>
          <w:sz w:val="20"/>
        </w:rPr>
      </w:pPr>
    </w:p>
    <w:p w:rsidR="00170232" w:rsidRDefault="00170232" w:rsidP="00170232">
      <w:pPr>
        <w:rPr>
          <w:b/>
          <w:sz w:val="20"/>
        </w:rPr>
      </w:pPr>
      <w:r>
        <w:rPr>
          <w:b/>
          <w:sz w:val="20"/>
        </w:rPr>
        <w:t>Part 1 of Appendix M – Dispute Resolution Process</w:t>
      </w:r>
    </w:p>
    <w:p w:rsidR="00170232" w:rsidRDefault="00170232" w:rsidP="00170232">
      <w:pPr>
        <w:rPr>
          <w:b/>
          <w:sz w:val="20"/>
        </w:rPr>
      </w:pPr>
    </w:p>
    <w:p w:rsidR="00170232" w:rsidRDefault="00170232" w:rsidP="00170232">
      <w:pPr>
        <w:numPr>
          <w:ilvl w:val="2"/>
          <w:numId w:val="36"/>
        </w:numPr>
        <w:tabs>
          <w:tab w:val="num" w:pos="567"/>
        </w:tabs>
        <w:ind w:left="0" w:firstLine="0"/>
        <w:rPr>
          <w:sz w:val="20"/>
        </w:rPr>
      </w:pPr>
      <w:bookmarkStart w:id="1" w:name="_Toc250382174"/>
      <w:bookmarkStart w:id="2" w:name="_Toc250367535"/>
      <w:r>
        <w:rPr>
          <w:sz w:val="20"/>
        </w:rPr>
        <w:t>ESCALATED NEGOTIATION</w:t>
      </w:r>
      <w:bookmarkStart w:id="3" w:name="_Ref306611032"/>
      <w:bookmarkEnd w:id="1"/>
      <w:bookmarkEnd w:id="2"/>
    </w:p>
    <w:p w:rsidR="00170232" w:rsidRDefault="00170232" w:rsidP="00170232">
      <w:pPr>
        <w:numPr>
          <w:ilvl w:val="1"/>
          <w:numId w:val="37"/>
        </w:numPr>
        <w:tabs>
          <w:tab w:val="num" w:pos="567"/>
        </w:tabs>
        <w:ind w:left="567" w:hanging="567"/>
        <w:rPr>
          <w:sz w:val="20"/>
        </w:rPr>
      </w:pPr>
      <w:r>
        <w:rPr>
          <w:sz w:val="20"/>
        </w:rPr>
        <w:t xml:space="preserve">Except to the extent that any injunction is sought relating to a matter arising out of clause </w:t>
      </w:r>
      <w:r w:rsidR="00E9700A">
        <w:fldChar w:fldCharType="begin"/>
      </w:r>
      <w:r>
        <w:rPr>
          <w:sz w:val="20"/>
        </w:rPr>
        <w:instrText xml:space="preserve"> REF _Ref375160197 \r \h </w:instrText>
      </w:r>
      <w:r w:rsidR="00E9700A">
        <w:fldChar w:fldCharType="separate"/>
      </w:r>
      <w:r>
        <w:rPr>
          <w:sz w:val="20"/>
        </w:rPr>
        <w:t>B36</w:t>
      </w:r>
      <w:r w:rsidR="00E9700A">
        <w:fldChar w:fldCharType="end"/>
      </w:r>
      <w:r>
        <w:rPr>
          <w:sz w:val="20"/>
        </w:rPr>
        <w:t xml:space="preserve"> (Confidentiality), if any Dispute arises out of or in connection with this Contract, the Parties must first attempt to settle it by either of them making a written negotiation offer to the other, and during the </w:t>
      </w:r>
      <w:r>
        <w:rPr>
          <w:rFonts w:cs="Arial"/>
          <w:sz w:val="20"/>
        </w:rPr>
        <w:t>15</w:t>
      </w:r>
      <w:r>
        <w:rPr>
          <w:sz w:val="20"/>
        </w:rPr>
        <w:t xml:space="preserve"> Business Days following receipt of the first such offer (the “Negotiation Period”) each of the Parties shall negotiate in good faith and be represented:</w:t>
      </w:r>
      <w:bookmarkStart w:id="4" w:name="_Ref306608997"/>
      <w:bookmarkEnd w:id="3"/>
    </w:p>
    <w:p w:rsidR="00170232" w:rsidRDefault="00170232" w:rsidP="00170232">
      <w:pPr>
        <w:numPr>
          <w:ilvl w:val="2"/>
          <w:numId w:val="37"/>
        </w:numPr>
        <w:tabs>
          <w:tab w:val="num" w:pos="426"/>
          <w:tab w:val="num" w:pos="1418"/>
        </w:tabs>
        <w:ind w:left="1418" w:hanging="851"/>
        <w:jc w:val="left"/>
        <w:rPr>
          <w:sz w:val="20"/>
        </w:rPr>
      </w:pPr>
      <w:r>
        <w:rPr>
          <w:sz w:val="20"/>
        </w:rPr>
        <w:t xml:space="preserve">for the first </w:t>
      </w:r>
      <w:r>
        <w:rPr>
          <w:rFonts w:cs="Arial"/>
          <w:sz w:val="20"/>
        </w:rPr>
        <w:t>10</w:t>
      </w:r>
      <w:r>
        <w:rPr>
          <w:sz w:val="20"/>
        </w:rPr>
        <w:t xml:space="preserve"> Business Days, by a senior person who where practicable has not had any direct day-to-day involvement in the matter that led to the Dispute and has authority to settle the Dispute; and</w:t>
      </w:r>
      <w:bookmarkStart w:id="5" w:name="_Ref306609023"/>
      <w:bookmarkEnd w:id="4"/>
    </w:p>
    <w:p w:rsidR="00170232" w:rsidRDefault="00170232" w:rsidP="00170232">
      <w:pPr>
        <w:numPr>
          <w:ilvl w:val="2"/>
          <w:numId w:val="37"/>
        </w:numPr>
        <w:tabs>
          <w:tab w:val="num" w:pos="426"/>
          <w:tab w:val="num" w:pos="1418"/>
        </w:tabs>
        <w:ind w:left="1418" w:hanging="851"/>
        <w:jc w:val="left"/>
        <w:rPr>
          <w:sz w:val="20"/>
        </w:rPr>
      </w:pPr>
      <w:r>
        <w:rPr>
          <w:sz w:val="20"/>
        </w:rPr>
        <w:t xml:space="preserve">for the last 5 Business Days, by its chief executive, director, or board member who has authority to settle the </w:t>
      </w:r>
      <w:proofErr w:type="spellStart"/>
      <w:r>
        <w:rPr>
          <w:sz w:val="20"/>
        </w:rPr>
        <w:t>Dispute,</w:t>
      </w:r>
      <w:bookmarkEnd w:id="5"/>
      <w:r>
        <w:rPr>
          <w:sz w:val="20"/>
        </w:rPr>
        <w:t>provided</w:t>
      </w:r>
      <w:proofErr w:type="spellEnd"/>
      <w:r>
        <w:rPr>
          <w:sz w:val="20"/>
        </w:rPr>
        <w:t xml:space="preserve"> that no Party in Dispute where practicable shall be represented by the same individual under paragraphs 1.1.1 and 1.1.2.</w:t>
      </w:r>
    </w:p>
    <w:p w:rsidR="00170232" w:rsidRDefault="00170232" w:rsidP="00170232">
      <w:pPr>
        <w:ind w:left="3960"/>
        <w:rPr>
          <w:sz w:val="20"/>
        </w:rPr>
      </w:pPr>
    </w:p>
    <w:p w:rsidR="00170232" w:rsidRDefault="00170232" w:rsidP="00170232">
      <w:pPr>
        <w:numPr>
          <w:ilvl w:val="0"/>
          <w:numId w:val="37"/>
        </w:numPr>
        <w:tabs>
          <w:tab w:val="clear" w:pos="360"/>
          <w:tab w:val="num" w:pos="567"/>
        </w:tabs>
        <w:rPr>
          <w:sz w:val="20"/>
        </w:rPr>
      </w:pPr>
      <w:r>
        <w:rPr>
          <w:sz w:val="20"/>
        </w:rPr>
        <w:t>MEDIATION</w:t>
      </w:r>
    </w:p>
    <w:p w:rsidR="00170232" w:rsidRDefault="00170232" w:rsidP="00170232">
      <w:pPr>
        <w:tabs>
          <w:tab w:val="left" w:pos="567"/>
        </w:tabs>
        <w:ind w:left="567" w:hanging="567"/>
        <w:rPr>
          <w:sz w:val="20"/>
        </w:rPr>
      </w:pPr>
      <w:r>
        <w:rPr>
          <w:sz w:val="20"/>
        </w:rPr>
        <w:t>2.1</w:t>
      </w:r>
      <w:r>
        <w:rPr>
          <w:sz w:val="20"/>
        </w:rPr>
        <w:tab/>
        <w:t xml:space="preserve">If the Parties are unable to settle the Dispute by negotiation, they must within </w:t>
      </w:r>
      <w:r>
        <w:rPr>
          <w:rFonts w:cs="Arial"/>
          <w:sz w:val="20"/>
        </w:rPr>
        <w:t>5</w:t>
      </w:r>
      <w:r>
        <w:rPr>
          <w:sz w:val="20"/>
        </w:rPr>
        <w:t xml:space="preserve"> Business Days after the end of the Negoti</w:t>
      </w:r>
      <w:bookmarkStart w:id="6" w:name="_Ref306610447"/>
      <w:r>
        <w:rPr>
          <w:sz w:val="20"/>
        </w:rPr>
        <w:t xml:space="preserve">ation Period submit the Dispute to mediation by </w:t>
      </w:r>
      <w:smartTag w:uri="urn:schemas-microsoft-com:office:smarttags" w:element="stockticker">
        <w:r>
          <w:rPr>
            <w:sz w:val="20"/>
          </w:rPr>
          <w:t>CEDR</w:t>
        </w:r>
      </w:smartTag>
      <w:r>
        <w:rPr>
          <w:sz w:val="20"/>
        </w:rPr>
        <w:t xml:space="preserve"> or other independent body or organisation agreed between the Parties and set out in Part 2 of this Appendix M.</w:t>
      </w:r>
      <w:bookmarkEnd w:id="6"/>
    </w:p>
    <w:p w:rsidR="00170232" w:rsidRDefault="00170232" w:rsidP="00170232">
      <w:pPr>
        <w:tabs>
          <w:tab w:val="left" w:pos="567"/>
        </w:tabs>
        <w:ind w:left="567" w:hanging="567"/>
        <w:rPr>
          <w:sz w:val="20"/>
        </w:rPr>
      </w:pPr>
      <w:bookmarkStart w:id="7" w:name="_Ref306609449"/>
      <w:r>
        <w:rPr>
          <w:sz w:val="20"/>
        </w:rPr>
        <w:t>2.2</w:t>
      </w:r>
      <w:r>
        <w:rPr>
          <w:sz w:val="20"/>
        </w:rPr>
        <w:tab/>
        <w:t>The Parties will keep confidential and not use for any collateral or ulterior purpose all information, whether given orally, in writing or otherwise, arising out of or in connection with any mediation, including the fact of any settlement and its terms, save for the fact that the mediation is to take place or has taken place.</w:t>
      </w:r>
      <w:bookmarkEnd w:id="7"/>
    </w:p>
    <w:p w:rsidR="00170232" w:rsidRDefault="00170232" w:rsidP="00170232">
      <w:pPr>
        <w:tabs>
          <w:tab w:val="left" w:pos="567"/>
        </w:tabs>
        <w:ind w:left="567" w:hanging="567"/>
        <w:rPr>
          <w:sz w:val="20"/>
        </w:rPr>
      </w:pPr>
      <w:bookmarkStart w:id="8" w:name="_Ref306609461"/>
      <w:r>
        <w:rPr>
          <w:sz w:val="20"/>
        </w:rPr>
        <w:t>2.3</w:t>
      </w:r>
      <w:r>
        <w:rPr>
          <w:sz w:val="20"/>
        </w:rPr>
        <w:tab/>
        <w:t xml:space="preserve">All information, whether oral, in writing or otherwise, arising out of or in connection with any mediation will be without prejudice, privileged and not admissible as evidence or </w:t>
      </w:r>
      <w:proofErr w:type="spellStart"/>
      <w:r>
        <w:rPr>
          <w:sz w:val="20"/>
        </w:rPr>
        <w:t>disclosable</w:t>
      </w:r>
      <w:proofErr w:type="spellEnd"/>
      <w:r>
        <w:rPr>
          <w:sz w:val="20"/>
        </w:rPr>
        <w:t xml:space="preserve"> in any current or subsequent litigation or other proceedings whatsoever.</w:t>
      </w:r>
      <w:bookmarkEnd w:id="8"/>
    </w:p>
    <w:p w:rsidR="00170232" w:rsidRDefault="00170232" w:rsidP="00170232">
      <w:pPr>
        <w:rPr>
          <w:sz w:val="20"/>
        </w:rPr>
      </w:pPr>
    </w:p>
    <w:p w:rsidR="00170232" w:rsidRDefault="00170232" w:rsidP="00170232">
      <w:pPr>
        <w:tabs>
          <w:tab w:val="left" w:pos="567"/>
        </w:tabs>
        <w:rPr>
          <w:sz w:val="20"/>
        </w:rPr>
      </w:pPr>
      <w:r>
        <w:rPr>
          <w:sz w:val="20"/>
        </w:rPr>
        <w:t>3.</w:t>
      </w:r>
      <w:r>
        <w:rPr>
          <w:sz w:val="20"/>
        </w:rPr>
        <w:tab/>
        <w:t>EXPERT DETERMINATION</w:t>
      </w:r>
    </w:p>
    <w:p w:rsidR="00170232" w:rsidRDefault="00170232" w:rsidP="00170232">
      <w:pPr>
        <w:rPr>
          <w:sz w:val="20"/>
        </w:rPr>
      </w:pPr>
    </w:p>
    <w:p w:rsidR="00170232" w:rsidRDefault="00170232" w:rsidP="00170232">
      <w:pPr>
        <w:ind w:left="567" w:hanging="567"/>
        <w:rPr>
          <w:sz w:val="20"/>
        </w:rPr>
      </w:pPr>
      <w:r>
        <w:rPr>
          <w:sz w:val="20"/>
        </w:rPr>
        <w:t>3.1</w:t>
      </w:r>
      <w:r>
        <w:rPr>
          <w:sz w:val="20"/>
        </w:rPr>
        <w:tab/>
        <w:t xml:space="preserve">If the Parties are unable to settle the Dispute through mediation, then either Party may give written notice to the other Party within </w:t>
      </w:r>
      <w:r>
        <w:rPr>
          <w:rFonts w:cs="Arial"/>
          <w:sz w:val="20"/>
        </w:rPr>
        <w:t>10</w:t>
      </w:r>
      <w:r>
        <w:rPr>
          <w:sz w:val="20"/>
        </w:rPr>
        <w:t xml:space="preserve"> Business Days of closure of the failed mediation of its intention to refer the Dispute to expert determination. The Expert Determination Notice must include a brief statement of the issue or issues which it is desired to refer, the expertise required in the expert, and the solution sought. </w:t>
      </w:r>
    </w:p>
    <w:p w:rsidR="00170232" w:rsidRDefault="00170232" w:rsidP="00170232">
      <w:pPr>
        <w:ind w:left="567" w:hanging="567"/>
        <w:rPr>
          <w:sz w:val="20"/>
        </w:rPr>
      </w:pPr>
    </w:p>
    <w:p w:rsidR="00170232" w:rsidRDefault="00170232" w:rsidP="00170232">
      <w:pPr>
        <w:ind w:left="567" w:hanging="567"/>
        <w:rPr>
          <w:sz w:val="20"/>
        </w:rPr>
      </w:pPr>
      <w:r>
        <w:rPr>
          <w:sz w:val="20"/>
        </w:rPr>
        <w:t>3.2</w:t>
      </w:r>
      <w:r>
        <w:rPr>
          <w:sz w:val="20"/>
        </w:rPr>
        <w:tab/>
        <w:t xml:space="preserve">If the Parties have agreed upon the identity of an expert and the expert has confirmed in writing his readiness and willingness to embark upon the expert determination, then that person shall be appointed as the Expert.  </w:t>
      </w:r>
    </w:p>
    <w:p w:rsidR="00170232" w:rsidRDefault="00170232" w:rsidP="00170232">
      <w:pPr>
        <w:ind w:left="567" w:hanging="567"/>
        <w:rPr>
          <w:sz w:val="20"/>
        </w:rPr>
      </w:pPr>
    </w:p>
    <w:p w:rsidR="00170232" w:rsidRDefault="00170232" w:rsidP="00170232">
      <w:pPr>
        <w:ind w:left="567" w:hanging="567"/>
        <w:rPr>
          <w:sz w:val="20"/>
        </w:rPr>
      </w:pPr>
      <w:r>
        <w:rPr>
          <w:sz w:val="20"/>
        </w:rPr>
        <w:t>3.3</w:t>
      </w:r>
      <w:r>
        <w:rPr>
          <w:sz w:val="20"/>
        </w:rPr>
        <w:tab/>
        <w:t xml:space="preserve">Where the Parties have not agreed upon an expert, or where that person has not confirmed his willingness to act, then either Party may apply to </w:t>
      </w:r>
      <w:smartTag w:uri="urn:schemas-microsoft-com:office:smarttags" w:element="stockticker">
        <w:r>
          <w:rPr>
            <w:sz w:val="20"/>
          </w:rPr>
          <w:t>CEDR</w:t>
        </w:r>
      </w:smartTag>
      <w:r>
        <w:rPr>
          <w:sz w:val="20"/>
        </w:rPr>
        <w:t xml:space="preserve"> for the appointment of an expert.  The request must be in writing, accompanied by a copy of the Expert Determination Notice and the appropriate fee and must be copied simultaneously to the other Party. The other Party may make representations to </w:t>
      </w:r>
      <w:smartTag w:uri="urn:schemas-microsoft-com:office:smarttags" w:element="stockticker">
        <w:r>
          <w:rPr>
            <w:sz w:val="20"/>
          </w:rPr>
          <w:t>CEDR</w:t>
        </w:r>
      </w:smartTag>
      <w:r>
        <w:rPr>
          <w:sz w:val="20"/>
        </w:rPr>
        <w:t xml:space="preserve"> regarding the expertise required in the expert. The person nominated by </w:t>
      </w:r>
      <w:smartTag w:uri="urn:schemas-microsoft-com:office:smarttags" w:element="stockticker">
        <w:r>
          <w:rPr>
            <w:sz w:val="20"/>
          </w:rPr>
          <w:t>CEDR</w:t>
        </w:r>
      </w:smartTag>
      <w:r>
        <w:rPr>
          <w:sz w:val="20"/>
        </w:rPr>
        <w:t xml:space="preserve"> will be appointed as the Expert.</w:t>
      </w:r>
    </w:p>
    <w:p w:rsidR="00170232" w:rsidRDefault="00170232" w:rsidP="00170232">
      <w:pPr>
        <w:ind w:left="567" w:hanging="567"/>
        <w:rPr>
          <w:sz w:val="20"/>
        </w:rPr>
      </w:pPr>
    </w:p>
    <w:p w:rsidR="00170232" w:rsidRDefault="00170232" w:rsidP="00170232">
      <w:pPr>
        <w:ind w:left="567" w:hanging="567"/>
        <w:rPr>
          <w:sz w:val="20"/>
        </w:rPr>
      </w:pPr>
      <w:r>
        <w:rPr>
          <w:sz w:val="20"/>
        </w:rPr>
        <w:t>3.4</w:t>
      </w:r>
      <w:r>
        <w:rPr>
          <w:sz w:val="20"/>
        </w:rPr>
        <w:tab/>
        <w:t xml:space="preserve">The Party serving the Expert Determination Notice must send to the Expert and to the other Party within </w:t>
      </w:r>
      <w:r>
        <w:rPr>
          <w:rFonts w:cs="Arial"/>
          <w:sz w:val="20"/>
        </w:rPr>
        <w:t>5</w:t>
      </w:r>
      <w:r>
        <w:rPr>
          <w:sz w:val="20"/>
        </w:rPr>
        <w:t xml:space="preserve"> Business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rsidR="00170232" w:rsidRDefault="00170232" w:rsidP="00170232">
      <w:pPr>
        <w:rPr>
          <w:sz w:val="20"/>
        </w:rPr>
      </w:pPr>
    </w:p>
    <w:p w:rsidR="00170232" w:rsidRDefault="00170232" w:rsidP="00170232">
      <w:pPr>
        <w:ind w:left="567" w:hanging="567"/>
        <w:rPr>
          <w:sz w:val="20"/>
        </w:rPr>
      </w:pPr>
      <w:r>
        <w:rPr>
          <w:sz w:val="20"/>
        </w:rPr>
        <w:t>3.5</w:t>
      </w:r>
      <w:r>
        <w:rPr>
          <w:sz w:val="20"/>
        </w:rPr>
        <w:tab/>
        <w:t xml:space="preserve">The Party not serving the Expert Determination Notice must reply to the Expert and the other Party within </w:t>
      </w:r>
      <w:r>
        <w:rPr>
          <w:rFonts w:cs="Arial"/>
          <w:sz w:val="20"/>
        </w:rPr>
        <w:t>5</w:t>
      </w:r>
      <w:r>
        <w:rPr>
          <w:sz w:val="20"/>
        </w:rPr>
        <w:t xml:space="preserve"> Business Days of receiving the statement of case, giving details of what is agreed and what is disputed in the statement of case and the reasons why.</w:t>
      </w:r>
    </w:p>
    <w:p w:rsidR="00170232" w:rsidRDefault="00170232" w:rsidP="00170232">
      <w:pPr>
        <w:rPr>
          <w:sz w:val="20"/>
        </w:rPr>
      </w:pPr>
    </w:p>
    <w:p w:rsidR="00170232" w:rsidRDefault="00170232" w:rsidP="00170232">
      <w:pPr>
        <w:ind w:left="567" w:hanging="567"/>
        <w:rPr>
          <w:sz w:val="20"/>
        </w:rPr>
      </w:pPr>
      <w:r>
        <w:rPr>
          <w:sz w:val="20"/>
        </w:rPr>
        <w:lastRenderedPageBreak/>
        <w:t>3.6</w:t>
      </w:r>
      <w:r>
        <w:rPr>
          <w:sz w:val="20"/>
        </w:rPr>
        <w:tab/>
        <w:t xml:space="preserve">The Expert must produce a written decision with reasons within </w:t>
      </w:r>
      <w:r>
        <w:rPr>
          <w:rFonts w:cs="Arial"/>
          <w:sz w:val="20"/>
        </w:rPr>
        <w:t>30</w:t>
      </w:r>
      <w:r>
        <w:rPr>
          <w:sz w:val="20"/>
        </w:rPr>
        <w:t xml:space="preserve"> Business Days of receipt of the statement of case referred to in paragraph 1.9, or any longer period as is agreed by the Parties after the Dispute has been referred.</w:t>
      </w:r>
    </w:p>
    <w:p w:rsidR="00170232" w:rsidRDefault="00170232" w:rsidP="00170232">
      <w:pPr>
        <w:ind w:left="567" w:hanging="567"/>
        <w:rPr>
          <w:sz w:val="20"/>
        </w:rPr>
      </w:pPr>
    </w:p>
    <w:p w:rsidR="00170232" w:rsidRDefault="00170232" w:rsidP="00170232">
      <w:pPr>
        <w:ind w:left="567" w:hanging="567"/>
        <w:rPr>
          <w:sz w:val="20"/>
        </w:rPr>
      </w:pPr>
      <w:r>
        <w:rPr>
          <w:sz w:val="20"/>
        </w:rPr>
        <w:t>3.7</w:t>
      </w:r>
      <w:r>
        <w:rPr>
          <w:sz w:val="20"/>
        </w:rPr>
        <w:tab/>
        <w:t>The Expert will have complete discretion as to how to conduct the expert determination, and will establish the procedure and timetable.</w:t>
      </w:r>
    </w:p>
    <w:p w:rsidR="00170232" w:rsidRDefault="00170232" w:rsidP="00170232">
      <w:pPr>
        <w:ind w:left="567" w:hanging="567"/>
        <w:rPr>
          <w:sz w:val="20"/>
        </w:rPr>
      </w:pPr>
    </w:p>
    <w:p w:rsidR="00170232" w:rsidRDefault="00170232" w:rsidP="00170232">
      <w:pPr>
        <w:ind w:left="567" w:hanging="567"/>
        <w:rPr>
          <w:sz w:val="20"/>
        </w:rPr>
      </w:pPr>
      <w:r>
        <w:rPr>
          <w:sz w:val="20"/>
        </w:rPr>
        <w:t>3.8</w:t>
      </w:r>
      <w:r>
        <w:rPr>
          <w:sz w:val="20"/>
        </w:rPr>
        <w:tab/>
        <w:t>The Parties must comply with any request or direction of the Expert in relation to the expert determination.</w:t>
      </w:r>
    </w:p>
    <w:p w:rsidR="00170232" w:rsidRDefault="00170232" w:rsidP="00170232">
      <w:pPr>
        <w:ind w:left="567" w:hanging="567"/>
        <w:rPr>
          <w:sz w:val="20"/>
        </w:rPr>
      </w:pPr>
    </w:p>
    <w:p w:rsidR="00170232" w:rsidRDefault="00170232" w:rsidP="00170232">
      <w:pPr>
        <w:ind w:left="567" w:hanging="567"/>
        <w:rPr>
          <w:sz w:val="20"/>
        </w:rPr>
      </w:pPr>
      <w:r>
        <w:rPr>
          <w:sz w:val="20"/>
        </w:rPr>
        <w:t>3.9</w:t>
      </w:r>
      <w:r>
        <w:rPr>
          <w:sz w:val="20"/>
        </w:rPr>
        <w:tab/>
        <w:t xml:space="preserve">The Expert must decide the matters set out in the Expert Determination Notice, together with any other matters which the Parties and the Expert agree are within the scope of the expert determination. The Expert must send his decision in writing simultaneously to the Parties. Within </w:t>
      </w:r>
      <w:r>
        <w:rPr>
          <w:rFonts w:cs="Arial"/>
          <w:sz w:val="20"/>
        </w:rPr>
        <w:t>5</w:t>
      </w:r>
      <w:r>
        <w:rPr>
          <w:sz w:val="20"/>
        </w:rPr>
        <w:t xml:space="preserve"> Business Days following the date of the decision the Parties must provide the Expert and each other with any requests to correct minor clerical errors or ambiguities in the decision. The Expert must correct any minor clerical errors or ambiguities at his discretion within a further </w:t>
      </w:r>
      <w:r>
        <w:rPr>
          <w:rFonts w:cs="Arial"/>
          <w:sz w:val="20"/>
        </w:rPr>
        <w:t>5</w:t>
      </w:r>
      <w:r>
        <w:rPr>
          <w:sz w:val="20"/>
        </w:rPr>
        <w:t xml:space="preserve"> Business Days and send any revised decision simultaneously to the Parties.</w:t>
      </w:r>
    </w:p>
    <w:p w:rsidR="00170232" w:rsidRDefault="00170232" w:rsidP="00170232">
      <w:pPr>
        <w:rPr>
          <w:sz w:val="20"/>
        </w:rPr>
      </w:pPr>
    </w:p>
    <w:p w:rsidR="00170232" w:rsidRDefault="00170232" w:rsidP="00170232">
      <w:pPr>
        <w:ind w:left="567" w:hanging="567"/>
        <w:rPr>
          <w:sz w:val="20"/>
        </w:rPr>
      </w:pPr>
      <w:r>
        <w:rPr>
          <w:sz w:val="20"/>
        </w:rPr>
        <w:t>3.10</w:t>
      </w:r>
      <w:r>
        <w:rPr>
          <w:sz w:val="20"/>
        </w:rPr>
        <w:tab/>
        <w:t>The Parties must bear their own costs and expenses incurred in the expert determination and are jointly liable for the costs of the Expert.</w:t>
      </w:r>
    </w:p>
    <w:p w:rsidR="00170232" w:rsidRDefault="00170232" w:rsidP="00170232">
      <w:pPr>
        <w:pStyle w:val="00-Normal-BB"/>
        <w:ind w:left="567" w:hanging="567"/>
        <w:rPr>
          <w:rFonts w:cs="Arial"/>
          <w:sz w:val="20"/>
        </w:rPr>
      </w:pPr>
    </w:p>
    <w:p w:rsidR="00170232" w:rsidRDefault="00170232" w:rsidP="00170232">
      <w:pPr>
        <w:pStyle w:val="00-Normal-BB"/>
        <w:ind w:left="567" w:hanging="567"/>
        <w:rPr>
          <w:rFonts w:cs="Arial"/>
          <w:sz w:val="20"/>
        </w:rPr>
      </w:pPr>
      <w:r>
        <w:rPr>
          <w:rFonts w:cs="Arial"/>
          <w:sz w:val="20"/>
        </w:rPr>
        <w:t>3.11</w:t>
      </w:r>
      <w:r>
        <w:rPr>
          <w:rFonts w:cs="Arial"/>
          <w:sz w:val="20"/>
        </w:rPr>
        <w:tab/>
        <w:t>The decision of the Expert is final and binding, except in the case of fraud, collusion, bias, or material breach of instructions on the part of the Expert at which point a Party will be permitted to apply to Court for an Order that:</w:t>
      </w:r>
    </w:p>
    <w:p w:rsidR="00170232" w:rsidRDefault="00170232" w:rsidP="00170232">
      <w:pPr>
        <w:pStyle w:val="00-Normal-BB"/>
        <w:rPr>
          <w:rFonts w:cs="Arial"/>
          <w:sz w:val="20"/>
        </w:rPr>
      </w:pPr>
    </w:p>
    <w:p w:rsidR="00170232" w:rsidRDefault="00170232" w:rsidP="00170232">
      <w:pPr>
        <w:pStyle w:val="00-Normal-BB"/>
        <w:ind w:left="567"/>
        <w:rPr>
          <w:rFonts w:cs="Arial"/>
          <w:sz w:val="20"/>
        </w:rPr>
      </w:pPr>
      <w:r>
        <w:rPr>
          <w:rFonts w:cs="Arial"/>
          <w:sz w:val="20"/>
        </w:rPr>
        <w:t>3.11.1</w:t>
      </w:r>
      <w:r>
        <w:rPr>
          <w:rFonts w:cs="Arial"/>
          <w:sz w:val="20"/>
        </w:rPr>
        <w:tab/>
      </w:r>
      <w:proofErr w:type="gramStart"/>
      <w:r>
        <w:rPr>
          <w:rFonts w:cs="Arial"/>
          <w:sz w:val="20"/>
        </w:rPr>
        <w:t>the</w:t>
      </w:r>
      <w:proofErr w:type="gramEnd"/>
      <w:r>
        <w:rPr>
          <w:rFonts w:cs="Arial"/>
          <w:sz w:val="20"/>
        </w:rPr>
        <w:t xml:space="preserve"> Expert reconsider his decision (either all of it or part of it); or</w:t>
      </w:r>
    </w:p>
    <w:p w:rsidR="00170232" w:rsidRDefault="00170232" w:rsidP="00170232">
      <w:pPr>
        <w:pStyle w:val="00-Normal-BB"/>
        <w:ind w:left="1843" w:hanging="851"/>
        <w:rPr>
          <w:rFonts w:cs="Arial"/>
          <w:sz w:val="20"/>
        </w:rPr>
      </w:pPr>
    </w:p>
    <w:p w:rsidR="00170232" w:rsidRDefault="00170232" w:rsidP="00170232">
      <w:pPr>
        <w:pStyle w:val="00-Normal-BB"/>
        <w:ind w:left="567"/>
        <w:rPr>
          <w:rFonts w:cs="Arial"/>
          <w:sz w:val="20"/>
        </w:rPr>
      </w:pPr>
      <w:r>
        <w:rPr>
          <w:rFonts w:cs="Arial"/>
          <w:sz w:val="20"/>
        </w:rPr>
        <w:t>3.11.2</w:t>
      </w:r>
      <w:r>
        <w:rPr>
          <w:rFonts w:cs="Arial"/>
          <w:sz w:val="20"/>
        </w:rPr>
        <w:tab/>
      </w:r>
      <w:proofErr w:type="gramStart"/>
      <w:r>
        <w:rPr>
          <w:rFonts w:cs="Arial"/>
          <w:sz w:val="20"/>
        </w:rPr>
        <w:t>the</w:t>
      </w:r>
      <w:proofErr w:type="gramEnd"/>
      <w:r>
        <w:rPr>
          <w:rFonts w:cs="Arial"/>
          <w:sz w:val="20"/>
        </w:rPr>
        <w:t xml:space="preserve"> Expert’s decision be set aside (either all of it or part of it).</w:t>
      </w:r>
    </w:p>
    <w:p w:rsidR="00170232" w:rsidRDefault="00170232" w:rsidP="00170232">
      <w:pPr>
        <w:pStyle w:val="00-Normal-BB"/>
        <w:rPr>
          <w:rFonts w:cs="Arial"/>
          <w:sz w:val="20"/>
        </w:rPr>
      </w:pPr>
    </w:p>
    <w:p w:rsidR="00170232" w:rsidRDefault="00170232" w:rsidP="00170232">
      <w:pPr>
        <w:pStyle w:val="00-Normal-BB"/>
        <w:ind w:left="567" w:hanging="567"/>
        <w:rPr>
          <w:rFonts w:cs="Arial"/>
          <w:sz w:val="20"/>
        </w:rPr>
      </w:pPr>
      <w:r>
        <w:rPr>
          <w:rFonts w:cs="Arial"/>
          <w:sz w:val="20"/>
        </w:rPr>
        <w:t>3.12</w:t>
      </w:r>
      <w:r>
        <w:rPr>
          <w:rFonts w:cs="Arial"/>
          <w:sz w:val="20"/>
        </w:rPr>
        <w:tab/>
        <w:t>If a Party does not abide by the Expert’s decision the other Party may apply to Court to enforce it.</w:t>
      </w:r>
    </w:p>
    <w:p w:rsidR="00170232" w:rsidRDefault="00170232" w:rsidP="00170232">
      <w:pPr>
        <w:pStyle w:val="00-Normal-BB"/>
        <w:rPr>
          <w:rFonts w:cs="Arial"/>
          <w:sz w:val="20"/>
        </w:rPr>
      </w:pPr>
    </w:p>
    <w:p w:rsidR="00170232" w:rsidRDefault="00170232" w:rsidP="00170232">
      <w:pPr>
        <w:pStyle w:val="00-Normal-BB"/>
        <w:ind w:left="567" w:hanging="567"/>
        <w:rPr>
          <w:rFonts w:cs="Arial"/>
          <w:sz w:val="20"/>
        </w:rPr>
      </w:pPr>
      <w:r>
        <w:rPr>
          <w:rFonts w:cs="Arial"/>
          <w:sz w:val="20"/>
        </w:rPr>
        <w:t>3.13</w:t>
      </w:r>
      <w:r>
        <w:rPr>
          <w:rFonts w:cs="Arial"/>
          <w:sz w:val="20"/>
        </w:rPr>
        <w:tab/>
        <w:t xml:space="preserve">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w:t>
      </w:r>
      <w:proofErr w:type="spellStart"/>
      <w:r>
        <w:rPr>
          <w:rFonts w:cs="Arial"/>
          <w:sz w:val="20"/>
        </w:rPr>
        <w:t>disclosable</w:t>
      </w:r>
      <w:proofErr w:type="spellEnd"/>
      <w:r>
        <w:rPr>
          <w:rFonts w:cs="Arial"/>
          <w:sz w:val="20"/>
        </w:rPr>
        <w:t xml:space="preserve"> in any such proceedings.</w:t>
      </w:r>
    </w:p>
    <w:p w:rsidR="00170232" w:rsidRDefault="00170232" w:rsidP="00170232">
      <w:pPr>
        <w:pStyle w:val="00-Normal-BB"/>
        <w:ind w:left="567" w:hanging="567"/>
        <w:rPr>
          <w:rFonts w:cs="Arial"/>
          <w:sz w:val="20"/>
        </w:rPr>
      </w:pPr>
    </w:p>
    <w:p w:rsidR="00170232" w:rsidRDefault="00170232" w:rsidP="00170232">
      <w:pPr>
        <w:pStyle w:val="00-Normal-BB"/>
        <w:ind w:left="567" w:hanging="567"/>
        <w:rPr>
          <w:rFonts w:cs="Arial"/>
          <w:sz w:val="20"/>
        </w:rPr>
      </w:pPr>
      <w:r>
        <w:rPr>
          <w:rFonts w:cs="Arial"/>
          <w:sz w:val="20"/>
        </w:rPr>
        <w:t>3.14</w:t>
      </w:r>
      <w:r>
        <w:rPr>
          <w:rFonts w:cs="Arial"/>
          <w:sz w:val="20"/>
        </w:rPr>
        <w:tab/>
        <w:t xml:space="preserve">The Expert is not liable for anything done or omitted in the discharge or purported discharge of his functions, except in the case of fraud or bad faith, collusion, bias, or material breach of instructions on the part of the Expert. </w:t>
      </w:r>
    </w:p>
    <w:p w:rsidR="00170232" w:rsidRDefault="00170232" w:rsidP="00170232">
      <w:pPr>
        <w:pStyle w:val="00-Normal-BB"/>
        <w:ind w:left="567" w:hanging="567"/>
        <w:rPr>
          <w:rFonts w:cs="Arial"/>
          <w:sz w:val="20"/>
        </w:rPr>
      </w:pPr>
    </w:p>
    <w:p w:rsidR="00170232" w:rsidRDefault="00170232" w:rsidP="00170232">
      <w:pPr>
        <w:pStyle w:val="00-Normal-BB"/>
        <w:ind w:left="567" w:hanging="567"/>
        <w:rPr>
          <w:rFonts w:cs="Arial"/>
          <w:sz w:val="20"/>
        </w:rPr>
      </w:pPr>
      <w:r>
        <w:rPr>
          <w:rFonts w:cs="Arial"/>
          <w:sz w:val="20"/>
        </w:rPr>
        <w:t>3.15</w:t>
      </w:r>
      <w:r>
        <w:rPr>
          <w:rFonts w:cs="Arial"/>
          <w:sz w:val="20"/>
        </w:rPr>
        <w:tab/>
        <w:t xml:space="preserve">The Expert is appointed to determine the Dispute or Disputes between the Parties and his decision may not be relied upon by third parties, to whom he shall have no duty of care. </w:t>
      </w:r>
    </w:p>
    <w:p w:rsidR="00170232" w:rsidRDefault="00170232" w:rsidP="00170232"/>
    <w:p w:rsidR="00170232" w:rsidRDefault="00170232" w:rsidP="00170232"/>
    <w:p w:rsidR="00170232" w:rsidRDefault="00170232" w:rsidP="00170232"/>
    <w:p w:rsidR="00170232" w:rsidRDefault="00170232" w:rsidP="00170232"/>
    <w:p w:rsidR="00170232" w:rsidRDefault="00170232" w:rsidP="00170232">
      <w:pPr>
        <w:spacing w:line="276" w:lineRule="auto"/>
        <w:rPr>
          <w:rFonts w:cs="Arial"/>
          <w:b/>
          <w:sz w:val="20"/>
        </w:rPr>
      </w:pPr>
      <w:r>
        <w:rPr>
          <w:b/>
          <w:sz w:val="20"/>
        </w:rPr>
        <w:br w:type="page"/>
      </w:r>
      <w:r>
        <w:rPr>
          <w:b/>
          <w:sz w:val="20"/>
        </w:rPr>
        <w:lastRenderedPageBreak/>
        <w:t xml:space="preserve">Part 2 of Appendix M - </w:t>
      </w:r>
      <w:r>
        <w:rPr>
          <w:rFonts w:cs="Arial"/>
          <w:b/>
          <w:sz w:val="20"/>
        </w:rPr>
        <w:t>Nominated Mediation Body</w:t>
      </w:r>
    </w:p>
    <w:p w:rsidR="00800DCF" w:rsidRDefault="00800DCF" w:rsidP="00170232">
      <w:pPr>
        <w:rPr>
          <w:b/>
          <w:sz w:val="20"/>
        </w:rPr>
      </w:pPr>
    </w:p>
    <w:p w:rsidR="00800DCF" w:rsidRDefault="00800DCF" w:rsidP="00170232">
      <w:pPr>
        <w:rPr>
          <w:b/>
          <w:sz w:val="20"/>
        </w:rPr>
      </w:pPr>
      <w:r>
        <w:rPr>
          <w:b/>
          <w:sz w:val="20"/>
        </w:rPr>
        <w:t>N/A</w:t>
      </w:r>
      <w:r w:rsidR="00170232">
        <w:rPr>
          <w:b/>
          <w:sz w:val="20"/>
        </w:rPr>
        <w:br w:type="page"/>
      </w:r>
    </w:p>
    <w:p w:rsidR="00800DCF" w:rsidRDefault="00800DCF" w:rsidP="00170232">
      <w:pPr>
        <w:rPr>
          <w:b/>
          <w:sz w:val="20"/>
        </w:rPr>
      </w:pPr>
    </w:p>
    <w:p w:rsidR="00170232" w:rsidRDefault="00170232" w:rsidP="00170232">
      <w:pPr>
        <w:rPr>
          <w:b/>
          <w:iCs/>
          <w:sz w:val="20"/>
        </w:rPr>
      </w:pPr>
      <w:r>
        <w:rPr>
          <w:b/>
          <w:sz w:val="20"/>
        </w:rPr>
        <w:t xml:space="preserve">Part 3 of Appendix M - </w:t>
      </w:r>
      <w:r>
        <w:rPr>
          <w:b/>
          <w:iCs/>
          <w:sz w:val="20"/>
        </w:rPr>
        <w:t>Recorded Dispute Resolutions</w:t>
      </w:r>
    </w:p>
    <w:p w:rsidR="00170232" w:rsidRPr="00800DCF" w:rsidRDefault="00800DCF" w:rsidP="00170232">
      <w:pPr>
        <w:pStyle w:val="Heading2"/>
        <w:keepNext w:val="0"/>
        <w:widowControl w:val="0"/>
        <w:suppressAutoHyphens w:val="0"/>
        <w:spacing w:before="240" w:after="240"/>
        <w:ind w:left="0" w:firstLine="0"/>
        <w:rPr>
          <w:rFonts w:cs="Times New Roman"/>
          <w:sz w:val="20"/>
        </w:rPr>
      </w:pPr>
      <w:r w:rsidRPr="00800DCF">
        <w:rPr>
          <w:rFonts w:cs="Times New Roman"/>
          <w:sz w:val="20"/>
        </w:rPr>
        <w:t>N/A</w:t>
      </w:r>
    </w:p>
    <w:p w:rsidR="00800DCF" w:rsidRPr="00800DCF" w:rsidRDefault="00800DCF" w:rsidP="00800DCF"/>
    <w:p w:rsidR="00170232" w:rsidRDefault="00170232" w:rsidP="00170232">
      <w:pPr>
        <w:rPr>
          <w:rFonts w:cs="Arial"/>
          <w:b/>
          <w:sz w:val="20"/>
        </w:rPr>
      </w:pPr>
    </w:p>
    <w:p w:rsidR="00170232" w:rsidRDefault="00170232" w:rsidP="00170232">
      <w:pPr>
        <w:jc w:val="center"/>
        <w:outlineLvl w:val="0"/>
        <w:rPr>
          <w:b/>
          <w:sz w:val="20"/>
        </w:rPr>
      </w:pPr>
      <w:r>
        <w:rPr>
          <w:rFonts w:cs="Arial"/>
          <w:i/>
          <w:sz w:val="20"/>
        </w:rPr>
        <w:br w:type="page"/>
      </w:r>
      <w:bookmarkStart w:id="9" w:name="_Toc374199462"/>
      <w:r>
        <w:rPr>
          <w:rFonts w:cs="Arial"/>
          <w:b/>
          <w:sz w:val="20"/>
        </w:rPr>
        <w:lastRenderedPageBreak/>
        <w:t xml:space="preserve">APPENDIX N: </w:t>
      </w:r>
      <w:r>
        <w:rPr>
          <w:b/>
          <w:sz w:val="20"/>
        </w:rPr>
        <w:t xml:space="preserve">SUCCESSION </w:t>
      </w:r>
      <w:smartTag w:uri="urn:schemas-microsoft-com:office:smarttags" w:element="stockticker">
        <w:r>
          <w:rPr>
            <w:b/>
            <w:sz w:val="20"/>
          </w:rPr>
          <w:t>PLAN</w:t>
        </w:r>
      </w:smartTag>
      <w:bookmarkEnd w:id="9"/>
    </w:p>
    <w:p w:rsidR="00170232" w:rsidRDefault="00170232" w:rsidP="00170232">
      <w:pPr>
        <w:jc w:val="center"/>
        <w:rPr>
          <w:b/>
          <w:sz w:val="20"/>
        </w:rPr>
      </w:pPr>
    </w:p>
    <w:p w:rsidR="00170232" w:rsidRDefault="00800DCF" w:rsidP="00800DCF">
      <w:pPr>
        <w:jc w:val="left"/>
        <w:outlineLvl w:val="0"/>
        <w:rPr>
          <w:b/>
          <w:sz w:val="20"/>
        </w:rPr>
      </w:pPr>
      <w:r w:rsidRPr="00800DCF">
        <w:rPr>
          <w:rFonts w:cs="Arial"/>
          <w:b/>
          <w:sz w:val="20"/>
        </w:rPr>
        <w:t>N/A</w:t>
      </w:r>
      <w:r w:rsidR="00170232">
        <w:rPr>
          <w:rFonts w:cs="Arial"/>
          <w:i/>
          <w:sz w:val="20"/>
        </w:rPr>
        <w:br w:type="page"/>
      </w:r>
      <w:bookmarkStart w:id="10" w:name="_Toc374199463"/>
      <w:r w:rsidR="00170232">
        <w:rPr>
          <w:b/>
          <w:sz w:val="20"/>
        </w:rPr>
        <w:lastRenderedPageBreak/>
        <w:t>APPENDIX O: DEFINITIONS AND INTERPRETATION</w:t>
      </w:r>
      <w:bookmarkEnd w:id="10"/>
    </w:p>
    <w:p w:rsidR="00170232" w:rsidRDefault="00170232" w:rsidP="00170232">
      <w:pPr>
        <w:jc w:val="center"/>
        <w:rPr>
          <w:b/>
          <w:sz w:val="20"/>
        </w:rPr>
      </w:pPr>
    </w:p>
    <w:p w:rsidR="00170232" w:rsidRDefault="00170232" w:rsidP="00170232">
      <w:pPr>
        <w:ind w:left="426" w:hanging="426"/>
        <w:rPr>
          <w:sz w:val="20"/>
        </w:rPr>
      </w:pPr>
      <w:r>
        <w:rPr>
          <w:sz w:val="20"/>
        </w:rPr>
        <w:t>1.</w:t>
      </w:r>
      <w:r>
        <w:rPr>
          <w:sz w:val="20"/>
        </w:rPr>
        <w:tab/>
        <w:t>The headings in this Contract shall not affect its interpretation.</w:t>
      </w:r>
    </w:p>
    <w:p w:rsidR="00170232" w:rsidRDefault="00170232" w:rsidP="00170232">
      <w:pPr>
        <w:ind w:left="426" w:hanging="426"/>
        <w:rPr>
          <w:sz w:val="20"/>
        </w:rPr>
      </w:pPr>
      <w:r>
        <w:rPr>
          <w:sz w:val="20"/>
        </w:rPr>
        <w:t>2.</w:t>
      </w:r>
      <w:r>
        <w:rPr>
          <w:sz w:val="20"/>
        </w:rPr>
        <w:tab/>
        <w:t>References to any statute or statutory provision include a reference to that statute or statutory provision as from time to time amended, extended or re-enacted.</w:t>
      </w:r>
    </w:p>
    <w:p w:rsidR="00170232" w:rsidRDefault="00170232" w:rsidP="00170232">
      <w:pPr>
        <w:ind w:left="426" w:hanging="426"/>
        <w:rPr>
          <w:sz w:val="20"/>
        </w:rPr>
      </w:pPr>
      <w:r>
        <w:rPr>
          <w:sz w:val="20"/>
        </w:rPr>
        <w:t>3.</w:t>
      </w:r>
      <w:r>
        <w:rPr>
          <w:sz w:val="20"/>
        </w:rPr>
        <w:tab/>
        <w:t>References to a statutory provision shall include any subordinate legislation made from time to time under that provision.</w:t>
      </w:r>
    </w:p>
    <w:p w:rsidR="00170232" w:rsidRDefault="00170232" w:rsidP="00170232">
      <w:pPr>
        <w:ind w:left="426" w:hanging="426"/>
        <w:rPr>
          <w:sz w:val="20"/>
        </w:rPr>
      </w:pPr>
      <w:r>
        <w:rPr>
          <w:sz w:val="20"/>
        </w:rPr>
        <w:t>4.</w:t>
      </w:r>
      <w:r>
        <w:rPr>
          <w:sz w:val="20"/>
        </w:rPr>
        <w:tab/>
        <w:t>References to Sections, clauses and Appendices are to the Sections, clauses and Appendices of this Contract, unless expressly stated otherwise.</w:t>
      </w:r>
    </w:p>
    <w:p w:rsidR="00170232" w:rsidRDefault="00170232" w:rsidP="00170232">
      <w:pPr>
        <w:ind w:left="426" w:hanging="426"/>
        <w:rPr>
          <w:sz w:val="20"/>
        </w:rPr>
      </w:pPr>
      <w:r>
        <w:rPr>
          <w:sz w:val="20"/>
        </w:rPr>
        <w:t>5.</w:t>
      </w:r>
      <w:r>
        <w:rPr>
          <w:sz w:val="20"/>
        </w:rPr>
        <w:tab/>
        <w:t xml:space="preserve">References to </w:t>
      </w:r>
      <w:proofErr w:type="spellStart"/>
      <w:r>
        <w:rPr>
          <w:sz w:val="20"/>
        </w:rPr>
        <w:t>any body</w:t>
      </w:r>
      <w:proofErr w:type="spellEnd"/>
      <w:r>
        <w:rPr>
          <w:sz w:val="20"/>
        </w:rPr>
        <w:t xml:space="preserve">, organisation or office shall include reference to its applicable </w:t>
      </w:r>
      <w:r>
        <w:rPr>
          <w:sz w:val="20"/>
        </w:rPr>
        <w:tab/>
        <w:t>successor from time to time.</w:t>
      </w:r>
    </w:p>
    <w:p w:rsidR="00170232" w:rsidRDefault="00170232" w:rsidP="00170232">
      <w:pPr>
        <w:ind w:left="426" w:hanging="426"/>
        <w:rPr>
          <w:sz w:val="20"/>
        </w:rPr>
      </w:pPr>
      <w:r>
        <w:rPr>
          <w:sz w:val="20"/>
        </w:rPr>
        <w:t>6.</w:t>
      </w:r>
      <w:r>
        <w:rPr>
          <w:sz w:val="20"/>
        </w:rPr>
        <w:tab/>
        <w:t>Any references to this Contract or any other documents includes reference to this Contract or such other documents as varied, amended, supplemented, extended, restated and/or replaced from time to time.</w:t>
      </w:r>
    </w:p>
    <w:p w:rsidR="00170232" w:rsidRDefault="00170232" w:rsidP="00170232">
      <w:pPr>
        <w:ind w:left="426" w:hanging="426"/>
        <w:rPr>
          <w:sz w:val="20"/>
        </w:rPr>
      </w:pPr>
      <w:r>
        <w:rPr>
          <w:sz w:val="20"/>
        </w:rPr>
        <w:t>7.</w:t>
      </w:r>
      <w:r>
        <w:rPr>
          <w:sz w:val="20"/>
        </w:rPr>
        <w:tab/>
        <w:t>Use of the singular includes the plural and vice versa.</w:t>
      </w:r>
    </w:p>
    <w:p w:rsidR="00170232" w:rsidRDefault="00170232" w:rsidP="00170232">
      <w:pPr>
        <w:ind w:left="426" w:hanging="426"/>
        <w:rPr>
          <w:rFonts w:cs="Arial"/>
          <w:sz w:val="20"/>
        </w:rPr>
      </w:pPr>
      <w:r>
        <w:rPr>
          <w:rFonts w:cs="Arial"/>
          <w:sz w:val="20"/>
        </w:rPr>
        <w:t>8.</w:t>
      </w:r>
      <w:r>
        <w:rPr>
          <w:rFonts w:cs="Arial"/>
          <w:sz w:val="20"/>
        </w:rPr>
        <w:tab/>
        <w:t>The following terms shall have the following meanings:</w:t>
      </w:r>
    </w:p>
    <w:p w:rsidR="00170232" w:rsidRDefault="00170232" w:rsidP="00170232">
      <w:pPr>
        <w:jc w:val="left"/>
        <w:rPr>
          <w:rFonts w:cs="Arial"/>
          <w:sz w:val="20"/>
        </w:rPr>
      </w:pPr>
    </w:p>
    <w:p w:rsidR="00170232" w:rsidRDefault="00170232" w:rsidP="00170232">
      <w:pPr>
        <w:rPr>
          <w:rFonts w:cs="Arial"/>
          <w:bCs/>
          <w:sz w:val="20"/>
        </w:rPr>
      </w:pPr>
      <w:r>
        <w:rPr>
          <w:rFonts w:cs="Arial"/>
          <w:b/>
          <w:bCs/>
          <w:sz w:val="20"/>
        </w:rPr>
        <w:t xml:space="preserve">Activity </w:t>
      </w:r>
      <w:r>
        <w:rPr>
          <w:rFonts w:cs="Arial"/>
          <w:bCs/>
          <w:sz w:val="20"/>
        </w:rPr>
        <w:t>means any levels of clinical services and/or Service User flows set out in a Service Specification</w:t>
      </w:r>
    </w:p>
    <w:p w:rsidR="00170232" w:rsidRDefault="00170232" w:rsidP="00170232">
      <w:pPr>
        <w:rPr>
          <w:rFonts w:cs="Arial"/>
          <w:b/>
          <w:bCs/>
          <w:sz w:val="20"/>
        </w:rPr>
      </w:pPr>
    </w:p>
    <w:p w:rsidR="00170232" w:rsidRDefault="00170232" w:rsidP="00170232">
      <w:pPr>
        <w:rPr>
          <w:rFonts w:cs="Arial"/>
          <w:sz w:val="20"/>
        </w:rPr>
      </w:pPr>
      <w:r>
        <w:rPr>
          <w:rFonts w:cs="Arial"/>
          <w:b/>
          <w:bCs/>
          <w:sz w:val="20"/>
        </w:rPr>
        <w:t>Authorised Person</w:t>
      </w:r>
      <w:r>
        <w:rPr>
          <w:rFonts w:cs="Arial"/>
          <w:sz w:val="20"/>
        </w:rPr>
        <w:t xml:space="preserve"> means the Authority and </w:t>
      </w:r>
      <w:proofErr w:type="spellStart"/>
      <w:r>
        <w:rPr>
          <w:rFonts w:cs="Arial"/>
          <w:sz w:val="20"/>
        </w:rPr>
        <w:t>any body</w:t>
      </w:r>
      <w:proofErr w:type="spellEnd"/>
      <w:r>
        <w:rPr>
          <w:rFonts w:cs="Arial"/>
          <w:sz w:val="20"/>
        </w:rPr>
        <w:t xml:space="preserve"> or person concerned with the provision of the Service or care of a Service User</w:t>
      </w:r>
    </w:p>
    <w:p w:rsidR="00170232" w:rsidRDefault="00170232" w:rsidP="00170232">
      <w:pPr>
        <w:rPr>
          <w:rFonts w:cs="Arial"/>
          <w:sz w:val="20"/>
        </w:rPr>
      </w:pPr>
    </w:p>
    <w:p w:rsidR="00170232" w:rsidRDefault="00170232" w:rsidP="00170232">
      <w:pPr>
        <w:rPr>
          <w:sz w:val="20"/>
        </w:rPr>
      </w:pPr>
      <w:r>
        <w:rPr>
          <w:b/>
          <w:sz w:val="20"/>
        </w:rPr>
        <w:t xml:space="preserve">Authority Representative </w:t>
      </w:r>
      <w:r>
        <w:rPr>
          <w:sz w:val="20"/>
        </w:rPr>
        <w:t xml:space="preserve">means the person identified in clause </w:t>
      </w:r>
      <w:r w:rsidR="00E9700A">
        <w:rPr>
          <w:sz w:val="20"/>
        </w:rPr>
        <w:fldChar w:fldCharType="begin"/>
      </w:r>
      <w:r>
        <w:rPr>
          <w:sz w:val="20"/>
        </w:rPr>
        <w:instrText xml:space="preserve"> REF _Ref374296211 \r \h </w:instrText>
      </w:r>
      <w:r w:rsidR="00E9700A">
        <w:rPr>
          <w:sz w:val="20"/>
        </w:rPr>
      </w:r>
      <w:r w:rsidR="00E9700A">
        <w:rPr>
          <w:sz w:val="20"/>
        </w:rPr>
        <w:fldChar w:fldCharType="separate"/>
      </w:r>
      <w:r>
        <w:rPr>
          <w:sz w:val="20"/>
        </w:rPr>
        <w:t>A4.1</w:t>
      </w:r>
      <w:r w:rsidR="00E9700A">
        <w:rPr>
          <w:sz w:val="20"/>
        </w:rPr>
        <w:fldChar w:fldCharType="end"/>
      </w:r>
      <w:r>
        <w:rPr>
          <w:sz w:val="20"/>
        </w:rPr>
        <w:t xml:space="preserve"> or their replacement</w:t>
      </w:r>
    </w:p>
    <w:p w:rsidR="00170232" w:rsidRDefault="00170232" w:rsidP="00170232">
      <w:pPr>
        <w:rPr>
          <w:rFonts w:cs="Arial"/>
          <w:sz w:val="20"/>
        </w:rPr>
      </w:pPr>
    </w:p>
    <w:p w:rsidR="00170232" w:rsidRDefault="00170232" w:rsidP="00170232">
      <w:pPr>
        <w:rPr>
          <w:sz w:val="20"/>
        </w:rPr>
      </w:pPr>
      <w:r>
        <w:rPr>
          <w:b/>
          <w:sz w:val="20"/>
        </w:rPr>
        <w:t>Best Value Duty</w:t>
      </w:r>
      <w:r>
        <w:rPr>
          <w:sz w:val="20"/>
        </w:rPr>
        <w:t xml:space="preserve"> means the duty imposed by section 3 of the Local Government Act 1999 (the </w:t>
      </w:r>
      <w:r>
        <w:rPr>
          <w:b/>
          <w:i/>
          <w:sz w:val="20"/>
        </w:rPr>
        <w:t>LGA 1999</w:t>
      </w:r>
      <w:r>
        <w:rPr>
          <w:sz w:val="20"/>
        </w:rPr>
        <w:t xml:space="preserve">) as amended, and under which the Authority is under a statutory duty to continuously improve the way its functions are exercised, having regard to a combination of economy, efficiency and effectiveness and to any applicable guidance issued from time to time </w:t>
      </w:r>
    </w:p>
    <w:p w:rsidR="00170232" w:rsidRDefault="00170232" w:rsidP="00170232">
      <w:pPr>
        <w:rPr>
          <w:sz w:val="20"/>
        </w:rPr>
      </w:pPr>
    </w:p>
    <w:p w:rsidR="00170232" w:rsidRDefault="00170232" w:rsidP="00170232">
      <w:pPr>
        <w:rPr>
          <w:sz w:val="20"/>
        </w:rPr>
      </w:pPr>
      <w:r>
        <w:rPr>
          <w:b/>
          <w:sz w:val="20"/>
        </w:rPr>
        <w:t xml:space="preserve">Board of Directors </w:t>
      </w:r>
      <w:r>
        <w:rPr>
          <w:sz w:val="20"/>
        </w:rPr>
        <w:t xml:space="preserve">means the executive board or committee of the relevant organisation </w:t>
      </w:r>
    </w:p>
    <w:p w:rsidR="00170232" w:rsidRDefault="00170232" w:rsidP="00170232">
      <w:pPr>
        <w:rPr>
          <w:b/>
          <w:sz w:val="20"/>
        </w:rPr>
      </w:pPr>
    </w:p>
    <w:p w:rsidR="00170232" w:rsidRDefault="00170232" w:rsidP="00170232">
      <w:pPr>
        <w:keepNext/>
        <w:keepLines/>
        <w:rPr>
          <w:rFonts w:cs="Arial"/>
          <w:sz w:val="20"/>
        </w:rPr>
      </w:pPr>
      <w:r>
        <w:rPr>
          <w:rFonts w:cs="Arial"/>
          <w:b/>
          <w:bCs/>
          <w:sz w:val="20"/>
        </w:rPr>
        <w:t>Business Continuity Plan</w:t>
      </w:r>
      <w:r>
        <w:rPr>
          <w:rFonts w:cs="Arial"/>
          <w:sz w:val="20"/>
        </w:rPr>
        <w:t xml:space="preserve"> means the Provider’s plan referred to in Clause </w:t>
      </w:r>
      <w:r w:rsidR="00E9700A">
        <w:rPr>
          <w:rFonts w:cs="Arial"/>
          <w:sz w:val="20"/>
        </w:rPr>
        <w:fldChar w:fldCharType="begin"/>
      </w:r>
      <w:r>
        <w:rPr>
          <w:rFonts w:cs="Arial"/>
          <w:sz w:val="20"/>
        </w:rPr>
        <w:instrText xml:space="preserve"> REF _Ref375160581 \r \h </w:instrText>
      </w:r>
      <w:r w:rsidR="00E9700A">
        <w:rPr>
          <w:rFonts w:cs="Arial"/>
          <w:sz w:val="20"/>
        </w:rPr>
      </w:r>
      <w:r w:rsidR="00E9700A">
        <w:rPr>
          <w:rFonts w:cs="Arial"/>
          <w:sz w:val="20"/>
        </w:rPr>
        <w:fldChar w:fldCharType="separate"/>
      </w:r>
      <w:r>
        <w:rPr>
          <w:rFonts w:cs="Arial"/>
          <w:sz w:val="20"/>
        </w:rPr>
        <w:t>B34.2</w:t>
      </w:r>
      <w:r w:rsidR="00E9700A">
        <w:rPr>
          <w:rFonts w:cs="Arial"/>
          <w:sz w:val="20"/>
        </w:rPr>
        <w:fldChar w:fldCharType="end"/>
      </w:r>
      <w:r>
        <w:rPr>
          <w:rFonts w:cs="Arial"/>
          <w:sz w:val="20"/>
        </w:rPr>
        <w:t xml:space="preserve"> (</w:t>
      </w:r>
      <w:r>
        <w:rPr>
          <w:rFonts w:cs="Arial"/>
          <w:i/>
          <w:sz w:val="20"/>
        </w:rPr>
        <w:t>Business Continuity</w:t>
      </w:r>
      <w:r>
        <w:rPr>
          <w:rFonts w:cs="Arial"/>
          <w:sz w:val="20"/>
        </w:rPr>
        <w:t>) relating to continuity of the Services, as agreed with the Authority and as may be amended from time to time</w:t>
      </w:r>
    </w:p>
    <w:p w:rsidR="00170232" w:rsidRDefault="00170232" w:rsidP="00170232">
      <w:pPr>
        <w:rPr>
          <w:b/>
          <w:sz w:val="20"/>
        </w:rPr>
      </w:pPr>
    </w:p>
    <w:p w:rsidR="00170232" w:rsidRDefault="00170232" w:rsidP="00170232">
      <w:pPr>
        <w:rPr>
          <w:sz w:val="20"/>
        </w:rPr>
      </w:pPr>
      <w:r>
        <w:rPr>
          <w:b/>
          <w:sz w:val="20"/>
        </w:rPr>
        <w:t xml:space="preserve">Business Day </w:t>
      </w:r>
      <w:r>
        <w:rPr>
          <w:sz w:val="20"/>
        </w:rPr>
        <w:t xml:space="preserve">means a day (other than a Saturday or a Sunday) on which commercial banks are open for general business in </w:t>
      </w:r>
      <w:smartTag w:uri="urn:schemas-microsoft-com:office:smarttags" w:element="place">
        <w:smartTag w:uri="urn:schemas-microsoft-com:office:smarttags" w:element="City">
          <w:r>
            <w:rPr>
              <w:sz w:val="20"/>
            </w:rPr>
            <w:t>London</w:t>
          </w:r>
        </w:smartTag>
      </w:smartTag>
    </w:p>
    <w:p w:rsidR="00170232" w:rsidRDefault="00170232" w:rsidP="00170232">
      <w:pPr>
        <w:rPr>
          <w:b/>
          <w:sz w:val="20"/>
        </w:rPr>
      </w:pPr>
    </w:p>
    <w:p w:rsidR="00170232" w:rsidRDefault="00170232" w:rsidP="00170232">
      <w:pPr>
        <w:rPr>
          <w:b/>
          <w:sz w:val="20"/>
        </w:rPr>
      </w:pPr>
      <w:proofErr w:type="spellStart"/>
      <w:r>
        <w:rPr>
          <w:rFonts w:cs="Arial"/>
          <w:b/>
          <w:bCs/>
          <w:sz w:val="20"/>
        </w:rPr>
        <w:t>Caldicott</w:t>
      </w:r>
      <w:proofErr w:type="spellEnd"/>
      <w:r>
        <w:rPr>
          <w:rFonts w:cs="Arial"/>
          <w:b/>
          <w:bCs/>
          <w:sz w:val="20"/>
        </w:rPr>
        <w:t xml:space="preserve"> Guardian</w:t>
      </w:r>
      <w:r>
        <w:rPr>
          <w:rFonts w:cs="Arial"/>
          <w:sz w:val="20"/>
        </w:rPr>
        <w:t xml:space="preserve"> means the senior health professional responsible for safeguarding the confidentiality of patient information</w:t>
      </w:r>
    </w:p>
    <w:p w:rsidR="00170232" w:rsidRDefault="00170232" w:rsidP="00170232">
      <w:pPr>
        <w:rPr>
          <w:b/>
          <w:sz w:val="20"/>
        </w:rPr>
      </w:pPr>
    </w:p>
    <w:p w:rsidR="00170232" w:rsidRDefault="00170232" w:rsidP="00170232">
      <w:pPr>
        <w:keepNext/>
        <w:keepLines/>
        <w:rPr>
          <w:rFonts w:cs="Arial"/>
          <w:sz w:val="20"/>
        </w:rPr>
      </w:pPr>
      <w:r>
        <w:rPr>
          <w:rFonts w:cs="Arial"/>
          <w:b/>
          <w:bCs/>
          <w:sz w:val="20"/>
        </w:rPr>
        <w:t xml:space="preserve">Care Quality Commission or CQC </w:t>
      </w:r>
      <w:r>
        <w:rPr>
          <w:rFonts w:cs="Arial"/>
          <w:sz w:val="20"/>
        </w:rPr>
        <w:t>means the care quality commission established under the Health and Social Care Act 2008</w:t>
      </w:r>
    </w:p>
    <w:p w:rsidR="00170232" w:rsidRDefault="00170232" w:rsidP="00170232">
      <w:pPr>
        <w:rPr>
          <w:b/>
          <w:sz w:val="20"/>
        </w:rPr>
      </w:pPr>
    </w:p>
    <w:p w:rsidR="00170232" w:rsidRDefault="00170232" w:rsidP="00170232">
      <w:pPr>
        <w:rPr>
          <w:b/>
          <w:sz w:val="20"/>
        </w:rPr>
      </w:pPr>
      <w:r>
        <w:rPr>
          <w:rFonts w:cs="Arial"/>
          <w:b/>
          <w:bCs/>
          <w:sz w:val="20"/>
        </w:rPr>
        <w:t>Carer</w:t>
      </w:r>
      <w:r>
        <w:rPr>
          <w:rFonts w:cs="Arial"/>
          <w:sz w:val="20"/>
        </w:rPr>
        <w:t xml:space="preserve"> means a family member or friend of the Service User who provides day-to-day support to the Service User without which the Service User could not manage</w:t>
      </w:r>
    </w:p>
    <w:p w:rsidR="00170232" w:rsidRDefault="00170232" w:rsidP="00170232">
      <w:pPr>
        <w:rPr>
          <w:b/>
          <w:sz w:val="20"/>
        </w:rPr>
      </w:pPr>
    </w:p>
    <w:p w:rsidR="00170232" w:rsidRDefault="00170232" w:rsidP="00170232">
      <w:pPr>
        <w:rPr>
          <w:rFonts w:cs="Arial"/>
          <w:sz w:val="20"/>
        </w:rPr>
      </w:pPr>
      <w:smartTag w:uri="urn:schemas-microsoft-com:office:smarttags" w:element="stockticker">
        <w:r>
          <w:rPr>
            <w:rFonts w:cs="Arial"/>
            <w:b/>
            <w:bCs/>
            <w:sz w:val="20"/>
          </w:rPr>
          <w:t>CEDR</w:t>
        </w:r>
      </w:smartTag>
      <w:r>
        <w:rPr>
          <w:rFonts w:cs="Arial"/>
          <w:sz w:val="20"/>
        </w:rPr>
        <w:t xml:space="preserve"> means the Centre for Effective Dispute Resolution</w:t>
      </w:r>
    </w:p>
    <w:p w:rsidR="00170232" w:rsidRDefault="00170232" w:rsidP="00170232">
      <w:pPr>
        <w:rPr>
          <w:rFonts w:cs="Arial"/>
          <w:sz w:val="20"/>
        </w:rPr>
      </w:pPr>
    </w:p>
    <w:p w:rsidR="00170232" w:rsidRDefault="00170232" w:rsidP="00170232">
      <w:pPr>
        <w:rPr>
          <w:rFonts w:cs="Arial"/>
          <w:sz w:val="20"/>
        </w:rPr>
      </w:pPr>
      <w:r>
        <w:rPr>
          <w:rFonts w:cs="Arial"/>
          <w:b/>
          <w:sz w:val="20"/>
        </w:rPr>
        <w:t>Charges</w:t>
      </w:r>
      <w:r>
        <w:rPr>
          <w:rFonts w:cs="Arial"/>
          <w:sz w:val="20"/>
        </w:rPr>
        <w:t xml:space="preserve"> means the </w:t>
      </w:r>
      <w:r>
        <w:rPr>
          <w:sz w:val="20"/>
        </w:rPr>
        <w:t>charges which shall become due and payable by the Authority to the Provider in respect of the provision of the Services in accordance with the provisions of this Contract, as such charges are set out in Appendix E (</w:t>
      </w:r>
      <w:r>
        <w:rPr>
          <w:i/>
          <w:sz w:val="20"/>
        </w:rPr>
        <w:t>Charges</w:t>
      </w:r>
      <w:r>
        <w:rPr>
          <w:sz w:val="20"/>
        </w:rPr>
        <w:t>)</w:t>
      </w:r>
    </w:p>
    <w:p w:rsidR="00170232" w:rsidRDefault="00170232" w:rsidP="00170232">
      <w:pPr>
        <w:rPr>
          <w:b/>
          <w:sz w:val="20"/>
        </w:rPr>
      </w:pPr>
    </w:p>
    <w:p w:rsidR="00170232" w:rsidRDefault="00170232" w:rsidP="00170232">
      <w:pPr>
        <w:rPr>
          <w:sz w:val="20"/>
        </w:rPr>
      </w:pPr>
      <w:r>
        <w:rPr>
          <w:b/>
          <w:sz w:val="20"/>
        </w:rPr>
        <w:t>Commencement Date</w:t>
      </w:r>
      <w:r>
        <w:rPr>
          <w:sz w:val="20"/>
        </w:rPr>
        <w:t xml:space="preserve"> means the date identified in clause </w:t>
      </w:r>
      <w:r w:rsidR="00E9700A">
        <w:rPr>
          <w:sz w:val="20"/>
        </w:rPr>
        <w:fldChar w:fldCharType="begin"/>
      </w:r>
      <w:r>
        <w:rPr>
          <w:sz w:val="20"/>
        </w:rPr>
        <w:instrText xml:space="preserve"> REF _Ref374295871 \r \h </w:instrText>
      </w:r>
      <w:r w:rsidR="00E9700A">
        <w:rPr>
          <w:sz w:val="20"/>
        </w:rPr>
      </w:r>
      <w:r w:rsidR="00E9700A">
        <w:rPr>
          <w:sz w:val="20"/>
        </w:rPr>
        <w:fldChar w:fldCharType="separate"/>
      </w:r>
      <w:r>
        <w:rPr>
          <w:sz w:val="20"/>
        </w:rPr>
        <w:t>A3.1</w:t>
      </w:r>
      <w:r w:rsidR="00E9700A">
        <w:rPr>
          <w:sz w:val="20"/>
        </w:rPr>
        <w:fldChar w:fldCharType="end"/>
      </w:r>
      <w:r>
        <w:rPr>
          <w:sz w:val="20"/>
        </w:rPr>
        <w:t>.</w:t>
      </w:r>
    </w:p>
    <w:p w:rsidR="00170232" w:rsidRDefault="00170232" w:rsidP="00170232">
      <w:pPr>
        <w:rPr>
          <w:sz w:val="20"/>
        </w:rPr>
      </w:pPr>
    </w:p>
    <w:p w:rsidR="00170232" w:rsidRDefault="00170232" w:rsidP="00170232">
      <w:pPr>
        <w:rPr>
          <w:rFonts w:cs="Arial"/>
          <w:sz w:val="20"/>
        </w:rPr>
      </w:pPr>
      <w:r>
        <w:rPr>
          <w:rFonts w:cs="Arial"/>
          <w:b/>
          <w:bCs/>
          <w:sz w:val="20"/>
        </w:rPr>
        <w:t xml:space="preserve">Competent Body </w:t>
      </w:r>
      <w:r>
        <w:rPr>
          <w:rFonts w:cs="Arial"/>
          <w:sz w:val="20"/>
        </w:rPr>
        <w:t xml:space="preserve">means </w:t>
      </w:r>
      <w:proofErr w:type="spellStart"/>
      <w:r>
        <w:rPr>
          <w:rFonts w:cs="Arial"/>
          <w:sz w:val="20"/>
        </w:rPr>
        <w:t>any body</w:t>
      </w:r>
      <w:proofErr w:type="spellEnd"/>
      <w:r>
        <w:rPr>
          <w:rFonts w:cs="Arial"/>
          <w:sz w:val="20"/>
        </w:rPr>
        <w:t xml:space="preserve"> that has authority to issue standards or recommendations with which either Party must comply</w:t>
      </w:r>
    </w:p>
    <w:p w:rsidR="00170232" w:rsidRDefault="00170232" w:rsidP="00170232">
      <w:pPr>
        <w:rPr>
          <w:sz w:val="20"/>
        </w:rPr>
      </w:pPr>
    </w:p>
    <w:p w:rsidR="00170232" w:rsidRDefault="00170232" w:rsidP="00170232">
      <w:pPr>
        <w:suppressAutoHyphens w:val="0"/>
        <w:autoSpaceDE w:val="0"/>
        <w:autoSpaceDN w:val="0"/>
        <w:adjustRightInd w:val="0"/>
        <w:rPr>
          <w:rFonts w:cs="Arial"/>
          <w:sz w:val="20"/>
          <w:lang w:eastAsia="en-GB"/>
        </w:rPr>
      </w:pPr>
      <w:r>
        <w:rPr>
          <w:rFonts w:cs="Arial"/>
          <w:b/>
          <w:sz w:val="20"/>
        </w:rPr>
        <w:t>Conditions Precedent</w:t>
      </w:r>
      <w:r>
        <w:rPr>
          <w:rFonts w:cs="Arial"/>
          <w:sz w:val="20"/>
        </w:rPr>
        <w:t xml:space="preserve"> means </w:t>
      </w:r>
      <w:r>
        <w:rPr>
          <w:rFonts w:cs="Arial"/>
          <w:sz w:val="20"/>
          <w:lang w:eastAsia="en-GB"/>
        </w:rPr>
        <w:t xml:space="preserve">the conditions precedent, if any, to commencement of service delivery referred to in clause </w:t>
      </w:r>
      <w:r w:rsidR="00E9700A">
        <w:rPr>
          <w:rFonts w:cs="Arial"/>
          <w:sz w:val="20"/>
          <w:lang w:eastAsia="en-GB"/>
        </w:rPr>
        <w:fldChar w:fldCharType="begin"/>
      </w:r>
      <w:r>
        <w:rPr>
          <w:rFonts w:cs="Arial"/>
          <w:sz w:val="20"/>
          <w:lang w:eastAsia="en-GB"/>
        </w:rPr>
        <w:instrText xml:space="preserve"> REF _Ref374295783 \r \h </w:instrText>
      </w:r>
      <w:r w:rsidR="00E9700A">
        <w:rPr>
          <w:rFonts w:cs="Arial"/>
          <w:sz w:val="20"/>
          <w:lang w:eastAsia="en-GB"/>
        </w:rPr>
      </w:r>
      <w:r w:rsidR="00E9700A">
        <w:rPr>
          <w:rFonts w:cs="Arial"/>
          <w:sz w:val="20"/>
          <w:lang w:eastAsia="en-GB"/>
        </w:rPr>
        <w:fldChar w:fldCharType="separate"/>
      </w:r>
      <w:r>
        <w:rPr>
          <w:rFonts w:cs="Arial"/>
          <w:sz w:val="20"/>
          <w:lang w:eastAsia="en-GB"/>
        </w:rPr>
        <w:t>A3.2</w:t>
      </w:r>
      <w:r w:rsidR="00E9700A">
        <w:rPr>
          <w:rFonts w:cs="Arial"/>
          <w:sz w:val="20"/>
          <w:lang w:eastAsia="en-GB"/>
        </w:rPr>
        <w:fldChar w:fldCharType="end"/>
      </w:r>
      <w:r>
        <w:rPr>
          <w:rFonts w:cs="Arial"/>
          <w:sz w:val="20"/>
          <w:lang w:eastAsia="en-GB"/>
        </w:rPr>
        <w:t xml:space="preserve"> and set out in Appendix B (</w:t>
      </w:r>
      <w:r>
        <w:rPr>
          <w:rFonts w:cs="Arial"/>
          <w:iCs/>
          <w:sz w:val="20"/>
          <w:lang w:eastAsia="en-GB"/>
        </w:rPr>
        <w:t>Conditions Precedent</w:t>
      </w:r>
      <w:r>
        <w:rPr>
          <w:rFonts w:cs="Arial"/>
          <w:sz w:val="20"/>
          <w:lang w:eastAsia="en-GB"/>
        </w:rPr>
        <w:t>)</w:t>
      </w:r>
    </w:p>
    <w:p w:rsidR="00170232" w:rsidRDefault="00170232" w:rsidP="00170232">
      <w:pPr>
        <w:rPr>
          <w:rFonts w:cs="Arial"/>
          <w:sz w:val="20"/>
        </w:rPr>
      </w:pPr>
    </w:p>
    <w:p w:rsidR="00170232" w:rsidRDefault="00170232" w:rsidP="00170232">
      <w:pPr>
        <w:keepNext/>
        <w:keepLines/>
        <w:autoSpaceDE w:val="0"/>
        <w:autoSpaceDN w:val="0"/>
        <w:adjustRightInd w:val="0"/>
        <w:rPr>
          <w:rFonts w:cs="Arial"/>
          <w:color w:val="000000"/>
          <w:sz w:val="20"/>
        </w:rPr>
      </w:pPr>
      <w:r>
        <w:rPr>
          <w:rFonts w:cs="Arial"/>
          <w:b/>
          <w:bCs/>
          <w:sz w:val="20"/>
        </w:rPr>
        <w:lastRenderedPageBreak/>
        <w:t>Confidential Information</w:t>
      </w:r>
      <w:r>
        <w:rPr>
          <w:rFonts w:cs="Arial"/>
          <w:color w:val="000000"/>
          <w:sz w:val="20"/>
        </w:rPr>
        <w:t xml:space="preserve"> 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Service User Health Records or information relating to a particular Service User, or Personal Data, pursuant to an FOIA request, or information which is published as a result of government policy in relation to transparency</w:t>
      </w:r>
    </w:p>
    <w:p w:rsidR="00170232" w:rsidRDefault="00170232" w:rsidP="00170232">
      <w:pPr>
        <w:rPr>
          <w:sz w:val="20"/>
        </w:rPr>
      </w:pPr>
    </w:p>
    <w:p w:rsidR="00170232" w:rsidRDefault="00170232" w:rsidP="00170232">
      <w:pPr>
        <w:pStyle w:val="Normalindent1"/>
        <w:ind w:left="0"/>
        <w:rPr>
          <w:rStyle w:val="NormalBoldChar1"/>
          <w:sz w:val="20"/>
          <w:lang w:eastAsia="ja-JP"/>
        </w:rPr>
      </w:pPr>
      <w:r>
        <w:rPr>
          <w:rStyle w:val="NormalBoldChar1"/>
          <w:sz w:val="20"/>
          <w:lang w:eastAsia="ja-JP"/>
        </w:rPr>
        <w:t xml:space="preserve">Consents means:  </w:t>
      </w:r>
    </w:p>
    <w:p w:rsidR="00170232" w:rsidRDefault="00170232" w:rsidP="00170232">
      <w:pPr>
        <w:pStyle w:val="Normalindent1"/>
        <w:ind w:left="709"/>
        <w:rPr>
          <w:rStyle w:val="NormalBoldChar1"/>
          <w:sz w:val="20"/>
          <w:lang w:eastAsia="ja-JP"/>
        </w:rPr>
      </w:pPr>
    </w:p>
    <w:p w:rsidR="00170232" w:rsidRDefault="00170232" w:rsidP="00170232">
      <w:pPr>
        <w:pStyle w:val="ListParagraph"/>
        <w:tabs>
          <w:tab w:val="left" w:pos="540"/>
        </w:tabs>
        <w:ind w:left="540" w:hanging="540"/>
      </w:pPr>
      <w:r>
        <w:rPr>
          <w:rFonts w:cs="Arial"/>
          <w:sz w:val="20"/>
        </w:rPr>
        <w:t>(</w:t>
      </w:r>
      <w:proofErr w:type="spellStart"/>
      <w:r>
        <w:rPr>
          <w:rFonts w:cs="Arial"/>
          <w:sz w:val="20"/>
        </w:rPr>
        <w:t>i</w:t>
      </w:r>
      <w:proofErr w:type="spellEnd"/>
      <w:r>
        <w:rPr>
          <w:rFonts w:cs="Arial"/>
          <w:sz w:val="20"/>
        </w:rPr>
        <w:t>)</w:t>
      </w:r>
      <w:r>
        <w:rPr>
          <w:rFonts w:cs="Arial"/>
          <w:sz w:val="20"/>
        </w:rPr>
        <w:tab/>
      </w:r>
      <w:proofErr w:type="gramStart"/>
      <w:r>
        <w:rPr>
          <w:rFonts w:cs="Arial"/>
          <w:sz w:val="20"/>
        </w:rPr>
        <w:t>any</w:t>
      </w:r>
      <w:proofErr w:type="gramEnd"/>
      <w:r>
        <w:rPr>
          <w:rFonts w:cs="Arial"/>
          <w:sz w:val="20"/>
        </w:rPr>
        <w:t xml:space="preserve"> permission, consent, approval, certificate, permit, licence, statutory agreement, authorisation, exception or declaration required by Law for or in connection with the performance of Services; and/or</w:t>
      </w:r>
    </w:p>
    <w:p w:rsidR="00170232" w:rsidRDefault="00170232" w:rsidP="00170232">
      <w:pPr>
        <w:ind w:left="720"/>
        <w:rPr>
          <w:sz w:val="20"/>
        </w:rPr>
      </w:pPr>
    </w:p>
    <w:p w:rsidR="00170232" w:rsidRDefault="00170232" w:rsidP="00170232">
      <w:pPr>
        <w:pStyle w:val="ListParagraph"/>
        <w:tabs>
          <w:tab w:val="left" w:pos="540"/>
        </w:tabs>
        <w:ind w:left="540" w:hanging="540"/>
        <w:rPr>
          <w:rFonts w:cs="Arial"/>
          <w:sz w:val="20"/>
        </w:rPr>
      </w:pPr>
      <w:r>
        <w:rPr>
          <w:rFonts w:cs="Arial"/>
          <w:sz w:val="20"/>
        </w:rPr>
        <w:t>(ii)</w:t>
      </w:r>
      <w:r>
        <w:rPr>
          <w:rFonts w:cs="Arial"/>
          <w:sz w:val="20"/>
        </w:rPr>
        <w:tab/>
      </w:r>
      <w:proofErr w:type="gramStart"/>
      <w:r>
        <w:rPr>
          <w:rFonts w:cs="Arial"/>
          <w:sz w:val="20"/>
        </w:rPr>
        <w:t>any</w:t>
      </w:r>
      <w:proofErr w:type="gramEnd"/>
      <w:r>
        <w:rPr>
          <w:rFonts w:cs="Arial"/>
          <w:sz w:val="20"/>
        </w:rPr>
        <w:t xml:space="preserve"> necessary consent or agreement from any third party needed either for the performance of the Provider’s obligations under this Contract or for the provision by the Provider of the Services in accordance with this Contract</w:t>
      </w:r>
    </w:p>
    <w:p w:rsidR="00170232" w:rsidRDefault="00170232" w:rsidP="00170232">
      <w:pPr>
        <w:pStyle w:val="ListParagraph"/>
        <w:tabs>
          <w:tab w:val="left" w:pos="540"/>
        </w:tabs>
        <w:ind w:left="540" w:hanging="540"/>
        <w:rPr>
          <w:rFonts w:cs="Arial"/>
          <w:sz w:val="20"/>
        </w:rPr>
      </w:pPr>
    </w:p>
    <w:p w:rsidR="00170232" w:rsidRDefault="00170232" w:rsidP="00170232">
      <w:pPr>
        <w:rPr>
          <w:sz w:val="20"/>
        </w:rPr>
      </w:pPr>
      <w:r>
        <w:rPr>
          <w:b/>
          <w:sz w:val="20"/>
        </w:rPr>
        <w:t>Contract</w:t>
      </w:r>
      <w:r>
        <w:rPr>
          <w:sz w:val="20"/>
        </w:rPr>
        <w:t xml:space="preserve"> has the meaning given to it in clause </w:t>
      </w:r>
      <w:r w:rsidR="00E9700A">
        <w:rPr>
          <w:sz w:val="20"/>
        </w:rPr>
        <w:fldChar w:fldCharType="begin"/>
      </w:r>
      <w:r>
        <w:rPr>
          <w:sz w:val="20"/>
        </w:rPr>
        <w:instrText xml:space="preserve"> REF _Ref374296111 \r \h </w:instrText>
      </w:r>
      <w:r w:rsidR="00E9700A">
        <w:rPr>
          <w:sz w:val="20"/>
        </w:rPr>
      </w:r>
      <w:r w:rsidR="00E9700A">
        <w:rPr>
          <w:sz w:val="20"/>
        </w:rPr>
        <w:fldChar w:fldCharType="separate"/>
      </w:r>
      <w:r>
        <w:rPr>
          <w:sz w:val="20"/>
        </w:rPr>
        <w:t>A1.1</w:t>
      </w:r>
      <w:r w:rsidR="00E9700A">
        <w:rPr>
          <w:sz w:val="20"/>
        </w:rPr>
        <w:fldChar w:fldCharType="end"/>
      </w:r>
    </w:p>
    <w:p w:rsidR="00170232" w:rsidRDefault="00170232" w:rsidP="00170232">
      <w:pPr>
        <w:rPr>
          <w:sz w:val="20"/>
        </w:rPr>
      </w:pPr>
    </w:p>
    <w:p w:rsidR="00170232" w:rsidRDefault="00170232" w:rsidP="00170232">
      <w:pPr>
        <w:rPr>
          <w:sz w:val="20"/>
        </w:rPr>
      </w:pPr>
      <w:r>
        <w:rPr>
          <w:b/>
          <w:sz w:val="20"/>
        </w:rPr>
        <w:t>Contract Query</w:t>
      </w:r>
      <w:r>
        <w:rPr>
          <w:sz w:val="20"/>
        </w:rPr>
        <w:t xml:space="preserve"> means: </w:t>
      </w:r>
    </w:p>
    <w:p w:rsidR="00170232" w:rsidRDefault="00170232" w:rsidP="00170232">
      <w:pPr>
        <w:pStyle w:val="ListParagraph"/>
        <w:ind w:left="34"/>
        <w:rPr>
          <w:rFonts w:cs="Arial"/>
          <w:sz w:val="20"/>
        </w:rPr>
      </w:pPr>
    </w:p>
    <w:p w:rsidR="00170232" w:rsidRDefault="00170232" w:rsidP="00170232">
      <w:pPr>
        <w:pStyle w:val="ListParagraph"/>
        <w:numPr>
          <w:ilvl w:val="0"/>
          <w:numId w:val="38"/>
        </w:numPr>
        <w:suppressAutoHyphens w:val="0"/>
        <w:ind w:left="601" w:hanging="567"/>
        <w:rPr>
          <w:rFonts w:cs="Arial"/>
          <w:sz w:val="20"/>
        </w:rPr>
      </w:pPr>
      <w:r>
        <w:rPr>
          <w:rFonts w:cs="Arial"/>
          <w:sz w:val="20"/>
        </w:rPr>
        <w:t>a query on the part of the Authority in relation to the performance or non-performance by the Provider of any obligation on its part under this Contract; or</w:t>
      </w:r>
    </w:p>
    <w:p w:rsidR="00170232" w:rsidRDefault="00170232" w:rsidP="00170232">
      <w:pPr>
        <w:pStyle w:val="ListParagraph"/>
        <w:ind w:left="601"/>
        <w:rPr>
          <w:rFonts w:cs="Arial"/>
          <w:sz w:val="20"/>
        </w:rPr>
      </w:pPr>
    </w:p>
    <w:p w:rsidR="00170232" w:rsidRDefault="00170232" w:rsidP="00170232">
      <w:pPr>
        <w:pStyle w:val="ListParagraph"/>
        <w:numPr>
          <w:ilvl w:val="0"/>
          <w:numId w:val="38"/>
        </w:numPr>
        <w:suppressAutoHyphens w:val="0"/>
        <w:ind w:left="601" w:hanging="601"/>
        <w:rPr>
          <w:rFonts w:cs="Arial"/>
          <w:sz w:val="20"/>
        </w:rPr>
      </w:pPr>
      <w:r>
        <w:rPr>
          <w:rFonts w:cs="Arial"/>
          <w:sz w:val="20"/>
        </w:rPr>
        <w:t>a query on the part of the Provider in relation to the performance or non-performance by the Authority of any obligation on its part under this Contract,</w:t>
      </w:r>
    </w:p>
    <w:p w:rsidR="00170232" w:rsidRDefault="00170232" w:rsidP="00170232">
      <w:pPr>
        <w:rPr>
          <w:rFonts w:cs="Arial"/>
          <w:sz w:val="20"/>
        </w:rPr>
      </w:pPr>
    </w:p>
    <w:p w:rsidR="00170232" w:rsidRDefault="00170232" w:rsidP="00170232">
      <w:pPr>
        <w:rPr>
          <w:rFonts w:cs="Arial"/>
          <w:sz w:val="20"/>
        </w:rPr>
      </w:pPr>
      <w:proofErr w:type="gramStart"/>
      <w:r>
        <w:rPr>
          <w:rFonts w:cs="Arial"/>
          <w:sz w:val="20"/>
        </w:rPr>
        <w:t>as</w:t>
      </w:r>
      <w:proofErr w:type="gramEnd"/>
      <w:r>
        <w:rPr>
          <w:rFonts w:cs="Arial"/>
          <w:sz w:val="20"/>
        </w:rPr>
        <w:t xml:space="preserve"> appropriate</w:t>
      </w:r>
    </w:p>
    <w:p w:rsidR="00170232" w:rsidRDefault="00170232" w:rsidP="00170232">
      <w:pPr>
        <w:rPr>
          <w:sz w:val="20"/>
        </w:rPr>
      </w:pPr>
    </w:p>
    <w:p w:rsidR="00170232" w:rsidRDefault="00170232" w:rsidP="00170232">
      <w:pPr>
        <w:rPr>
          <w:rFonts w:cs="Arial"/>
          <w:sz w:val="20"/>
        </w:rPr>
      </w:pPr>
      <w:r>
        <w:rPr>
          <w:rFonts w:cs="Arial"/>
          <w:b/>
          <w:sz w:val="20"/>
        </w:rPr>
        <w:t>Contract Query Notice</w:t>
      </w:r>
      <w:r>
        <w:rPr>
          <w:rFonts w:cs="Arial"/>
          <w:sz w:val="20"/>
        </w:rPr>
        <w:t xml:space="preserve"> means a notice setting out in reasonable detail the nature of a Contract Query</w:t>
      </w:r>
    </w:p>
    <w:p w:rsidR="00170232" w:rsidRDefault="00170232" w:rsidP="00170232">
      <w:pPr>
        <w:rPr>
          <w:rFonts w:cs="Arial"/>
          <w:b/>
          <w:bCs/>
          <w:sz w:val="20"/>
        </w:rPr>
      </w:pPr>
    </w:p>
    <w:p w:rsidR="00170232" w:rsidRDefault="00170232" w:rsidP="00170232">
      <w:pPr>
        <w:rPr>
          <w:rFonts w:cs="Arial"/>
          <w:sz w:val="20"/>
        </w:rPr>
      </w:pPr>
      <w:r>
        <w:rPr>
          <w:rFonts w:cs="Arial"/>
          <w:b/>
          <w:bCs/>
          <w:sz w:val="20"/>
        </w:rPr>
        <w:t xml:space="preserve">Contract Management Meeting </w:t>
      </w:r>
      <w:r>
        <w:rPr>
          <w:rFonts w:cs="Arial"/>
          <w:bCs/>
          <w:sz w:val="20"/>
        </w:rPr>
        <w:t>means</w:t>
      </w:r>
      <w:r>
        <w:rPr>
          <w:rFonts w:cs="Arial"/>
          <w:b/>
          <w:bCs/>
          <w:sz w:val="20"/>
        </w:rPr>
        <w:t xml:space="preserve"> </w:t>
      </w:r>
      <w:r>
        <w:rPr>
          <w:rFonts w:cs="Arial"/>
          <w:sz w:val="20"/>
        </w:rPr>
        <w:t xml:space="preserve">a meeting of the Authority and the Provider held in accordance with clause </w:t>
      </w:r>
      <w:r w:rsidR="00E9700A">
        <w:rPr>
          <w:rFonts w:cs="Arial"/>
          <w:sz w:val="20"/>
        </w:rPr>
        <w:fldChar w:fldCharType="begin"/>
      </w:r>
      <w:r>
        <w:rPr>
          <w:rFonts w:cs="Arial"/>
          <w:sz w:val="20"/>
        </w:rPr>
        <w:instrText xml:space="preserve"> REF _Ref375160635 \r \h </w:instrText>
      </w:r>
      <w:r w:rsidR="00E9700A">
        <w:rPr>
          <w:rFonts w:cs="Arial"/>
          <w:sz w:val="20"/>
        </w:rPr>
      </w:r>
      <w:r w:rsidR="00E9700A">
        <w:rPr>
          <w:rFonts w:cs="Arial"/>
          <w:sz w:val="20"/>
        </w:rPr>
        <w:fldChar w:fldCharType="separate"/>
      </w:r>
      <w:r>
        <w:rPr>
          <w:rFonts w:cs="Arial"/>
          <w:sz w:val="20"/>
        </w:rPr>
        <w:t>B29.8</w:t>
      </w:r>
      <w:r w:rsidR="00E9700A">
        <w:rPr>
          <w:rFonts w:cs="Arial"/>
          <w:sz w:val="20"/>
        </w:rPr>
        <w:fldChar w:fldCharType="end"/>
      </w:r>
      <w:r>
        <w:rPr>
          <w:rFonts w:cs="Arial"/>
          <w:sz w:val="20"/>
        </w:rPr>
        <w:t xml:space="preserve"> (</w:t>
      </w:r>
      <w:r>
        <w:rPr>
          <w:rFonts w:cs="Arial"/>
          <w:i/>
          <w:iCs/>
          <w:sz w:val="20"/>
        </w:rPr>
        <w:t>Contract Management</w:t>
      </w:r>
      <w:r>
        <w:rPr>
          <w:rFonts w:cs="Arial"/>
          <w:sz w:val="20"/>
        </w:rPr>
        <w:t>)</w:t>
      </w:r>
    </w:p>
    <w:p w:rsidR="00170232" w:rsidRDefault="00170232" w:rsidP="00170232">
      <w:pPr>
        <w:rPr>
          <w:rFonts w:cs="Arial"/>
          <w:sz w:val="20"/>
        </w:rPr>
      </w:pPr>
    </w:p>
    <w:p w:rsidR="00170232" w:rsidRDefault="00170232" w:rsidP="00170232">
      <w:pPr>
        <w:rPr>
          <w:rFonts w:cs="Arial"/>
          <w:sz w:val="20"/>
        </w:rPr>
      </w:pPr>
      <w:r>
        <w:rPr>
          <w:rFonts w:cs="Arial"/>
          <w:b/>
          <w:sz w:val="20"/>
        </w:rPr>
        <w:t xml:space="preserve">CQC </w:t>
      </w:r>
      <w:r>
        <w:rPr>
          <w:rFonts w:cs="Arial"/>
          <w:sz w:val="20"/>
        </w:rPr>
        <w:t>means the Care Quality Commission</w:t>
      </w:r>
    </w:p>
    <w:p w:rsidR="00170232" w:rsidRDefault="00170232" w:rsidP="00170232">
      <w:pPr>
        <w:rPr>
          <w:sz w:val="20"/>
        </w:rPr>
      </w:pPr>
    </w:p>
    <w:p w:rsidR="00170232" w:rsidRDefault="00170232" w:rsidP="00170232">
      <w:pPr>
        <w:rPr>
          <w:rFonts w:cs="Arial"/>
          <w:sz w:val="20"/>
        </w:rPr>
      </w:pPr>
      <w:r>
        <w:rPr>
          <w:rFonts w:cs="Arial"/>
          <w:b/>
          <w:sz w:val="20"/>
        </w:rPr>
        <w:t xml:space="preserve">CQC Regulations </w:t>
      </w:r>
      <w:r>
        <w:rPr>
          <w:rFonts w:cs="Arial"/>
          <w:sz w:val="20"/>
        </w:rPr>
        <w:t>means the Care Quality Commission (Registration) Regulation 2009</w:t>
      </w:r>
    </w:p>
    <w:p w:rsidR="00170232" w:rsidRDefault="00170232" w:rsidP="00170232">
      <w:pPr>
        <w:rPr>
          <w:rFonts w:cs="Arial"/>
          <w:bCs/>
          <w:sz w:val="20"/>
        </w:rPr>
      </w:pPr>
    </w:p>
    <w:p w:rsidR="00170232" w:rsidRDefault="00170232" w:rsidP="00170232">
      <w:pPr>
        <w:rPr>
          <w:sz w:val="20"/>
        </w:rPr>
      </w:pPr>
      <w:r>
        <w:rPr>
          <w:rFonts w:cs="Arial"/>
          <w:b/>
          <w:bCs/>
          <w:sz w:val="20"/>
        </w:rPr>
        <w:t>Data Processor</w:t>
      </w:r>
      <w:r>
        <w:rPr>
          <w:rFonts w:cs="Arial"/>
          <w:sz w:val="20"/>
        </w:rPr>
        <w:t xml:space="preserve"> has the meaning set out in the DPA</w:t>
      </w:r>
    </w:p>
    <w:p w:rsidR="00170232" w:rsidRDefault="00170232" w:rsidP="00170232">
      <w:pPr>
        <w:rPr>
          <w:sz w:val="20"/>
        </w:rPr>
      </w:pPr>
    </w:p>
    <w:p w:rsidR="00170232" w:rsidRDefault="00170232" w:rsidP="00170232">
      <w:pPr>
        <w:rPr>
          <w:rFonts w:cs="Arial"/>
          <w:sz w:val="20"/>
        </w:rPr>
      </w:pPr>
      <w:r>
        <w:rPr>
          <w:rFonts w:cs="Arial"/>
          <w:b/>
          <w:bCs/>
          <w:sz w:val="20"/>
        </w:rPr>
        <w:t>Data Subject</w:t>
      </w:r>
      <w:r>
        <w:rPr>
          <w:rFonts w:cs="Arial"/>
          <w:sz w:val="20"/>
        </w:rPr>
        <w:t xml:space="preserve"> has the meaning set out in the DPA</w:t>
      </w:r>
    </w:p>
    <w:p w:rsidR="00170232" w:rsidRDefault="00170232" w:rsidP="00170232">
      <w:pPr>
        <w:rPr>
          <w:rFonts w:cs="Arial"/>
          <w:sz w:val="20"/>
        </w:rPr>
      </w:pPr>
    </w:p>
    <w:p w:rsidR="00170232" w:rsidRDefault="00170232" w:rsidP="00170232">
      <w:pPr>
        <w:rPr>
          <w:rFonts w:cs="Arial"/>
          <w:sz w:val="20"/>
        </w:rPr>
      </w:pPr>
      <w:r>
        <w:rPr>
          <w:rFonts w:cs="Arial"/>
          <w:b/>
          <w:sz w:val="20"/>
        </w:rPr>
        <w:t>DBS</w:t>
      </w:r>
      <w:r>
        <w:rPr>
          <w:rFonts w:cs="Arial"/>
          <w:sz w:val="20"/>
        </w:rPr>
        <w:t xml:space="preserve"> means the Disclosure and Barring Service established under the Protection of Freedoms Act 2012</w:t>
      </w:r>
    </w:p>
    <w:p w:rsidR="00170232" w:rsidRDefault="00170232" w:rsidP="00170232">
      <w:pPr>
        <w:rPr>
          <w:rFonts w:cs="Arial"/>
          <w:sz w:val="20"/>
        </w:rPr>
      </w:pPr>
    </w:p>
    <w:p w:rsidR="00170232" w:rsidRDefault="00170232" w:rsidP="00170232">
      <w:pPr>
        <w:rPr>
          <w:rFonts w:cs="Arial"/>
          <w:sz w:val="20"/>
        </w:rPr>
      </w:pPr>
      <w:r>
        <w:rPr>
          <w:rFonts w:cs="Arial"/>
          <w:b/>
          <w:sz w:val="20"/>
        </w:rPr>
        <w:t>Default</w:t>
      </w:r>
      <w:r>
        <w:rPr>
          <w:rFonts w:cs="Arial"/>
          <w:sz w:val="20"/>
        </w:rPr>
        <w:t xml:space="preserve"> 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Authority</w:t>
      </w:r>
    </w:p>
    <w:p w:rsidR="00170232" w:rsidRDefault="00170232" w:rsidP="00170232">
      <w:pPr>
        <w:rPr>
          <w:sz w:val="20"/>
        </w:rPr>
      </w:pPr>
    </w:p>
    <w:p w:rsidR="00170232" w:rsidRDefault="00170232" w:rsidP="00170232">
      <w:pPr>
        <w:rPr>
          <w:rStyle w:val="NormalBoldChar1"/>
          <w:b w:val="0"/>
          <w:sz w:val="20"/>
        </w:rPr>
      </w:pPr>
      <w:r>
        <w:rPr>
          <w:b/>
          <w:bCs/>
          <w:sz w:val="20"/>
        </w:rPr>
        <w:t xml:space="preserve">Default Interest Rate </w:t>
      </w:r>
      <w:r>
        <w:rPr>
          <w:rStyle w:val="NormalBoldChar1"/>
          <w:b w:val="0"/>
          <w:sz w:val="20"/>
        </w:rPr>
        <w:t>means LIBOR plus 2% per annum</w:t>
      </w:r>
    </w:p>
    <w:p w:rsidR="00170232" w:rsidRDefault="00170232" w:rsidP="00170232">
      <w:pPr>
        <w:rPr>
          <w:b/>
        </w:rPr>
      </w:pPr>
    </w:p>
    <w:p w:rsidR="00170232" w:rsidRDefault="00170232" w:rsidP="00170232">
      <w:pPr>
        <w:keepNext/>
        <w:keepLines/>
        <w:rPr>
          <w:rFonts w:cs="Arial"/>
          <w:sz w:val="20"/>
        </w:rPr>
      </w:pPr>
      <w:r>
        <w:rPr>
          <w:rFonts w:cs="Arial"/>
          <w:b/>
          <w:bCs/>
          <w:sz w:val="20"/>
        </w:rPr>
        <w:t>Disclosing Party</w:t>
      </w:r>
      <w:r>
        <w:rPr>
          <w:rFonts w:cs="Arial"/>
          <w:sz w:val="20"/>
        </w:rPr>
        <w:t xml:space="preserve"> means the Party disclosing Confidential Information</w:t>
      </w:r>
    </w:p>
    <w:p w:rsidR="00170232" w:rsidRDefault="00170232" w:rsidP="00170232">
      <w:pPr>
        <w:rPr>
          <w:b/>
          <w:sz w:val="20"/>
        </w:rPr>
      </w:pPr>
    </w:p>
    <w:p w:rsidR="00170232" w:rsidRDefault="00170232" w:rsidP="00170232">
      <w:pPr>
        <w:keepNext/>
        <w:keepLines/>
        <w:rPr>
          <w:rFonts w:cs="Arial"/>
          <w:sz w:val="20"/>
        </w:rPr>
      </w:pPr>
      <w:r>
        <w:rPr>
          <w:rFonts w:cs="Arial"/>
          <w:b/>
          <w:bCs/>
          <w:sz w:val="20"/>
        </w:rPr>
        <w:t>Dispute</w:t>
      </w:r>
      <w:r>
        <w:rPr>
          <w:rFonts w:cs="Arial"/>
          <w:sz w:val="20"/>
        </w:rPr>
        <w:t xml:space="preserve"> means a dispute, conflict or other disagreement between the Parties arising out of or in connection with this Contract</w:t>
      </w:r>
    </w:p>
    <w:p w:rsidR="00170232" w:rsidRDefault="00170232" w:rsidP="00170232">
      <w:pPr>
        <w:rPr>
          <w:b/>
          <w:sz w:val="20"/>
        </w:rPr>
      </w:pPr>
    </w:p>
    <w:p w:rsidR="00170232" w:rsidRDefault="00170232" w:rsidP="00170232">
      <w:pPr>
        <w:rPr>
          <w:rFonts w:cs="Arial"/>
          <w:sz w:val="20"/>
        </w:rPr>
      </w:pPr>
      <w:r>
        <w:rPr>
          <w:rFonts w:cs="Arial"/>
          <w:b/>
          <w:bCs/>
          <w:sz w:val="20"/>
        </w:rPr>
        <w:t>DPA</w:t>
      </w:r>
      <w:r>
        <w:rPr>
          <w:rFonts w:cs="Arial"/>
          <w:sz w:val="20"/>
        </w:rPr>
        <w:t xml:space="preserve"> means the Data Protection Act 1998</w:t>
      </w:r>
    </w:p>
    <w:p w:rsidR="00170232" w:rsidRDefault="00170232" w:rsidP="00170232">
      <w:pPr>
        <w:rPr>
          <w:rFonts w:cs="Arial"/>
          <w:sz w:val="20"/>
        </w:rPr>
      </w:pPr>
    </w:p>
    <w:p w:rsidR="00170232" w:rsidRPr="00800DCF" w:rsidRDefault="00170232" w:rsidP="00170232">
      <w:pPr>
        <w:rPr>
          <w:color w:val="000000" w:themeColor="text1"/>
        </w:rPr>
      </w:pPr>
      <w:r>
        <w:rPr>
          <w:rFonts w:cs="Arial"/>
          <w:b/>
          <w:bCs/>
          <w:sz w:val="20"/>
        </w:rPr>
        <w:lastRenderedPageBreak/>
        <w:t>Employment Checks</w:t>
      </w:r>
      <w:r>
        <w:rPr>
          <w:sz w:val="20"/>
        </w:rPr>
        <w:t xml:space="preserve"> means the pre-appointment checks that are required by law and applicable guidance, including without limitation, </w:t>
      </w:r>
      <w:r w:rsidRPr="00800DCF">
        <w:rPr>
          <w:color w:val="000000" w:themeColor="text1"/>
          <w:sz w:val="20"/>
        </w:rPr>
        <w:t>v</w:t>
      </w:r>
      <w:hyperlink r:id="rId13" w:history="1">
        <w:r w:rsidRPr="00800DCF">
          <w:rPr>
            <w:rStyle w:val="Hyperlink"/>
            <w:color w:val="000000" w:themeColor="text1"/>
            <w:sz w:val="20"/>
            <w:u w:val="none"/>
          </w:rPr>
          <w:t>erification of identity checks</w:t>
        </w:r>
      </w:hyperlink>
      <w:r w:rsidRPr="00800DCF">
        <w:rPr>
          <w:color w:val="000000" w:themeColor="text1"/>
          <w:sz w:val="20"/>
        </w:rPr>
        <w:t>, r</w:t>
      </w:r>
      <w:hyperlink r:id="rId14" w:history="1">
        <w:r w:rsidRPr="00800DCF">
          <w:rPr>
            <w:rStyle w:val="Hyperlink"/>
            <w:color w:val="000000" w:themeColor="text1"/>
            <w:sz w:val="20"/>
            <w:u w:val="none"/>
          </w:rPr>
          <w:t xml:space="preserve">ight to work checks, </w:t>
        </w:r>
      </w:hyperlink>
      <w:hyperlink r:id="rId15" w:history="1">
        <w:r w:rsidRPr="00800DCF">
          <w:rPr>
            <w:rStyle w:val="Hyperlink"/>
            <w:color w:val="000000" w:themeColor="text1"/>
            <w:sz w:val="20"/>
            <w:u w:val="none"/>
          </w:rPr>
          <w:t xml:space="preserve">registration and qualification checks, </w:t>
        </w:r>
      </w:hyperlink>
      <w:r w:rsidRPr="00800DCF">
        <w:rPr>
          <w:color w:val="000000" w:themeColor="text1"/>
          <w:sz w:val="20"/>
        </w:rPr>
        <w:t>e</w:t>
      </w:r>
      <w:hyperlink r:id="rId16" w:tooltip="Employment history and reference checks " w:history="1">
        <w:r w:rsidRPr="00800DCF">
          <w:rPr>
            <w:rStyle w:val="Hyperlink"/>
            <w:color w:val="000000" w:themeColor="text1"/>
            <w:sz w:val="20"/>
            <w:u w:val="none"/>
          </w:rPr>
          <w:t>mployment history and reference checks, c</w:t>
        </w:r>
      </w:hyperlink>
      <w:hyperlink r:id="rId17" w:history="1">
        <w:r w:rsidRPr="00800DCF">
          <w:rPr>
            <w:rStyle w:val="Hyperlink"/>
            <w:color w:val="000000" w:themeColor="text1"/>
            <w:sz w:val="20"/>
            <w:u w:val="none"/>
          </w:rPr>
          <w:t>riminal record checks </w:t>
        </w:r>
      </w:hyperlink>
      <w:r w:rsidRPr="00800DCF">
        <w:rPr>
          <w:color w:val="000000" w:themeColor="text1"/>
          <w:sz w:val="20"/>
        </w:rPr>
        <w:t xml:space="preserve">and </w:t>
      </w:r>
      <w:hyperlink r:id="rId18" w:history="1">
        <w:r w:rsidRPr="00800DCF">
          <w:rPr>
            <w:rStyle w:val="Hyperlink"/>
            <w:color w:val="000000" w:themeColor="text1"/>
            <w:sz w:val="20"/>
            <w:u w:val="none"/>
          </w:rPr>
          <w:t>occupational health checks</w:t>
        </w:r>
      </w:hyperlink>
    </w:p>
    <w:p w:rsidR="00170232" w:rsidRDefault="00170232" w:rsidP="00170232">
      <w:pPr>
        <w:rPr>
          <w:b/>
          <w:sz w:val="20"/>
        </w:rPr>
      </w:pPr>
    </w:p>
    <w:p w:rsidR="00170232" w:rsidRDefault="00170232" w:rsidP="00170232">
      <w:pPr>
        <w:rPr>
          <w:rFonts w:cs="Arial"/>
          <w:sz w:val="20"/>
        </w:rPr>
      </w:pPr>
      <w:r>
        <w:rPr>
          <w:rFonts w:cs="Arial"/>
          <w:b/>
          <w:sz w:val="20"/>
        </w:rPr>
        <w:t>Enhanced DBS &amp; Barred List Check</w:t>
      </w:r>
      <w:r>
        <w:rPr>
          <w:rFonts w:cs="Arial"/>
          <w:sz w:val="20"/>
        </w:rPr>
        <w:t xml:space="preserve"> means an Enhanced DBS &amp; Barred List Check (child) or Enhanced DBS &amp; Barred List Check (adult) or Enhanced DBS &amp; Barred List Check (child &amp; adult) (as appropriate)</w:t>
      </w:r>
    </w:p>
    <w:p w:rsidR="00170232" w:rsidRDefault="00170232" w:rsidP="00170232">
      <w:pPr>
        <w:rPr>
          <w:rFonts w:cs="Arial"/>
          <w:b/>
          <w:bCs/>
          <w:sz w:val="20"/>
        </w:rPr>
      </w:pPr>
    </w:p>
    <w:p w:rsidR="00170232" w:rsidRDefault="00170232" w:rsidP="00170232">
      <w:pPr>
        <w:rPr>
          <w:rFonts w:cs="Arial"/>
          <w:sz w:val="20"/>
        </w:rPr>
      </w:pPr>
      <w:r>
        <w:rPr>
          <w:rFonts w:cs="Arial"/>
          <w:b/>
          <w:sz w:val="20"/>
        </w:rPr>
        <w:t>Enhanced DBS &amp; Barred List Check (child)</w:t>
      </w:r>
      <w:r>
        <w:rPr>
          <w:rFonts w:cs="Arial"/>
          <w:sz w:val="20"/>
        </w:rPr>
        <w:t xml:space="preserve"> means a disclosure of information comprised in an Enhanced DBS Check together with information from the DBS children's barred list</w:t>
      </w:r>
    </w:p>
    <w:p w:rsidR="00170232" w:rsidRDefault="00170232" w:rsidP="00170232">
      <w:pPr>
        <w:rPr>
          <w:rFonts w:cs="Arial"/>
          <w:b/>
          <w:bCs/>
          <w:sz w:val="20"/>
        </w:rPr>
      </w:pPr>
    </w:p>
    <w:p w:rsidR="00170232" w:rsidRDefault="00170232" w:rsidP="00170232">
      <w:pPr>
        <w:rPr>
          <w:rFonts w:cs="Arial"/>
          <w:sz w:val="20"/>
        </w:rPr>
      </w:pPr>
      <w:r>
        <w:rPr>
          <w:rFonts w:cs="Arial"/>
          <w:b/>
          <w:sz w:val="20"/>
        </w:rPr>
        <w:t>Enhanced DBS &amp; Barred List Check (adult)</w:t>
      </w:r>
      <w:r>
        <w:rPr>
          <w:rFonts w:cs="Arial"/>
          <w:sz w:val="20"/>
        </w:rPr>
        <w:t xml:space="preserve"> means a disclosure of information comprised in an Enhanced DBS Check together with information from the DBS adult's barred list</w:t>
      </w:r>
    </w:p>
    <w:p w:rsidR="00170232" w:rsidRDefault="00170232" w:rsidP="00170232">
      <w:pPr>
        <w:rPr>
          <w:rFonts w:cs="Arial"/>
          <w:b/>
          <w:bCs/>
          <w:sz w:val="20"/>
        </w:rPr>
      </w:pPr>
    </w:p>
    <w:p w:rsidR="00170232" w:rsidRDefault="00170232" w:rsidP="00170232">
      <w:pPr>
        <w:rPr>
          <w:rFonts w:cs="Arial"/>
          <w:sz w:val="20"/>
        </w:rPr>
      </w:pPr>
      <w:r>
        <w:rPr>
          <w:rFonts w:cs="Arial"/>
          <w:b/>
          <w:sz w:val="20"/>
        </w:rPr>
        <w:t>Enhanced DBS &amp; Barred List Check (child &amp; adult)</w:t>
      </w:r>
      <w:r>
        <w:rPr>
          <w:rFonts w:cs="Arial"/>
          <w:sz w:val="20"/>
        </w:rPr>
        <w:t xml:space="preserve"> means a disclosure of information comprised in an Enhanced DBS Check together with information from the DBS children’s and adult’s barred list</w:t>
      </w:r>
    </w:p>
    <w:p w:rsidR="00170232" w:rsidRDefault="00170232" w:rsidP="00170232">
      <w:pPr>
        <w:rPr>
          <w:rFonts w:cs="Arial"/>
          <w:b/>
          <w:sz w:val="20"/>
        </w:rPr>
      </w:pPr>
    </w:p>
    <w:p w:rsidR="00170232" w:rsidRDefault="00170232" w:rsidP="00170232">
      <w:pPr>
        <w:rPr>
          <w:rFonts w:cs="Arial"/>
          <w:b/>
          <w:sz w:val="20"/>
        </w:rPr>
      </w:pPr>
      <w:r>
        <w:rPr>
          <w:rFonts w:cs="Arial"/>
          <w:b/>
          <w:sz w:val="20"/>
        </w:rPr>
        <w:t xml:space="preserve">Enhanced DBS Check </w:t>
      </w:r>
      <w:r>
        <w:rPr>
          <w:rFonts w:cs="Arial"/>
          <w:sz w:val="20"/>
        </w:rPr>
        <w:t>means a disclosure of information comprised in a Standard DBS Check together with any information held locally by police forces that it is reasonably considered might be relevant to the post applied for</w:t>
      </w:r>
    </w:p>
    <w:p w:rsidR="00170232" w:rsidRDefault="00170232" w:rsidP="00170232">
      <w:pPr>
        <w:rPr>
          <w:rFonts w:cs="Arial"/>
          <w:b/>
          <w:sz w:val="20"/>
        </w:rPr>
      </w:pPr>
    </w:p>
    <w:p w:rsidR="00170232" w:rsidRDefault="00170232" w:rsidP="00170232">
      <w:pPr>
        <w:rPr>
          <w:rFonts w:cs="Arial"/>
          <w:sz w:val="20"/>
        </w:rPr>
      </w:pPr>
      <w:r>
        <w:rPr>
          <w:rFonts w:cs="Arial"/>
          <w:b/>
          <w:sz w:val="20"/>
        </w:rPr>
        <w:t xml:space="preserve">Enhanced DBS Position </w:t>
      </w:r>
      <w:r>
        <w:rPr>
          <w:rFonts w:cs="Arial"/>
          <w:sz w:val="20"/>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rsidR="00170232" w:rsidRDefault="00170232" w:rsidP="00170232">
      <w:pPr>
        <w:rPr>
          <w:sz w:val="20"/>
        </w:rPr>
      </w:pPr>
    </w:p>
    <w:p w:rsidR="00170232" w:rsidRDefault="00170232" w:rsidP="00170232">
      <w:pPr>
        <w:pStyle w:val="Normalindent1"/>
        <w:ind w:left="0"/>
        <w:rPr>
          <w:rFonts w:cs="Arial"/>
          <w:sz w:val="20"/>
        </w:rPr>
      </w:pPr>
      <w:r>
        <w:rPr>
          <w:rStyle w:val="NormalBoldChar1"/>
          <w:sz w:val="20"/>
          <w:lang w:eastAsia="ja-JP"/>
        </w:rPr>
        <w:t>Equipment</w:t>
      </w:r>
      <w:r>
        <w:rPr>
          <w:rFonts w:cs="Arial"/>
          <w:sz w:val="20"/>
        </w:rPr>
        <w:t xml:space="preserve"> means the Provider’s equipment, plant, materials and such other items supplied and used by the Provider in the performance of its obligations under this Contract</w:t>
      </w:r>
    </w:p>
    <w:p w:rsidR="00170232" w:rsidRDefault="00170232" w:rsidP="00170232"/>
    <w:p w:rsidR="00170232" w:rsidRDefault="00170232" w:rsidP="00170232">
      <w:pPr>
        <w:rPr>
          <w:rFonts w:cs="Arial"/>
          <w:sz w:val="20"/>
        </w:rPr>
      </w:pPr>
      <w:r>
        <w:rPr>
          <w:rFonts w:cs="Arial"/>
          <w:b/>
          <w:sz w:val="20"/>
        </w:rPr>
        <w:t xml:space="preserve">Excusing Notice </w:t>
      </w:r>
      <w:r>
        <w:rPr>
          <w:rFonts w:cs="Arial"/>
          <w:sz w:val="20"/>
        </w:rPr>
        <w:t>means a notice setting out in reasonable detail the Receiving Party’s reasons for believing that a Contract Query is unfounded, or that the matters giving rise to the Contract Query are:</w:t>
      </w:r>
    </w:p>
    <w:p w:rsidR="00170232" w:rsidRDefault="00170232" w:rsidP="00170232">
      <w:pPr>
        <w:pStyle w:val="ListParagraph"/>
        <w:tabs>
          <w:tab w:val="left" w:pos="540"/>
        </w:tabs>
        <w:ind w:left="540" w:hanging="540"/>
        <w:rPr>
          <w:rFonts w:cs="Arial"/>
          <w:sz w:val="20"/>
        </w:rPr>
      </w:pPr>
    </w:p>
    <w:p w:rsidR="00170232" w:rsidRDefault="00170232" w:rsidP="00170232">
      <w:pPr>
        <w:pStyle w:val="ListParagraph"/>
        <w:tabs>
          <w:tab w:val="left" w:pos="540"/>
        </w:tabs>
        <w:ind w:left="540" w:hanging="540"/>
        <w:rPr>
          <w:rFonts w:cs="Arial"/>
          <w:sz w:val="20"/>
        </w:rPr>
      </w:pPr>
      <w:r>
        <w:rPr>
          <w:rFonts w:cs="Arial"/>
          <w:sz w:val="20"/>
        </w:rPr>
        <w:t>(</w:t>
      </w:r>
      <w:proofErr w:type="spellStart"/>
      <w:r>
        <w:rPr>
          <w:rFonts w:cs="Arial"/>
          <w:sz w:val="20"/>
        </w:rPr>
        <w:t>i</w:t>
      </w:r>
      <w:proofErr w:type="spellEnd"/>
      <w:r>
        <w:rPr>
          <w:rFonts w:cs="Arial"/>
          <w:sz w:val="20"/>
        </w:rPr>
        <w:t>)</w:t>
      </w:r>
      <w:r>
        <w:rPr>
          <w:rFonts w:cs="Arial"/>
          <w:sz w:val="20"/>
        </w:rPr>
        <w:tab/>
      </w:r>
      <w:proofErr w:type="gramStart"/>
      <w:r>
        <w:rPr>
          <w:rFonts w:cs="Arial"/>
          <w:sz w:val="20"/>
        </w:rPr>
        <w:t>due</w:t>
      </w:r>
      <w:proofErr w:type="gramEnd"/>
      <w:r>
        <w:rPr>
          <w:rFonts w:cs="Arial"/>
          <w:sz w:val="20"/>
        </w:rPr>
        <w:t xml:space="preserve"> wholly or partly to an act or omission by the Issuing Party; or</w:t>
      </w:r>
    </w:p>
    <w:p w:rsidR="00170232" w:rsidRDefault="00170232" w:rsidP="00170232">
      <w:pPr>
        <w:pStyle w:val="ListParagraph"/>
        <w:tabs>
          <w:tab w:val="left" w:pos="540"/>
        </w:tabs>
        <w:ind w:left="540" w:hanging="540"/>
        <w:rPr>
          <w:rFonts w:cs="Arial"/>
          <w:sz w:val="20"/>
        </w:rPr>
      </w:pPr>
    </w:p>
    <w:p w:rsidR="00170232" w:rsidRDefault="00170232" w:rsidP="00170232">
      <w:pPr>
        <w:pStyle w:val="ListParagraph"/>
        <w:tabs>
          <w:tab w:val="left" w:pos="540"/>
        </w:tabs>
        <w:ind w:left="540" w:hanging="540"/>
        <w:rPr>
          <w:rFonts w:cs="Arial"/>
          <w:sz w:val="20"/>
        </w:rPr>
      </w:pPr>
      <w:r>
        <w:rPr>
          <w:rFonts w:cs="Arial"/>
          <w:sz w:val="20"/>
        </w:rPr>
        <w:t>(ii)</w:t>
      </w:r>
      <w:r>
        <w:rPr>
          <w:rFonts w:cs="Arial"/>
          <w:sz w:val="20"/>
        </w:rPr>
        <w:tab/>
      </w:r>
      <w:proofErr w:type="gramStart"/>
      <w:r>
        <w:rPr>
          <w:rFonts w:cs="Arial"/>
          <w:sz w:val="20"/>
        </w:rPr>
        <w:t>a</w:t>
      </w:r>
      <w:proofErr w:type="gramEnd"/>
      <w:r>
        <w:rPr>
          <w:rFonts w:cs="Arial"/>
          <w:sz w:val="20"/>
        </w:rPr>
        <w:t xml:space="preserve"> direct result of the Receiving Party following the instructions of the Issuing Party; or</w:t>
      </w:r>
    </w:p>
    <w:p w:rsidR="00170232" w:rsidRDefault="00170232" w:rsidP="00170232">
      <w:pPr>
        <w:pStyle w:val="ListParagraph"/>
        <w:tabs>
          <w:tab w:val="left" w:pos="540"/>
        </w:tabs>
        <w:ind w:left="540" w:hanging="540"/>
        <w:rPr>
          <w:rFonts w:cs="Arial"/>
          <w:sz w:val="20"/>
        </w:rPr>
      </w:pPr>
    </w:p>
    <w:p w:rsidR="00170232" w:rsidRDefault="00170232" w:rsidP="00170232">
      <w:pPr>
        <w:pStyle w:val="ListParagraph"/>
        <w:tabs>
          <w:tab w:val="left" w:pos="540"/>
        </w:tabs>
        <w:ind w:left="540" w:hanging="540"/>
        <w:rPr>
          <w:rFonts w:cs="Arial"/>
          <w:sz w:val="20"/>
        </w:rPr>
      </w:pPr>
      <w:r>
        <w:rPr>
          <w:rFonts w:cs="Arial"/>
          <w:sz w:val="20"/>
        </w:rPr>
        <w:t>(iii)</w:t>
      </w:r>
      <w:r>
        <w:rPr>
          <w:rFonts w:cs="Arial"/>
          <w:sz w:val="20"/>
        </w:rPr>
        <w:tab/>
      </w:r>
      <w:proofErr w:type="gramStart"/>
      <w:r>
        <w:rPr>
          <w:rFonts w:cs="Arial"/>
          <w:sz w:val="20"/>
        </w:rPr>
        <w:t>due</w:t>
      </w:r>
      <w:proofErr w:type="gramEnd"/>
      <w:r>
        <w:rPr>
          <w:rFonts w:cs="Arial"/>
          <w:sz w:val="20"/>
        </w:rPr>
        <w:t xml:space="preserve"> to circumstances beyond the Receiving Party’s reasonable control but which do not constitute an event of Force Majeure </w:t>
      </w:r>
    </w:p>
    <w:p w:rsidR="00170232" w:rsidRDefault="00170232" w:rsidP="00170232">
      <w:pPr>
        <w:rPr>
          <w:rFonts w:cs="Arial"/>
          <w:b/>
          <w:bCs/>
          <w:sz w:val="20"/>
        </w:rPr>
      </w:pPr>
    </w:p>
    <w:p w:rsidR="00170232" w:rsidRDefault="00170232" w:rsidP="00170232">
      <w:pPr>
        <w:rPr>
          <w:rFonts w:cs="Arial"/>
          <w:bCs/>
          <w:sz w:val="20"/>
        </w:rPr>
      </w:pPr>
      <w:r>
        <w:rPr>
          <w:rFonts w:cs="Arial"/>
          <w:b/>
          <w:bCs/>
          <w:sz w:val="20"/>
        </w:rPr>
        <w:t xml:space="preserve">Expert </w:t>
      </w:r>
      <w:r>
        <w:rPr>
          <w:rFonts w:cs="Arial"/>
          <w:bCs/>
          <w:sz w:val="20"/>
        </w:rPr>
        <w:t xml:space="preserve">means </w:t>
      </w:r>
      <w:r>
        <w:rPr>
          <w:rFonts w:cs="Arial"/>
          <w:sz w:val="20"/>
        </w:rPr>
        <w:t>the person designated to determine a Dispute by virtue of paragraphs 1.6 or 1.7 of Appendix M (</w:t>
      </w:r>
      <w:r>
        <w:rPr>
          <w:rFonts w:cs="Arial"/>
          <w:i/>
          <w:sz w:val="20"/>
        </w:rPr>
        <w:t>Dispute Resolution</w:t>
      </w:r>
      <w:r>
        <w:rPr>
          <w:rFonts w:cs="Arial"/>
          <w:sz w:val="20"/>
        </w:rPr>
        <w:t>)</w:t>
      </w:r>
    </w:p>
    <w:p w:rsidR="00170232" w:rsidRDefault="00170232" w:rsidP="00170232">
      <w:pPr>
        <w:rPr>
          <w:rFonts w:cs="Arial"/>
          <w:b/>
          <w:bCs/>
          <w:sz w:val="20"/>
        </w:rPr>
      </w:pPr>
    </w:p>
    <w:p w:rsidR="00170232" w:rsidRDefault="00170232" w:rsidP="00170232">
      <w:pPr>
        <w:rPr>
          <w:rFonts w:cs="Arial"/>
          <w:sz w:val="20"/>
        </w:rPr>
      </w:pPr>
      <w:r>
        <w:rPr>
          <w:rFonts w:cs="Arial"/>
          <w:b/>
          <w:sz w:val="20"/>
        </w:rPr>
        <w:t xml:space="preserve">Expert Determination Notice </w:t>
      </w:r>
      <w:r>
        <w:rPr>
          <w:rFonts w:cs="Arial"/>
          <w:sz w:val="20"/>
        </w:rPr>
        <w:t>means a notice in writing showing an intention to refer Dispute for expert determination</w:t>
      </w:r>
    </w:p>
    <w:p w:rsidR="00170232" w:rsidRDefault="00170232" w:rsidP="00170232">
      <w:pPr>
        <w:rPr>
          <w:sz w:val="20"/>
        </w:rPr>
      </w:pPr>
    </w:p>
    <w:p w:rsidR="00170232" w:rsidRDefault="00170232" w:rsidP="00170232">
      <w:pPr>
        <w:rPr>
          <w:sz w:val="20"/>
        </w:rPr>
      </w:pPr>
      <w:r>
        <w:rPr>
          <w:b/>
          <w:sz w:val="20"/>
        </w:rPr>
        <w:t>Expiry Date</w:t>
      </w:r>
      <w:r>
        <w:rPr>
          <w:sz w:val="20"/>
        </w:rPr>
        <w:t xml:space="preserve"> means the date set out in clause </w:t>
      </w:r>
      <w:r w:rsidR="00E9700A">
        <w:rPr>
          <w:sz w:val="20"/>
        </w:rPr>
        <w:fldChar w:fldCharType="begin"/>
      </w:r>
      <w:r>
        <w:rPr>
          <w:sz w:val="20"/>
        </w:rPr>
        <w:instrText xml:space="preserve"> REF _Ref374295986 \r \h </w:instrText>
      </w:r>
      <w:r w:rsidR="00E9700A">
        <w:rPr>
          <w:sz w:val="20"/>
        </w:rPr>
      </w:r>
      <w:r w:rsidR="00E9700A">
        <w:rPr>
          <w:sz w:val="20"/>
        </w:rPr>
        <w:fldChar w:fldCharType="separate"/>
      </w:r>
      <w:r>
        <w:rPr>
          <w:sz w:val="20"/>
        </w:rPr>
        <w:t>A3.3</w:t>
      </w:r>
      <w:r w:rsidR="00E9700A">
        <w:rPr>
          <w:sz w:val="20"/>
        </w:rPr>
        <w:fldChar w:fldCharType="end"/>
      </w:r>
    </w:p>
    <w:p w:rsidR="00170232" w:rsidRDefault="00170232" w:rsidP="00170232">
      <w:pPr>
        <w:rPr>
          <w:sz w:val="20"/>
        </w:rPr>
      </w:pPr>
    </w:p>
    <w:p w:rsidR="00170232" w:rsidRDefault="00170232" w:rsidP="00170232">
      <w:pPr>
        <w:rPr>
          <w:rFonts w:cs="Arial"/>
          <w:sz w:val="20"/>
        </w:rPr>
      </w:pPr>
      <w:r>
        <w:rPr>
          <w:rFonts w:cs="Arial"/>
          <w:b/>
          <w:bCs/>
          <w:sz w:val="20"/>
        </w:rPr>
        <w:t>First Exception Report</w:t>
      </w:r>
      <w:r>
        <w:rPr>
          <w:rFonts w:cs="Arial"/>
          <w:sz w:val="20"/>
        </w:rPr>
        <w:t xml:space="preserve"> mans a report issued in accordance with clause </w:t>
      </w:r>
      <w:r w:rsidR="00E9700A">
        <w:rPr>
          <w:rFonts w:cs="Arial"/>
          <w:sz w:val="20"/>
        </w:rPr>
        <w:fldChar w:fldCharType="begin"/>
      </w:r>
      <w:r>
        <w:rPr>
          <w:rFonts w:cs="Arial"/>
          <w:sz w:val="20"/>
        </w:rPr>
        <w:instrText xml:space="preserve"> REF _Ref375160691 \r \h </w:instrText>
      </w:r>
      <w:r w:rsidR="00E9700A">
        <w:rPr>
          <w:rFonts w:cs="Arial"/>
          <w:sz w:val="20"/>
        </w:rPr>
      </w:r>
      <w:r w:rsidR="00E9700A">
        <w:rPr>
          <w:rFonts w:cs="Arial"/>
          <w:sz w:val="20"/>
        </w:rPr>
        <w:fldChar w:fldCharType="separate"/>
      </w:r>
      <w:r>
        <w:rPr>
          <w:rFonts w:cs="Arial"/>
          <w:sz w:val="20"/>
        </w:rPr>
        <w:t>B29.21</w:t>
      </w:r>
      <w:r w:rsidR="00E9700A">
        <w:rPr>
          <w:rFonts w:cs="Arial"/>
          <w:sz w:val="20"/>
        </w:rPr>
        <w:fldChar w:fldCharType="end"/>
      </w:r>
      <w:r>
        <w:rPr>
          <w:rFonts w:cs="Arial"/>
          <w:sz w:val="20"/>
        </w:rPr>
        <w:t xml:space="preserve"> (</w:t>
      </w:r>
      <w:r>
        <w:rPr>
          <w:rFonts w:cs="Arial"/>
          <w:i/>
          <w:iCs/>
          <w:sz w:val="20"/>
        </w:rPr>
        <w:t>Contract Management</w:t>
      </w:r>
      <w:r>
        <w:rPr>
          <w:rFonts w:cs="Arial"/>
          <w:sz w:val="20"/>
        </w:rPr>
        <w:t>) notifying the relevant Party’s chief executive and/or Board of Directors of that Party’s breach of a Remedial Action Plan and failure to remedy that breach</w:t>
      </w:r>
    </w:p>
    <w:p w:rsidR="00170232" w:rsidRDefault="00170232" w:rsidP="00170232"/>
    <w:p w:rsidR="00170232" w:rsidRDefault="00170232" w:rsidP="00170232">
      <w:pPr>
        <w:pStyle w:val="Normalindent1"/>
        <w:ind w:left="0"/>
        <w:rPr>
          <w:rFonts w:cs="Arial"/>
          <w:sz w:val="20"/>
        </w:rPr>
      </w:pPr>
      <w:r>
        <w:rPr>
          <w:b/>
          <w:sz w:val="20"/>
        </w:rPr>
        <w:t>FOIA</w:t>
      </w:r>
      <w:r>
        <w:rPr>
          <w:rFonts w:cs="Arial"/>
          <w:sz w:val="20"/>
        </w:rPr>
        <w:t xml:space="preserve"> 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170232" w:rsidRDefault="00170232" w:rsidP="00170232">
      <w:pPr>
        <w:rPr>
          <w:sz w:val="20"/>
        </w:rPr>
      </w:pPr>
    </w:p>
    <w:p w:rsidR="00170232" w:rsidRDefault="00170232" w:rsidP="00170232">
      <w:pPr>
        <w:pStyle w:val="Normalindent1"/>
        <w:ind w:left="0"/>
        <w:rPr>
          <w:rFonts w:cs="Arial"/>
          <w:sz w:val="20"/>
        </w:rPr>
      </w:pPr>
      <w:r>
        <w:rPr>
          <w:rStyle w:val="NormalBoldChar1"/>
          <w:sz w:val="20"/>
          <w:lang w:eastAsia="ja-JP"/>
        </w:rPr>
        <w:t>Force Majeure</w:t>
      </w:r>
      <w:r>
        <w:rPr>
          <w:rFonts w:cs="Arial"/>
          <w:sz w:val="20"/>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170232" w:rsidRDefault="00170232" w:rsidP="00170232">
      <w:pPr>
        <w:pStyle w:val="ListParagraph"/>
        <w:tabs>
          <w:tab w:val="left" w:pos="540"/>
        </w:tabs>
        <w:ind w:left="540" w:hanging="540"/>
        <w:rPr>
          <w:rFonts w:cs="Arial"/>
          <w:sz w:val="20"/>
        </w:rPr>
      </w:pPr>
      <w:r>
        <w:rPr>
          <w:rFonts w:cs="Arial"/>
          <w:sz w:val="20"/>
        </w:rPr>
        <w:lastRenderedPageBreak/>
        <w:t>(</w:t>
      </w:r>
      <w:proofErr w:type="spellStart"/>
      <w:r>
        <w:rPr>
          <w:rFonts w:cs="Arial"/>
          <w:sz w:val="20"/>
        </w:rPr>
        <w:t>i</w:t>
      </w:r>
      <w:proofErr w:type="spellEnd"/>
      <w:r>
        <w:rPr>
          <w:rFonts w:cs="Arial"/>
          <w:sz w:val="20"/>
        </w:rPr>
        <w:t>)</w:t>
      </w:r>
      <w:r>
        <w:rPr>
          <w:rFonts w:cs="Arial"/>
          <w:sz w:val="20"/>
        </w:rPr>
        <w:tab/>
      </w:r>
      <w:proofErr w:type="gramStart"/>
      <w:r>
        <w:rPr>
          <w:rFonts w:cs="Arial"/>
          <w:sz w:val="20"/>
        </w:rPr>
        <w:t>any</w:t>
      </w:r>
      <w:proofErr w:type="gramEnd"/>
      <w:r>
        <w:rPr>
          <w:rFonts w:cs="Arial"/>
          <w:sz w:val="20"/>
        </w:rPr>
        <w:t xml:space="preserve"> industrial action occurring within the Provider’s or any Sub-contractor’s organisation; or</w:t>
      </w:r>
    </w:p>
    <w:p w:rsidR="00170232" w:rsidRDefault="00170232" w:rsidP="00170232">
      <w:pPr>
        <w:pStyle w:val="ListParagraph"/>
        <w:tabs>
          <w:tab w:val="left" w:pos="540"/>
        </w:tabs>
        <w:ind w:left="540" w:hanging="540"/>
        <w:rPr>
          <w:rFonts w:cs="Arial"/>
          <w:sz w:val="20"/>
        </w:rPr>
      </w:pPr>
      <w:r>
        <w:rPr>
          <w:rFonts w:cs="Arial"/>
          <w:sz w:val="20"/>
        </w:rPr>
        <w:t>(ii)</w:t>
      </w:r>
      <w:r>
        <w:rPr>
          <w:rFonts w:cs="Arial"/>
          <w:sz w:val="20"/>
        </w:rPr>
        <w:tab/>
      </w:r>
      <w:proofErr w:type="gramStart"/>
      <w:r>
        <w:rPr>
          <w:rFonts w:cs="Arial"/>
          <w:sz w:val="20"/>
        </w:rPr>
        <w:t>the</w:t>
      </w:r>
      <w:proofErr w:type="gramEnd"/>
      <w:r>
        <w:rPr>
          <w:rFonts w:cs="Arial"/>
          <w:sz w:val="20"/>
        </w:rPr>
        <w:t xml:space="preserve"> failure by any Sub-contractor to perform its obligations under any Sub-contract</w:t>
      </w:r>
    </w:p>
    <w:p w:rsidR="00170232" w:rsidRDefault="00170232" w:rsidP="00170232">
      <w:pPr>
        <w:rPr>
          <w:sz w:val="20"/>
        </w:rPr>
      </w:pPr>
    </w:p>
    <w:p w:rsidR="00170232" w:rsidRDefault="00170232" w:rsidP="00170232">
      <w:pPr>
        <w:rPr>
          <w:sz w:val="20"/>
        </w:rPr>
      </w:pPr>
      <w:r>
        <w:rPr>
          <w:rStyle w:val="NormalBoldChar1"/>
          <w:sz w:val="20"/>
          <w:lang w:eastAsia="ja-JP"/>
        </w:rPr>
        <w:t>Fraud</w:t>
      </w:r>
      <w:r>
        <w:rPr>
          <w:rFonts w:cs="Arial"/>
          <w:sz w:val="20"/>
        </w:rPr>
        <w:t xml:space="preserve"> means any offence under the laws of the </w:t>
      </w:r>
      <w:smartTag w:uri="urn:schemas-microsoft-com:office:smarttags" w:element="place">
        <w:smartTag w:uri="urn:schemas-microsoft-com:office:smarttags" w:element="country-region">
          <w:r>
            <w:rPr>
              <w:rFonts w:cs="Arial"/>
              <w:sz w:val="20"/>
            </w:rPr>
            <w:t>United Kingdom</w:t>
          </w:r>
        </w:smartTag>
      </w:smartTag>
      <w:r>
        <w:rPr>
          <w:rFonts w:cs="Arial"/>
          <w:sz w:val="20"/>
        </w:rPr>
        <w:t xml:space="preserve"> creating offences in respect of fraudulent acts or at common law in respect of fraudulent acts or defrauding or attempting to defraud or conspiring to defraud the Authority</w:t>
      </w:r>
    </w:p>
    <w:p w:rsidR="00170232" w:rsidRDefault="00170232" w:rsidP="00170232">
      <w:pPr>
        <w:rPr>
          <w:sz w:val="20"/>
        </w:rPr>
      </w:pPr>
    </w:p>
    <w:p w:rsidR="00170232" w:rsidRDefault="00170232" w:rsidP="00170232">
      <w:pPr>
        <w:pStyle w:val="NormalBoldCentre"/>
        <w:jc w:val="left"/>
        <w:rPr>
          <w:b w:val="0"/>
          <w:sz w:val="20"/>
        </w:rPr>
      </w:pPr>
      <w:r>
        <w:rPr>
          <w:sz w:val="20"/>
        </w:rPr>
        <w:t xml:space="preserve">General Conditions </w:t>
      </w:r>
      <w:proofErr w:type="gramStart"/>
      <w:r>
        <w:rPr>
          <w:b w:val="0"/>
          <w:sz w:val="20"/>
        </w:rPr>
        <w:t>has</w:t>
      </w:r>
      <w:proofErr w:type="gramEnd"/>
      <w:r>
        <w:rPr>
          <w:b w:val="0"/>
          <w:sz w:val="20"/>
        </w:rPr>
        <w:t xml:space="preserve"> the meaning given to it in clause </w:t>
      </w:r>
      <w:r w:rsidR="00E9700A">
        <w:rPr>
          <w:b w:val="0"/>
          <w:sz w:val="20"/>
        </w:rPr>
        <w:fldChar w:fldCharType="begin"/>
      </w:r>
      <w:r>
        <w:rPr>
          <w:b w:val="0"/>
          <w:sz w:val="20"/>
        </w:rPr>
        <w:instrText xml:space="preserve"> REF _Ref375160742 \r \h </w:instrText>
      </w:r>
      <w:r w:rsidR="00E9700A">
        <w:rPr>
          <w:b w:val="0"/>
          <w:sz w:val="20"/>
        </w:rPr>
      </w:r>
      <w:r w:rsidR="00E9700A">
        <w:rPr>
          <w:b w:val="0"/>
          <w:sz w:val="20"/>
        </w:rPr>
        <w:fldChar w:fldCharType="separate"/>
      </w:r>
      <w:r>
        <w:rPr>
          <w:b w:val="0"/>
          <w:sz w:val="20"/>
        </w:rPr>
        <w:t>A1</w:t>
      </w:r>
      <w:r w:rsidR="00E9700A">
        <w:rPr>
          <w:b w:val="0"/>
          <w:sz w:val="20"/>
        </w:rPr>
        <w:fldChar w:fldCharType="end"/>
      </w:r>
    </w:p>
    <w:p w:rsidR="00170232" w:rsidRDefault="00170232" w:rsidP="00170232">
      <w:pPr>
        <w:rPr>
          <w:b/>
          <w:sz w:val="20"/>
        </w:rPr>
      </w:pPr>
    </w:p>
    <w:p w:rsidR="00170232" w:rsidRDefault="00170232" w:rsidP="00170232">
      <w:pPr>
        <w:keepNext/>
        <w:keepLines/>
        <w:rPr>
          <w:rFonts w:cs="Arial"/>
          <w:sz w:val="20"/>
        </w:rPr>
      </w:pPr>
      <w:r>
        <w:rPr>
          <w:rFonts w:cs="Arial"/>
          <w:b/>
          <w:bCs/>
          <w:sz w:val="20"/>
        </w:rPr>
        <w:t>Good Clinical Practice</w:t>
      </w:r>
      <w:r>
        <w:rPr>
          <w:rFonts w:cs="Arial"/>
          <w:sz w:val="20"/>
        </w:rPr>
        <w:t xml:space="preserve"> 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p w:rsidR="00170232" w:rsidRDefault="00170232" w:rsidP="00170232">
      <w:pPr>
        <w:keepNext/>
        <w:keepLines/>
        <w:rPr>
          <w:rFonts w:cs="Arial"/>
          <w:sz w:val="20"/>
        </w:rPr>
      </w:pPr>
    </w:p>
    <w:p w:rsidR="00170232" w:rsidRDefault="00170232" w:rsidP="00170232">
      <w:pPr>
        <w:suppressAutoHyphens w:val="0"/>
        <w:autoSpaceDE w:val="0"/>
        <w:autoSpaceDN w:val="0"/>
        <w:adjustRightInd w:val="0"/>
        <w:rPr>
          <w:rFonts w:ascii="ArialMT" w:hAnsi="ArialMT" w:cs="ArialMT"/>
          <w:sz w:val="20"/>
          <w:lang w:eastAsia="en-GB"/>
        </w:rPr>
      </w:pPr>
      <w:r>
        <w:rPr>
          <w:rFonts w:cs="Arial"/>
          <w:b/>
          <w:sz w:val="20"/>
        </w:rPr>
        <w:t>Guidance</w:t>
      </w:r>
      <w:r>
        <w:rPr>
          <w:rFonts w:cs="Arial"/>
          <w:sz w:val="20"/>
        </w:rPr>
        <w:t xml:space="preserve"> means </w:t>
      </w:r>
      <w:r>
        <w:rPr>
          <w:rFonts w:ascii="ArialMT" w:hAnsi="ArialMT" w:cs="ArialMT"/>
          <w:sz w:val="20"/>
          <w:lang w:eastAsia="en-GB"/>
        </w:rPr>
        <w:t xml:space="preserve">any applicable local authority, health or social care guidance, direction or determination which the Authority and/or the Provider have a duty to have regard to including any document published under </w:t>
      </w:r>
      <w:r>
        <w:rPr>
          <w:rFonts w:cs="Arial"/>
          <w:sz w:val="20"/>
        </w:rPr>
        <w:t>section 73B of the NHS Act 2006</w:t>
      </w:r>
    </w:p>
    <w:p w:rsidR="00170232" w:rsidRDefault="00170232" w:rsidP="00170232">
      <w:pPr>
        <w:keepNext/>
        <w:keepLines/>
        <w:rPr>
          <w:rFonts w:cs="Arial"/>
          <w:sz w:val="20"/>
        </w:rPr>
      </w:pPr>
    </w:p>
    <w:p w:rsidR="00170232" w:rsidRDefault="00170232" w:rsidP="00170232">
      <w:pPr>
        <w:rPr>
          <w:rFonts w:cs="Arial"/>
          <w:sz w:val="20"/>
        </w:rPr>
      </w:pPr>
      <w:r>
        <w:rPr>
          <w:rFonts w:cs="Arial"/>
          <w:b/>
          <w:bCs/>
          <w:sz w:val="20"/>
        </w:rPr>
        <w:t>Immediate Action Plan</w:t>
      </w:r>
      <w:r>
        <w:rPr>
          <w:rFonts w:cs="Arial"/>
          <w:sz w:val="20"/>
        </w:rPr>
        <w:t xml:space="preserve"> means a plan setting out immediate actions to be undertaken by the Provider to protect the safety of Services to Service Users, the public and/or Staff</w:t>
      </w:r>
    </w:p>
    <w:p w:rsidR="00170232" w:rsidRDefault="00170232" w:rsidP="00170232">
      <w:pPr>
        <w:rPr>
          <w:rFonts w:cs="Arial"/>
          <w:sz w:val="20"/>
        </w:rPr>
      </w:pPr>
    </w:p>
    <w:p w:rsidR="00170232" w:rsidRDefault="00170232" w:rsidP="00170232">
      <w:pPr>
        <w:suppressAutoHyphens w:val="0"/>
        <w:autoSpaceDE w:val="0"/>
        <w:autoSpaceDN w:val="0"/>
        <w:adjustRightInd w:val="0"/>
        <w:rPr>
          <w:rFonts w:ascii="ArialMT" w:hAnsi="ArialMT" w:cs="ArialMT"/>
          <w:sz w:val="20"/>
          <w:lang w:eastAsia="en-GB"/>
        </w:rPr>
      </w:pPr>
      <w:r>
        <w:rPr>
          <w:rFonts w:cs="Arial"/>
          <w:b/>
          <w:sz w:val="20"/>
        </w:rPr>
        <w:t>Indirect Losses</w:t>
      </w:r>
      <w:r>
        <w:rPr>
          <w:rFonts w:cs="Arial"/>
          <w:sz w:val="20"/>
        </w:rPr>
        <w:t xml:space="preserve"> means</w:t>
      </w:r>
      <w:r>
        <w:rPr>
          <w:rFonts w:ascii="ArialMT" w:hAnsi="ArialMT" w:cs="ArialMT"/>
          <w:sz w:val="20"/>
          <w:lang w:eastAsia="en-GB"/>
        </w:rPr>
        <w:t xml:space="preserve">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rsidR="00170232" w:rsidRDefault="00170232" w:rsidP="00170232">
      <w:pPr>
        <w:rPr>
          <w:b/>
          <w:sz w:val="20"/>
        </w:rPr>
      </w:pPr>
    </w:p>
    <w:p w:rsidR="00170232" w:rsidRDefault="00170232" w:rsidP="00170232">
      <w:pPr>
        <w:rPr>
          <w:rFonts w:cs="Arial"/>
          <w:sz w:val="20"/>
        </w:rPr>
      </w:pPr>
      <w:r>
        <w:rPr>
          <w:rFonts w:cs="Arial"/>
          <w:b/>
          <w:sz w:val="20"/>
        </w:rPr>
        <w:t>Issuing Party</w:t>
      </w:r>
      <w:r>
        <w:rPr>
          <w:rFonts w:cs="Arial"/>
          <w:sz w:val="20"/>
        </w:rPr>
        <w:t xml:space="preserve"> means the Party which has issued a Contract Query Notice</w:t>
      </w:r>
    </w:p>
    <w:p w:rsidR="00170232" w:rsidRDefault="00170232" w:rsidP="00170232">
      <w:pPr>
        <w:rPr>
          <w:b/>
          <w:sz w:val="20"/>
        </w:rPr>
      </w:pPr>
    </w:p>
    <w:p w:rsidR="00170232" w:rsidRDefault="00170232" w:rsidP="00170232">
      <w:pPr>
        <w:rPr>
          <w:rFonts w:cs="Arial"/>
          <w:sz w:val="20"/>
        </w:rPr>
      </w:pPr>
      <w:r>
        <w:rPr>
          <w:rFonts w:cs="Arial"/>
          <w:b/>
          <w:bCs/>
          <w:sz w:val="20"/>
        </w:rPr>
        <w:t>JI Report</w:t>
      </w:r>
      <w:r>
        <w:rPr>
          <w:rFonts w:cs="Arial"/>
          <w:sz w:val="20"/>
        </w:rPr>
        <w:t xml:space="preserve"> means a report detailing the findings and outcomes of a Joint Investigation</w:t>
      </w:r>
    </w:p>
    <w:p w:rsidR="00170232" w:rsidRDefault="00170232" w:rsidP="00170232">
      <w:pPr>
        <w:rPr>
          <w:b/>
          <w:sz w:val="20"/>
        </w:rPr>
      </w:pPr>
    </w:p>
    <w:p w:rsidR="00170232" w:rsidRDefault="00170232" w:rsidP="00170232">
      <w:pPr>
        <w:rPr>
          <w:rFonts w:cs="Arial"/>
          <w:sz w:val="20"/>
        </w:rPr>
      </w:pPr>
      <w:r>
        <w:rPr>
          <w:rFonts w:cs="Arial"/>
          <w:b/>
          <w:bCs/>
          <w:sz w:val="20"/>
        </w:rPr>
        <w:t>Joint Investigation</w:t>
      </w:r>
      <w:r>
        <w:rPr>
          <w:rFonts w:cs="Arial"/>
          <w:sz w:val="20"/>
        </w:rPr>
        <w:t xml:space="preserve"> means an investigation by the Issuing party and the Receiving Party into the matters referred to in a Contract Query Notice</w:t>
      </w:r>
    </w:p>
    <w:p w:rsidR="00170232" w:rsidRDefault="00170232" w:rsidP="00170232">
      <w:pPr>
        <w:rPr>
          <w:b/>
          <w:sz w:val="20"/>
        </w:rPr>
      </w:pPr>
    </w:p>
    <w:p w:rsidR="00170232" w:rsidRDefault="00170232" w:rsidP="00170232">
      <w:pPr>
        <w:pStyle w:val="NormalBoldCentre"/>
        <w:jc w:val="both"/>
        <w:rPr>
          <w:b w:val="0"/>
          <w:sz w:val="20"/>
        </w:rPr>
      </w:pPr>
      <w:r>
        <w:rPr>
          <w:sz w:val="20"/>
        </w:rPr>
        <w:t>Law</w:t>
      </w:r>
      <w:r>
        <w:rPr>
          <w:b w:val="0"/>
          <w:sz w:val="20"/>
        </w:rPr>
        <w:t xml:space="preserve"> means:</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rFonts w:ascii="ArialMT" w:hAnsi="ArialMT" w:cs="ArialMT"/>
          <w:sz w:val="20"/>
          <w:lang w:eastAsia="en-GB"/>
        </w:rPr>
        <w:t>any applicable statute or proclamation or any delegated or subordinate legislation or regulation</w:t>
      </w:r>
      <w:r>
        <w:rPr>
          <w:sz w:val="20"/>
        </w:rPr>
        <w:t>;</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sz w:val="20"/>
        </w:rPr>
        <w:t xml:space="preserve">any </w:t>
      </w:r>
      <w:r>
        <w:rPr>
          <w:rFonts w:ascii="ArialMT" w:hAnsi="ArialMT" w:cs="ArialMT"/>
          <w:sz w:val="20"/>
          <w:lang w:eastAsia="en-GB"/>
        </w:rPr>
        <w:t xml:space="preserve">enforceable EU right within the meaning of Section 2(1) of the European Communities Act 1972; </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rFonts w:ascii="ArialMT" w:hAnsi="ArialMT" w:cs="ArialMT"/>
          <w:sz w:val="20"/>
          <w:lang w:eastAsia="en-GB"/>
        </w:rPr>
        <w:t>any applicable judgment of a relevant court of law which is a</w:t>
      </w:r>
      <w:r>
        <w:rPr>
          <w:sz w:val="20"/>
        </w:rPr>
        <w:t xml:space="preserve"> </w:t>
      </w:r>
      <w:r>
        <w:rPr>
          <w:rFonts w:ascii="ArialMT" w:hAnsi="ArialMT" w:cs="ArialMT"/>
          <w:sz w:val="20"/>
          <w:lang w:eastAsia="en-GB"/>
        </w:rPr>
        <w:t xml:space="preserve">binding precedent in </w:t>
      </w:r>
      <w:smartTag w:uri="urn:schemas-microsoft-com:office:smarttags" w:element="country-region">
        <w:r>
          <w:rPr>
            <w:rFonts w:ascii="ArialMT" w:hAnsi="ArialMT" w:cs="ArialMT"/>
            <w:sz w:val="20"/>
            <w:lang w:eastAsia="en-GB"/>
          </w:rPr>
          <w:t>England</w:t>
        </w:r>
      </w:smartTag>
      <w:r>
        <w:rPr>
          <w:rFonts w:ascii="ArialMT" w:hAnsi="ArialMT" w:cs="ArialMT"/>
          <w:sz w:val="20"/>
          <w:lang w:eastAsia="en-GB"/>
        </w:rPr>
        <w:t xml:space="preserve"> and </w:t>
      </w:r>
      <w:smartTag w:uri="urn:schemas-microsoft-com:office:smarttags" w:element="place">
        <w:smartTag w:uri="urn:schemas-microsoft-com:office:smarttags" w:element="country-region">
          <w:r>
            <w:rPr>
              <w:rFonts w:ascii="ArialMT" w:hAnsi="ArialMT" w:cs="ArialMT"/>
              <w:sz w:val="20"/>
              <w:lang w:eastAsia="en-GB"/>
            </w:rPr>
            <w:t>Wales</w:t>
          </w:r>
        </w:smartTag>
      </w:smartTag>
      <w:r>
        <w:rPr>
          <w:rFonts w:ascii="ArialMT" w:hAnsi="ArialMT" w:cs="ArialMT"/>
          <w:sz w:val="20"/>
          <w:lang w:eastAsia="en-GB"/>
        </w:rPr>
        <w:t>;</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rFonts w:ascii="ArialMT" w:hAnsi="ArialMT" w:cs="ArialMT"/>
          <w:sz w:val="20"/>
          <w:lang w:eastAsia="en-GB"/>
        </w:rPr>
        <w:t>National Standards;</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rFonts w:ascii="ArialMT" w:hAnsi="ArialMT" w:cs="ArialMT"/>
          <w:sz w:val="20"/>
          <w:lang w:eastAsia="en-GB"/>
        </w:rPr>
        <w:t>Guidance; and</w:t>
      </w:r>
    </w:p>
    <w:p w:rsidR="00170232" w:rsidRDefault="00170232" w:rsidP="00170232">
      <w:pPr>
        <w:numPr>
          <w:ilvl w:val="0"/>
          <w:numId w:val="39"/>
        </w:numPr>
        <w:tabs>
          <w:tab w:val="num" w:pos="540"/>
        </w:tabs>
        <w:suppressAutoHyphens w:val="0"/>
        <w:autoSpaceDE w:val="0"/>
        <w:autoSpaceDN w:val="0"/>
        <w:adjustRightInd w:val="0"/>
        <w:ind w:left="540" w:hanging="540"/>
        <w:rPr>
          <w:sz w:val="20"/>
        </w:rPr>
      </w:pPr>
      <w:r>
        <w:rPr>
          <w:sz w:val="20"/>
        </w:rPr>
        <w:t xml:space="preserve">any applicable </w:t>
      </w:r>
      <w:r>
        <w:rPr>
          <w:rFonts w:ascii="ArialMT" w:hAnsi="ArialMT" w:cs="ArialMT"/>
          <w:sz w:val="20"/>
          <w:lang w:eastAsia="en-GB"/>
        </w:rPr>
        <w:t>industry code</w:t>
      </w:r>
    </w:p>
    <w:p w:rsidR="00170232" w:rsidRDefault="00170232" w:rsidP="00170232">
      <w:pPr>
        <w:suppressAutoHyphens w:val="0"/>
        <w:autoSpaceDE w:val="0"/>
        <w:autoSpaceDN w:val="0"/>
        <w:adjustRightInd w:val="0"/>
        <w:rPr>
          <w:sz w:val="20"/>
        </w:rPr>
      </w:pPr>
      <w:proofErr w:type="gramStart"/>
      <w:r>
        <w:rPr>
          <w:rFonts w:ascii="ArialMT" w:hAnsi="ArialMT" w:cs="ArialMT"/>
          <w:sz w:val="20"/>
          <w:lang w:eastAsia="en-GB"/>
        </w:rPr>
        <w:t>in</w:t>
      </w:r>
      <w:proofErr w:type="gramEnd"/>
      <w:r>
        <w:rPr>
          <w:rFonts w:ascii="ArialMT" w:hAnsi="ArialMT" w:cs="ArialMT"/>
          <w:sz w:val="20"/>
          <w:lang w:eastAsia="en-GB"/>
        </w:rPr>
        <w:t xml:space="preserve"> each case in force in </w:t>
      </w:r>
      <w:smartTag w:uri="urn:schemas-microsoft-com:office:smarttags" w:element="country-region">
        <w:r>
          <w:rPr>
            <w:rFonts w:ascii="ArialMT" w:hAnsi="ArialMT" w:cs="ArialMT"/>
            <w:sz w:val="20"/>
            <w:lang w:eastAsia="en-GB"/>
          </w:rPr>
          <w:t>England</w:t>
        </w:r>
      </w:smartTag>
      <w:r>
        <w:rPr>
          <w:rFonts w:ascii="ArialMT" w:hAnsi="ArialMT" w:cs="ArialMT"/>
          <w:sz w:val="20"/>
          <w:lang w:eastAsia="en-GB"/>
        </w:rPr>
        <w:t xml:space="preserve"> and </w:t>
      </w:r>
      <w:smartTag w:uri="urn:schemas-microsoft-com:office:smarttags" w:element="place">
        <w:smartTag w:uri="urn:schemas-microsoft-com:office:smarttags" w:element="country-region">
          <w:r>
            <w:rPr>
              <w:rFonts w:ascii="ArialMT" w:hAnsi="ArialMT" w:cs="ArialMT"/>
              <w:sz w:val="20"/>
              <w:lang w:eastAsia="en-GB"/>
            </w:rPr>
            <w:t>Wales</w:t>
          </w:r>
        </w:smartTag>
      </w:smartTag>
    </w:p>
    <w:p w:rsidR="00170232" w:rsidRDefault="00170232" w:rsidP="00170232">
      <w:pPr>
        <w:rPr>
          <w:lang w:eastAsia="ja-JP"/>
        </w:rPr>
      </w:pPr>
    </w:p>
    <w:p w:rsidR="00170232" w:rsidRDefault="00170232" w:rsidP="00170232">
      <w:pPr>
        <w:rPr>
          <w:lang w:eastAsia="ja-JP"/>
        </w:rPr>
      </w:pPr>
      <w:r>
        <w:rPr>
          <w:b/>
          <w:bCs/>
          <w:sz w:val="20"/>
        </w:rPr>
        <w:t>Legal Guardian</w:t>
      </w:r>
      <w:r>
        <w:rPr>
          <w:sz w:val="20"/>
        </w:rPr>
        <w:t xml:space="preserve"> means an individual who, by legal appointment or by the effect of a written law, is given custody of both the property and the person of one who is unable to manage their own affairs</w:t>
      </w:r>
    </w:p>
    <w:p w:rsidR="00170232" w:rsidRDefault="00170232" w:rsidP="00170232">
      <w:pPr>
        <w:rPr>
          <w:lang w:eastAsia="ja-JP"/>
        </w:rPr>
      </w:pPr>
    </w:p>
    <w:p w:rsidR="00170232" w:rsidRDefault="00170232" w:rsidP="00170232">
      <w:pPr>
        <w:keepNext/>
        <w:keepLines/>
        <w:rPr>
          <w:rFonts w:cs="Arial"/>
          <w:sz w:val="20"/>
        </w:rPr>
      </w:pPr>
      <w:r>
        <w:rPr>
          <w:rFonts w:cs="Arial"/>
          <w:b/>
          <w:bCs/>
          <w:sz w:val="20"/>
        </w:rPr>
        <w:t>Lessons Learned</w:t>
      </w:r>
      <w:r>
        <w:rPr>
          <w:rFonts w:cs="Arial"/>
          <w:sz w:val="20"/>
        </w:rPr>
        <w:t xml:space="preserve"> means experience derived from provision of the Services, the sharing and implementation of which would be reasonably likely to lead to an improvement in the quality of the Provider’s provision of the Services</w:t>
      </w:r>
    </w:p>
    <w:p w:rsidR="00170232" w:rsidRDefault="00170232" w:rsidP="00170232">
      <w:pPr>
        <w:rPr>
          <w:lang w:eastAsia="ja-JP"/>
        </w:rPr>
      </w:pPr>
    </w:p>
    <w:p w:rsidR="00170232" w:rsidRDefault="00170232" w:rsidP="00170232">
      <w:pPr>
        <w:rPr>
          <w:rFonts w:cs="Arial"/>
          <w:sz w:val="20"/>
        </w:rPr>
      </w:pPr>
      <w:r>
        <w:rPr>
          <w:rFonts w:cs="Arial"/>
          <w:b/>
          <w:sz w:val="20"/>
        </w:rPr>
        <w:t>LIBOR</w:t>
      </w:r>
      <w:r>
        <w:rPr>
          <w:rFonts w:cs="Arial"/>
          <w:sz w:val="20"/>
        </w:rPr>
        <w:t xml:space="preserve"> means the London Interbank Offered Rate for 6 months sterling deposits in the </w:t>
      </w:r>
      <w:smartTag w:uri="urn:schemas-microsoft-com:office:smarttags" w:element="place">
        <w:smartTag w:uri="urn:schemas-microsoft-com:office:smarttags" w:element="City">
          <w:r>
            <w:rPr>
              <w:rFonts w:cs="Arial"/>
              <w:sz w:val="20"/>
            </w:rPr>
            <w:t>London</w:t>
          </w:r>
        </w:smartTag>
      </w:smartTag>
      <w:r>
        <w:rPr>
          <w:rFonts w:cs="Arial"/>
          <w:sz w:val="20"/>
        </w:rPr>
        <w:t xml:space="preserve"> market</w:t>
      </w:r>
    </w:p>
    <w:p w:rsidR="00170232" w:rsidRDefault="00170232" w:rsidP="00170232">
      <w:pPr>
        <w:rPr>
          <w:rFonts w:cs="Arial"/>
          <w:sz w:val="20"/>
        </w:rPr>
      </w:pPr>
    </w:p>
    <w:p w:rsidR="00170232" w:rsidRDefault="00170232" w:rsidP="00170232">
      <w:pPr>
        <w:rPr>
          <w:rFonts w:cs="Arial"/>
          <w:sz w:val="20"/>
        </w:rPr>
      </w:pPr>
      <w:r>
        <w:rPr>
          <w:rFonts w:cs="Arial"/>
          <w:b/>
          <w:bCs/>
          <w:sz w:val="20"/>
        </w:rPr>
        <w:t xml:space="preserve">Local </w:t>
      </w:r>
      <w:proofErr w:type="spellStart"/>
      <w:r>
        <w:rPr>
          <w:rFonts w:cs="Arial"/>
          <w:b/>
          <w:bCs/>
          <w:sz w:val="20"/>
        </w:rPr>
        <w:t>Healthwatch</w:t>
      </w:r>
      <w:proofErr w:type="spellEnd"/>
      <w:r>
        <w:rPr>
          <w:rFonts w:cs="Arial"/>
          <w:b/>
          <w:bCs/>
          <w:sz w:val="20"/>
        </w:rPr>
        <w:t xml:space="preserve"> </w:t>
      </w:r>
      <w:r>
        <w:rPr>
          <w:rFonts w:cs="Arial"/>
          <w:sz w:val="20"/>
        </w:rPr>
        <w:t xml:space="preserve">means the local independent consumer champion for health and social care in England        </w:t>
      </w:r>
    </w:p>
    <w:p w:rsidR="00170232" w:rsidRDefault="00170232" w:rsidP="00170232">
      <w:pPr>
        <w:rPr>
          <w:rFonts w:cs="Arial"/>
          <w:sz w:val="20"/>
        </w:rPr>
      </w:pPr>
    </w:p>
    <w:p w:rsidR="00170232" w:rsidRDefault="00170232" w:rsidP="00170232">
      <w:pPr>
        <w:rPr>
          <w:rFonts w:cs="Arial"/>
          <w:sz w:val="20"/>
        </w:rPr>
      </w:pPr>
      <w:r>
        <w:rPr>
          <w:rFonts w:cs="Arial"/>
          <w:b/>
          <w:sz w:val="20"/>
        </w:rPr>
        <w:t>Losses</w:t>
      </w:r>
      <w:r>
        <w:rPr>
          <w:rFonts w:cs="Arial"/>
          <w:sz w:val="20"/>
        </w:rPr>
        <w:t xml:space="preserve"> means all damage, loss, liabilities, claims, actions, costs, expenses (including the cost of legal and/or professional services) proceedings, demands and charges whether arising under statute, contract or at common law but, excluding Indirect Losses</w:t>
      </w:r>
    </w:p>
    <w:p w:rsidR="00170232" w:rsidRDefault="00170232" w:rsidP="00170232">
      <w:pPr>
        <w:rPr>
          <w:rFonts w:cs="Arial"/>
          <w:sz w:val="20"/>
        </w:rPr>
      </w:pPr>
    </w:p>
    <w:p w:rsidR="00170232" w:rsidRDefault="00170232" w:rsidP="00170232">
      <w:pPr>
        <w:rPr>
          <w:rFonts w:cs="Arial"/>
          <w:sz w:val="20"/>
        </w:rPr>
      </w:pPr>
      <w:r>
        <w:rPr>
          <w:rFonts w:cs="Arial"/>
          <w:b/>
          <w:bCs/>
          <w:sz w:val="20"/>
        </w:rPr>
        <w:lastRenderedPageBreak/>
        <w:t xml:space="preserve">NICE </w:t>
      </w:r>
      <w:r>
        <w:rPr>
          <w:rFonts w:cs="Arial"/>
          <w:bCs/>
          <w:sz w:val="20"/>
        </w:rPr>
        <w:t>means</w:t>
      </w:r>
      <w:r>
        <w:rPr>
          <w:rFonts w:cs="Arial"/>
          <w:b/>
          <w:bCs/>
          <w:sz w:val="20"/>
        </w:rPr>
        <w:t xml:space="preserve"> </w:t>
      </w:r>
      <w:r>
        <w:rPr>
          <w:rFonts w:cs="Arial"/>
          <w:bCs/>
          <w:sz w:val="20"/>
        </w:rPr>
        <w:t>National Institute for Health and Clinical Excellence</w:t>
      </w:r>
      <w:r>
        <w:rPr>
          <w:rFonts w:cs="Arial"/>
          <w:b/>
          <w:bCs/>
          <w:sz w:val="20"/>
        </w:rPr>
        <w:t xml:space="preserve"> </w:t>
      </w:r>
      <w:r>
        <w:rPr>
          <w:rFonts w:cs="Arial"/>
          <w:bCs/>
          <w:sz w:val="20"/>
        </w:rPr>
        <w:t>being</w:t>
      </w:r>
      <w:r>
        <w:rPr>
          <w:rFonts w:cs="Arial"/>
          <w:sz w:val="20"/>
        </w:rPr>
        <w:t xml:space="preserve"> the special health authority responsible for providing national guidance on the promotion of good health and the prevention and treatment of ill health (or any successor body)</w:t>
      </w:r>
    </w:p>
    <w:p w:rsidR="00170232" w:rsidRDefault="00170232" w:rsidP="00170232">
      <w:pPr>
        <w:rPr>
          <w:rFonts w:cs="Arial"/>
          <w:sz w:val="20"/>
        </w:rPr>
      </w:pPr>
    </w:p>
    <w:p w:rsidR="00170232" w:rsidRDefault="00170232" w:rsidP="00170232">
      <w:pPr>
        <w:suppressAutoHyphens w:val="0"/>
        <w:autoSpaceDE w:val="0"/>
        <w:autoSpaceDN w:val="0"/>
        <w:adjustRightInd w:val="0"/>
        <w:jc w:val="left"/>
        <w:rPr>
          <w:rFonts w:ascii="ArialMT" w:hAnsi="ArialMT" w:cs="ArialMT"/>
          <w:sz w:val="20"/>
          <w:lang w:eastAsia="en-GB"/>
        </w:rPr>
      </w:pPr>
      <w:r>
        <w:rPr>
          <w:rFonts w:cs="Arial"/>
          <w:b/>
          <w:sz w:val="20"/>
        </w:rPr>
        <w:t>National Standards</w:t>
      </w:r>
      <w:r>
        <w:rPr>
          <w:rFonts w:cs="Arial"/>
          <w:sz w:val="20"/>
        </w:rPr>
        <w:t xml:space="preserve"> means </w:t>
      </w:r>
      <w:r>
        <w:rPr>
          <w:rFonts w:ascii="ArialMT" w:hAnsi="ArialMT" w:cs="ArialMT"/>
          <w:sz w:val="20"/>
          <w:lang w:eastAsia="en-GB"/>
        </w:rPr>
        <w:t>those standards applicable to the Provider under the Law and/or</w:t>
      </w:r>
    </w:p>
    <w:p w:rsidR="00170232" w:rsidRDefault="00170232" w:rsidP="00170232">
      <w:pPr>
        <w:rPr>
          <w:rFonts w:ascii="ArialMT" w:hAnsi="ArialMT" w:cs="ArialMT"/>
          <w:sz w:val="20"/>
          <w:lang w:eastAsia="en-GB"/>
        </w:rPr>
      </w:pPr>
      <w:r>
        <w:rPr>
          <w:rFonts w:ascii="ArialMT" w:hAnsi="ArialMT" w:cs="ArialMT"/>
          <w:sz w:val="20"/>
          <w:lang w:eastAsia="en-GB"/>
        </w:rPr>
        <w:t>Guidance as amended from time to time</w:t>
      </w:r>
    </w:p>
    <w:p w:rsidR="00170232" w:rsidRDefault="00170232" w:rsidP="00170232">
      <w:pPr>
        <w:rPr>
          <w:rFonts w:ascii="ArialMT" w:hAnsi="ArialMT" w:cs="ArialMT"/>
          <w:sz w:val="20"/>
          <w:lang w:eastAsia="en-GB"/>
        </w:rPr>
      </w:pPr>
    </w:p>
    <w:p w:rsidR="00170232" w:rsidRDefault="00170232" w:rsidP="00170232">
      <w:pPr>
        <w:rPr>
          <w:rFonts w:cs="Arial"/>
          <w:sz w:val="20"/>
        </w:rPr>
      </w:pPr>
      <w:r>
        <w:rPr>
          <w:rFonts w:ascii="ArialMT" w:hAnsi="ArialMT" w:cs="ArialMT"/>
          <w:b/>
          <w:sz w:val="20"/>
          <w:lang w:eastAsia="en-GB"/>
        </w:rPr>
        <w:t>Negotiation Period</w:t>
      </w:r>
      <w:r>
        <w:rPr>
          <w:rFonts w:ascii="ArialMT" w:hAnsi="ArialMT" w:cs="ArialMT"/>
          <w:sz w:val="20"/>
          <w:lang w:eastAsia="en-GB"/>
        </w:rPr>
        <w:t xml:space="preserve"> means</w:t>
      </w:r>
      <w:r>
        <w:rPr>
          <w:rFonts w:cs="Arial"/>
          <w:sz w:val="20"/>
        </w:rPr>
        <w:t xml:space="preserve"> the period of 15 Business Days following receipt of the first offer</w:t>
      </w:r>
    </w:p>
    <w:p w:rsidR="00170232" w:rsidRDefault="00170232" w:rsidP="00170232">
      <w:pPr>
        <w:rPr>
          <w:rFonts w:cs="Arial"/>
          <w:sz w:val="20"/>
        </w:rPr>
      </w:pPr>
    </w:p>
    <w:p w:rsidR="00170232" w:rsidRDefault="00170232" w:rsidP="00170232">
      <w:pPr>
        <w:rPr>
          <w:color w:val="000000"/>
          <w:sz w:val="20"/>
        </w:rPr>
      </w:pPr>
      <w:r>
        <w:rPr>
          <w:rFonts w:cs="Arial"/>
          <w:b/>
          <w:sz w:val="20"/>
        </w:rPr>
        <w:t>NHS Act 2006</w:t>
      </w:r>
      <w:r>
        <w:rPr>
          <w:rFonts w:cs="Arial"/>
          <w:sz w:val="20"/>
        </w:rPr>
        <w:t xml:space="preserve"> means the National Health Service Act 2006</w:t>
      </w:r>
    </w:p>
    <w:p w:rsidR="00170232" w:rsidRDefault="00170232" w:rsidP="00170232">
      <w:pPr>
        <w:rPr>
          <w:rFonts w:cs="Arial"/>
          <w:b/>
          <w:sz w:val="20"/>
        </w:rPr>
      </w:pPr>
    </w:p>
    <w:p w:rsidR="00170232" w:rsidRDefault="00170232" w:rsidP="00170232">
      <w:pPr>
        <w:rPr>
          <w:rFonts w:cs="Arial"/>
          <w:sz w:val="20"/>
        </w:rPr>
      </w:pPr>
      <w:r>
        <w:rPr>
          <w:rFonts w:cs="Arial"/>
          <w:b/>
          <w:sz w:val="20"/>
        </w:rPr>
        <w:t xml:space="preserve">Parties </w:t>
      </w:r>
      <w:r>
        <w:rPr>
          <w:rFonts w:cs="Arial"/>
          <w:sz w:val="20"/>
        </w:rPr>
        <w:t>means the Authority and the Provider and “Party” means either one of them</w:t>
      </w:r>
    </w:p>
    <w:p w:rsidR="00170232" w:rsidRDefault="00170232" w:rsidP="00170232">
      <w:pPr>
        <w:rPr>
          <w:color w:val="000000"/>
          <w:sz w:val="20"/>
        </w:rPr>
      </w:pPr>
    </w:p>
    <w:p w:rsidR="00170232" w:rsidRDefault="00170232" w:rsidP="00170232">
      <w:pPr>
        <w:rPr>
          <w:sz w:val="20"/>
        </w:rPr>
      </w:pPr>
      <w:r>
        <w:rPr>
          <w:rFonts w:cs="Arial"/>
          <w:b/>
          <w:bCs/>
          <w:sz w:val="20"/>
        </w:rPr>
        <w:t xml:space="preserve">Patient Safety Incident </w:t>
      </w:r>
      <w:r>
        <w:rPr>
          <w:rFonts w:cs="Arial"/>
          <w:sz w:val="20"/>
        </w:rPr>
        <w:t>means any unintended or unexpected incident that occurs in respect of a Service User that could have led or did lead to, harm to that Service User</w:t>
      </w:r>
    </w:p>
    <w:p w:rsidR="00170232" w:rsidRDefault="00170232" w:rsidP="00170232">
      <w:pPr>
        <w:rPr>
          <w:b/>
          <w:sz w:val="20"/>
        </w:rPr>
      </w:pPr>
    </w:p>
    <w:p w:rsidR="00170232" w:rsidRDefault="00170232" w:rsidP="00170232">
      <w:pPr>
        <w:keepNext/>
        <w:keepLines/>
        <w:rPr>
          <w:rFonts w:cs="Arial"/>
          <w:sz w:val="20"/>
        </w:rPr>
      </w:pPr>
      <w:r>
        <w:rPr>
          <w:rFonts w:cs="Arial"/>
          <w:b/>
          <w:bCs/>
          <w:sz w:val="20"/>
        </w:rPr>
        <w:t>Personal Data</w:t>
      </w:r>
      <w:r>
        <w:rPr>
          <w:rFonts w:cs="Arial"/>
          <w:sz w:val="20"/>
        </w:rPr>
        <w:t xml:space="preserve"> has the meaning set out in the DPA</w:t>
      </w:r>
    </w:p>
    <w:p w:rsidR="00170232" w:rsidRDefault="00170232" w:rsidP="00170232">
      <w:pPr>
        <w:rPr>
          <w:b/>
          <w:sz w:val="20"/>
        </w:rPr>
      </w:pPr>
    </w:p>
    <w:p w:rsidR="00170232" w:rsidRDefault="00170232" w:rsidP="00170232">
      <w:pPr>
        <w:keepNext/>
        <w:keepLines/>
        <w:rPr>
          <w:rFonts w:cs="Arial"/>
          <w:sz w:val="20"/>
        </w:rPr>
      </w:pPr>
      <w:r>
        <w:rPr>
          <w:rFonts w:cs="Arial"/>
          <w:b/>
          <w:bCs/>
          <w:sz w:val="20"/>
        </w:rPr>
        <w:t>Prohibited Acts</w:t>
      </w:r>
      <w:r>
        <w:rPr>
          <w:rFonts w:cs="Arial"/>
          <w:sz w:val="20"/>
        </w:rPr>
        <w:t xml:space="preserve"> has the meaning given to it in clause </w:t>
      </w:r>
      <w:r w:rsidR="00E9700A">
        <w:rPr>
          <w:rFonts w:cs="Arial"/>
          <w:sz w:val="20"/>
        </w:rPr>
        <w:fldChar w:fldCharType="begin"/>
      </w:r>
      <w:r>
        <w:rPr>
          <w:rFonts w:cs="Arial"/>
          <w:sz w:val="20"/>
        </w:rPr>
        <w:instrText xml:space="preserve"> REF _Ref375160908 \r \h </w:instrText>
      </w:r>
      <w:r w:rsidR="00E9700A">
        <w:rPr>
          <w:rFonts w:cs="Arial"/>
          <w:sz w:val="20"/>
        </w:rPr>
      </w:r>
      <w:r w:rsidR="00E9700A">
        <w:rPr>
          <w:rFonts w:cs="Arial"/>
          <w:sz w:val="20"/>
        </w:rPr>
        <w:fldChar w:fldCharType="separate"/>
      </w:r>
      <w:r>
        <w:rPr>
          <w:rFonts w:cs="Arial"/>
          <w:sz w:val="20"/>
        </w:rPr>
        <w:t>B39.1</w:t>
      </w:r>
      <w:r w:rsidR="00E9700A">
        <w:rPr>
          <w:rFonts w:cs="Arial"/>
          <w:sz w:val="20"/>
        </w:rPr>
        <w:fldChar w:fldCharType="end"/>
      </w:r>
      <w:r>
        <w:rPr>
          <w:rFonts w:cs="Arial"/>
          <w:sz w:val="20"/>
        </w:rPr>
        <w:t xml:space="preserve"> (</w:t>
      </w:r>
      <w:r>
        <w:rPr>
          <w:rFonts w:cs="Arial"/>
          <w:i/>
          <w:sz w:val="20"/>
        </w:rPr>
        <w:t>Prohibited Acts</w:t>
      </w:r>
      <w:r>
        <w:rPr>
          <w:rFonts w:cs="Arial"/>
          <w:sz w:val="20"/>
        </w:rPr>
        <w:t>)</w:t>
      </w:r>
    </w:p>
    <w:p w:rsidR="00170232" w:rsidRDefault="00170232" w:rsidP="00170232">
      <w:pPr>
        <w:rPr>
          <w:b/>
          <w:sz w:val="20"/>
        </w:rPr>
      </w:pPr>
    </w:p>
    <w:p w:rsidR="00170232" w:rsidRDefault="00170232" w:rsidP="00170232">
      <w:pPr>
        <w:rPr>
          <w:sz w:val="20"/>
        </w:rPr>
      </w:pPr>
      <w:r>
        <w:rPr>
          <w:b/>
          <w:sz w:val="20"/>
        </w:rPr>
        <w:t xml:space="preserve">Provider Representative </w:t>
      </w:r>
      <w:r>
        <w:rPr>
          <w:sz w:val="20"/>
        </w:rPr>
        <w:t xml:space="preserve">means the person identified in clause </w:t>
      </w:r>
      <w:r w:rsidR="00E9700A">
        <w:rPr>
          <w:sz w:val="20"/>
        </w:rPr>
        <w:fldChar w:fldCharType="begin"/>
      </w:r>
      <w:r>
        <w:rPr>
          <w:sz w:val="20"/>
        </w:rPr>
        <w:instrText xml:space="preserve"> REF _Ref329696913 \r \h </w:instrText>
      </w:r>
      <w:r w:rsidR="00E9700A">
        <w:rPr>
          <w:sz w:val="20"/>
        </w:rPr>
      </w:r>
      <w:r w:rsidR="00E9700A">
        <w:rPr>
          <w:sz w:val="20"/>
        </w:rPr>
        <w:fldChar w:fldCharType="separate"/>
      </w:r>
      <w:r>
        <w:rPr>
          <w:sz w:val="20"/>
        </w:rPr>
        <w:t>A4.2</w:t>
      </w:r>
      <w:r w:rsidR="00E9700A">
        <w:rPr>
          <w:sz w:val="20"/>
        </w:rPr>
        <w:fldChar w:fldCharType="end"/>
      </w:r>
      <w:r>
        <w:rPr>
          <w:sz w:val="20"/>
        </w:rPr>
        <w:t xml:space="preserve"> or their replacement</w:t>
      </w:r>
    </w:p>
    <w:p w:rsidR="00170232" w:rsidRDefault="00170232" w:rsidP="00170232">
      <w:pPr>
        <w:rPr>
          <w:sz w:val="20"/>
        </w:rPr>
      </w:pPr>
    </w:p>
    <w:p w:rsidR="00170232" w:rsidRDefault="00170232" w:rsidP="00170232">
      <w:pPr>
        <w:rPr>
          <w:sz w:val="20"/>
        </w:rPr>
      </w:pPr>
      <w:r>
        <w:rPr>
          <w:rFonts w:cs="Arial"/>
          <w:b/>
          <w:bCs/>
          <w:sz w:val="20"/>
        </w:rPr>
        <w:t>Provider’s Premises</w:t>
      </w:r>
      <w:r>
        <w:rPr>
          <w:rFonts w:cs="Arial"/>
          <w:sz w:val="20"/>
        </w:rPr>
        <w:t xml:space="preserve"> means premises controlled or used by the Provider for any purposes connected with the provision of the Services which may be set out or identified in a Service Specification</w:t>
      </w:r>
    </w:p>
    <w:p w:rsidR="00170232" w:rsidRDefault="00170232" w:rsidP="00170232">
      <w:pPr>
        <w:rPr>
          <w:sz w:val="20"/>
        </w:rPr>
      </w:pPr>
    </w:p>
    <w:p w:rsidR="00170232" w:rsidRDefault="00170232" w:rsidP="00170232">
      <w:pPr>
        <w:keepNext/>
        <w:keepLines/>
        <w:rPr>
          <w:rFonts w:cs="Arial"/>
          <w:sz w:val="20"/>
        </w:rPr>
      </w:pPr>
      <w:r>
        <w:rPr>
          <w:rFonts w:cs="Arial"/>
          <w:b/>
          <w:bCs/>
          <w:sz w:val="20"/>
        </w:rPr>
        <w:t>Public Authority</w:t>
      </w:r>
      <w:r>
        <w:rPr>
          <w:rFonts w:cs="Arial"/>
          <w:sz w:val="20"/>
        </w:rPr>
        <w:t xml:space="preserve"> means as defined in section 3 of the FOIA </w:t>
      </w:r>
    </w:p>
    <w:p w:rsidR="00170232" w:rsidRDefault="00170232" w:rsidP="00170232">
      <w:pPr>
        <w:rPr>
          <w:sz w:val="20"/>
        </w:rPr>
      </w:pPr>
    </w:p>
    <w:p w:rsidR="00170232" w:rsidRDefault="00170232" w:rsidP="00170232">
      <w:pPr>
        <w:rPr>
          <w:color w:val="000000"/>
          <w:sz w:val="20"/>
        </w:rPr>
      </w:pPr>
      <w:r>
        <w:rPr>
          <w:b/>
          <w:color w:val="000000"/>
          <w:sz w:val="20"/>
        </w:rPr>
        <w:t>Quality Outcomes Indicators</w:t>
      </w:r>
      <w:r>
        <w:rPr>
          <w:color w:val="000000"/>
          <w:sz w:val="20"/>
        </w:rPr>
        <w:t xml:space="preserve"> means the agreed key performance indicators and outcomes to be achieved as set out in Appendix C (</w:t>
      </w:r>
      <w:r>
        <w:rPr>
          <w:i/>
          <w:color w:val="000000"/>
          <w:sz w:val="20"/>
        </w:rPr>
        <w:t>Quality Outcomes Indicators</w:t>
      </w:r>
      <w:r>
        <w:rPr>
          <w:color w:val="000000"/>
          <w:sz w:val="20"/>
        </w:rPr>
        <w:t>)</w:t>
      </w:r>
    </w:p>
    <w:p w:rsidR="00170232" w:rsidRDefault="00170232" w:rsidP="00170232">
      <w:pPr>
        <w:keepNext/>
        <w:keepLines/>
        <w:rPr>
          <w:rFonts w:cs="Arial"/>
          <w:sz w:val="20"/>
        </w:rPr>
      </w:pPr>
    </w:p>
    <w:p w:rsidR="00170232" w:rsidRDefault="00170232" w:rsidP="00170232">
      <w:pPr>
        <w:rPr>
          <w:color w:val="000000"/>
          <w:sz w:val="20"/>
        </w:rPr>
      </w:pPr>
      <w:r>
        <w:rPr>
          <w:rFonts w:cs="Arial"/>
          <w:b/>
          <w:sz w:val="20"/>
        </w:rPr>
        <w:t>Receiving Party</w:t>
      </w:r>
      <w:r>
        <w:rPr>
          <w:rFonts w:cs="Arial"/>
          <w:sz w:val="20"/>
        </w:rPr>
        <w:t xml:space="preserve"> means the Party which has received a Contract Query Notice or Confidential Information as applicable</w:t>
      </w:r>
    </w:p>
    <w:p w:rsidR="00170232" w:rsidRDefault="00170232" w:rsidP="00170232">
      <w:pPr>
        <w:rPr>
          <w:b/>
          <w:sz w:val="20"/>
        </w:rPr>
      </w:pPr>
    </w:p>
    <w:p w:rsidR="00170232" w:rsidRDefault="00170232" w:rsidP="00170232">
      <w:pPr>
        <w:rPr>
          <w:rFonts w:cs="Arial"/>
          <w:sz w:val="20"/>
        </w:rPr>
      </w:pPr>
      <w:r>
        <w:rPr>
          <w:rFonts w:cs="Arial"/>
          <w:b/>
          <w:bCs/>
          <w:sz w:val="20"/>
        </w:rPr>
        <w:t xml:space="preserve">Regulatory Body </w:t>
      </w:r>
      <w:r>
        <w:rPr>
          <w:rFonts w:cs="Arial"/>
          <w:sz w:val="20"/>
        </w:rPr>
        <w:t xml:space="preserve">means </w:t>
      </w:r>
      <w:proofErr w:type="spellStart"/>
      <w:r>
        <w:rPr>
          <w:rFonts w:cs="Arial"/>
          <w:sz w:val="20"/>
        </w:rPr>
        <w:t>any body</w:t>
      </w:r>
      <w:proofErr w:type="spellEnd"/>
      <w:r>
        <w:rPr>
          <w:rFonts w:cs="Arial"/>
          <w:sz w:val="20"/>
        </w:rPr>
        <w:t xml:space="preserve"> other than CQC carrying out regulatory functions in relation to the Provider and/or the Services</w:t>
      </w:r>
    </w:p>
    <w:p w:rsidR="00170232" w:rsidRDefault="00170232" w:rsidP="00170232">
      <w:pPr>
        <w:keepNext/>
        <w:keepLines/>
        <w:rPr>
          <w:rFonts w:cs="Arial"/>
          <w:b/>
          <w:bCs/>
          <w:sz w:val="20"/>
        </w:rPr>
      </w:pPr>
    </w:p>
    <w:p w:rsidR="00170232" w:rsidRDefault="00170232" w:rsidP="00170232">
      <w:pPr>
        <w:keepNext/>
        <w:keepLines/>
        <w:rPr>
          <w:rFonts w:cs="Arial"/>
          <w:sz w:val="20"/>
        </w:rPr>
      </w:pPr>
      <w:r>
        <w:rPr>
          <w:rFonts w:cs="Arial"/>
          <w:b/>
          <w:bCs/>
          <w:sz w:val="20"/>
        </w:rPr>
        <w:t>Remedial Action Plan</w:t>
      </w:r>
      <w:r>
        <w:rPr>
          <w:rFonts w:cs="Arial"/>
          <w:sz w:val="20"/>
        </w:rPr>
        <w:t xml:space="preserve"> means a plan to rectify a breach of or performance failure under this Contract specifying targets and timescales within which those targets must be achieved</w:t>
      </w:r>
    </w:p>
    <w:p w:rsidR="00170232" w:rsidRDefault="00170232" w:rsidP="00170232">
      <w:pPr>
        <w:keepNext/>
        <w:keepLines/>
        <w:rPr>
          <w:rFonts w:cs="Arial"/>
          <w:sz w:val="20"/>
        </w:rPr>
      </w:pPr>
    </w:p>
    <w:p w:rsidR="00170232" w:rsidRDefault="00170232" w:rsidP="00170232">
      <w:pPr>
        <w:keepNext/>
        <w:keepLines/>
        <w:rPr>
          <w:rFonts w:cs="Arial"/>
          <w:sz w:val="20"/>
        </w:rPr>
      </w:pPr>
      <w:r>
        <w:rPr>
          <w:rFonts w:cs="Arial"/>
          <w:b/>
          <w:sz w:val="20"/>
        </w:rPr>
        <w:t>Required Insurances</w:t>
      </w:r>
      <w:r>
        <w:rPr>
          <w:rFonts w:cs="Arial"/>
          <w:sz w:val="20"/>
        </w:rPr>
        <w:t xml:space="preserve"> means the types of policy or policies providing levels of cover as specified in the Service Specification(s)  </w:t>
      </w:r>
    </w:p>
    <w:p w:rsidR="00170232" w:rsidRDefault="00170232" w:rsidP="00170232">
      <w:pPr>
        <w:rPr>
          <w:b/>
          <w:sz w:val="20"/>
        </w:rPr>
      </w:pPr>
    </w:p>
    <w:p w:rsidR="00170232" w:rsidRDefault="00170232" w:rsidP="00170232">
      <w:pPr>
        <w:rPr>
          <w:rFonts w:cs="Arial"/>
          <w:sz w:val="20"/>
        </w:rPr>
      </w:pPr>
      <w:r>
        <w:rPr>
          <w:rFonts w:cs="Arial"/>
          <w:b/>
          <w:bCs/>
          <w:sz w:val="20"/>
        </w:rPr>
        <w:t>Review Meeting</w:t>
      </w:r>
      <w:r>
        <w:rPr>
          <w:rFonts w:cs="Arial"/>
          <w:sz w:val="20"/>
        </w:rPr>
        <w:t xml:space="preserve"> means a meeting to be held in accordance with clause </w:t>
      </w:r>
      <w:r w:rsidR="00E9700A">
        <w:rPr>
          <w:rFonts w:cs="Arial"/>
          <w:sz w:val="20"/>
        </w:rPr>
        <w:fldChar w:fldCharType="begin"/>
      </w:r>
      <w:r>
        <w:rPr>
          <w:rFonts w:cs="Arial"/>
          <w:sz w:val="20"/>
        </w:rPr>
        <w:instrText xml:space="preserve"> REF _Ref374303676 \r \h </w:instrText>
      </w:r>
      <w:r w:rsidR="00E9700A">
        <w:rPr>
          <w:rFonts w:cs="Arial"/>
          <w:sz w:val="20"/>
        </w:rPr>
      </w:r>
      <w:r w:rsidR="00E9700A">
        <w:rPr>
          <w:rFonts w:cs="Arial"/>
          <w:sz w:val="20"/>
        </w:rPr>
        <w:fldChar w:fldCharType="separate"/>
      </w:r>
      <w:r>
        <w:rPr>
          <w:rFonts w:cs="Arial"/>
          <w:sz w:val="20"/>
        </w:rPr>
        <w:t>B19</w:t>
      </w:r>
      <w:r w:rsidR="00E9700A">
        <w:rPr>
          <w:rFonts w:cs="Arial"/>
          <w:sz w:val="20"/>
        </w:rPr>
        <w:fldChar w:fldCharType="end"/>
      </w:r>
      <w:r>
        <w:rPr>
          <w:rFonts w:cs="Arial"/>
          <w:sz w:val="20"/>
        </w:rPr>
        <w:t xml:space="preserve"> (</w:t>
      </w:r>
      <w:r>
        <w:rPr>
          <w:rFonts w:cs="Arial"/>
          <w:i/>
          <w:iCs/>
          <w:sz w:val="20"/>
        </w:rPr>
        <w:t>Review Meetings</w:t>
      </w:r>
      <w:r>
        <w:rPr>
          <w:rFonts w:cs="Arial"/>
          <w:sz w:val="20"/>
        </w:rPr>
        <w:t xml:space="preserve">) or as otherwise requested in accordance with clause </w:t>
      </w:r>
      <w:r w:rsidR="00E9700A">
        <w:rPr>
          <w:rFonts w:cs="Arial"/>
          <w:sz w:val="20"/>
        </w:rPr>
        <w:fldChar w:fldCharType="begin"/>
      </w:r>
      <w:r>
        <w:rPr>
          <w:rFonts w:cs="Arial"/>
          <w:sz w:val="20"/>
        </w:rPr>
        <w:instrText xml:space="preserve"> REF _Ref374303712 \r \h </w:instrText>
      </w:r>
      <w:r w:rsidR="00E9700A">
        <w:rPr>
          <w:rFonts w:cs="Arial"/>
          <w:sz w:val="20"/>
        </w:rPr>
      </w:r>
      <w:r w:rsidR="00E9700A">
        <w:rPr>
          <w:rFonts w:cs="Arial"/>
          <w:sz w:val="20"/>
        </w:rPr>
        <w:fldChar w:fldCharType="separate"/>
      </w:r>
      <w:r>
        <w:rPr>
          <w:rFonts w:cs="Arial"/>
          <w:sz w:val="20"/>
        </w:rPr>
        <w:t>B19.2</w:t>
      </w:r>
      <w:r w:rsidR="00E9700A">
        <w:rPr>
          <w:rFonts w:cs="Arial"/>
          <w:sz w:val="20"/>
        </w:rPr>
        <w:fldChar w:fldCharType="end"/>
      </w:r>
      <w:r>
        <w:rPr>
          <w:rFonts w:cs="Arial"/>
          <w:sz w:val="20"/>
        </w:rPr>
        <w:t xml:space="preserve"> (</w:t>
      </w:r>
      <w:r>
        <w:rPr>
          <w:rFonts w:cs="Arial"/>
          <w:i/>
          <w:iCs/>
          <w:sz w:val="20"/>
        </w:rPr>
        <w:t>Review Meetings</w:t>
      </w:r>
      <w:r>
        <w:rPr>
          <w:rFonts w:cs="Arial"/>
          <w:sz w:val="20"/>
        </w:rPr>
        <w:t>)</w:t>
      </w:r>
    </w:p>
    <w:p w:rsidR="00170232" w:rsidRDefault="00170232" w:rsidP="00170232">
      <w:pPr>
        <w:keepNext/>
        <w:keepLines/>
        <w:rPr>
          <w:rFonts w:cs="Arial"/>
          <w:sz w:val="20"/>
        </w:rPr>
      </w:pPr>
    </w:p>
    <w:p w:rsidR="00170232" w:rsidRDefault="00170232" w:rsidP="00170232">
      <w:pPr>
        <w:autoSpaceDE w:val="0"/>
        <w:autoSpaceDN w:val="0"/>
        <w:adjustRightInd w:val="0"/>
        <w:rPr>
          <w:rFonts w:cs="Arial"/>
          <w:color w:val="000000"/>
          <w:sz w:val="20"/>
        </w:rPr>
      </w:pPr>
      <w:r>
        <w:rPr>
          <w:b/>
          <w:bCs/>
          <w:sz w:val="20"/>
        </w:rPr>
        <w:t>Safeguarding Policies</w:t>
      </w:r>
      <w:r>
        <w:rPr>
          <w:rFonts w:cs="Arial"/>
          <w:color w:val="000000"/>
          <w:sz w:val="20"/>
        </w:rPr>
        <w:t xml:space="preserve"> means the Provider’s written policies for safeguarding children and adults, as amended from time to time, and as may be appended at Appendix F (</w:t>
      </w:r>
      <w:r>
        <w:rPr>
          <w:rFonts w:cs="Arial"/>
          <w:i/>
          <w:color w:val="000000"/>
          <w:sz w:val="20"/>
        </w:rPr>
        <w:t>Safeguarding Children and Vulnerable Adults</w:t>
      </w:r>
      <w:r>
        <w:rPr>
          <w:rFonts w:cs="Arial"/>
          <w:color w:val="000000"/>
          <w:sz w:val="20"/>
        </w:rPr>
        <w:t>)</w:t>
      </w:r>
    </w:p>
    <w:p w:rsidR="00170232" w:rsidRDefault="00170232" w:rsidP="00170232">
      <w:pPr>
        <w:autoSpaceDE w:val="0"/>
        <w:autoSpaceDN w:val="0"/>
        <w:adjustRightInd w:val="0"/>
        <w:rPr>
          <w:rFonts w:cs="Arial"/>
          <w:color w:val="000000"/>
          <w:sz w:val="20"/>
        </w:rPr>
      </w:pPr>
    </w:p>
    <w:p w:rsidR="00170232" w:rsidRDefault="00170232" w:rsidP="00170232">
      <w:pPr>
        <w:rPr>
          <w:rFonts w:cs="Arial"/>
          <w:sz w:val="20"/>
        </w:rPr>
      </w:pPr>
      <w:r>
        <w:rPr>
          <w:rFonts w:cs="Arial"/>
          <w:b/>
          <w:bCs/>
          <w:sz w:val="20"/>
        </w:rPr>
        <w:t>Second Exception Report</w:t>
      </w:r>
      <w:r>
        <w:rPr>
          <w:rFonts w:cs="Arial"/>
          <w:sz w:val="20"/>
        </w:rPr>
        <w:t xml:space="preserve"> means a report issued in accordance with clause </w:t>
      </w:r>
      <w:r w:rsidR="00E9700A">
        <w:rPr>
          <w:rFonts w:cs="Arial"/>
          <w:sz w:val="20"/>
        </w:rPr>
        <w:fldChar w:fldCharType="begin"/>
      </w:r>
      <w:r>
        <w:rPr>
          <w:rFonts w:cs="Arial"/>
          <w:sz w:val="20"/>
        </w:rPr>
        <w:instrText xml:space="preserve"> REF _Ref375158743 \r \h </w:instrText>
      </w:r>
      <w:r w:rsidR="00E9700A">
        <w:rPr>
          <w:rFonts w:cs="Arial"/>
          <w:sz w:val="20"/>
        </w:rPr>
      </w:r>
      <w:r w:rsidR="00E9700A">
        <w:rPr>
          <w:rFonts w:cs="Arial"/>
          <w:sz w:val="20"/>
        </w:rPr>
        <w:fldChar w:fldCharType="separate"/>
      </w:r>
      <w:r>
        <w:rPr>
          <w:rFonts w:cs="Arial"/>
          <w:sz w:val="20"/>
        </w:rPr>
        <w:t>B29.22</w:t>
      </w:r>
      <w:r w:rsidR="00E9700A">
        <w:rPr>
          <w:rFonts w:cs="Arial"/>
          <w:sz w:val="20"/>
        </w:rPr>
        <w:fldChar w:fldCharType="end"/>
      </w:r>
      <w:r>
        <w:rPr>
          <w:rFonts w:cs="Arial"/>
          <w:sz w:val="20"/>
        </w:rPr>
        <w:t xml:space="preserve"> (</w:t>
      </w:r>
      <w:r>
        <w:rPr>
          <w:rFonts w:cs="Arial"/>
          <w:i/>
          <w:iCs/>
          <w:sz w:val="20"/>
        </w:rPr>
        <w:t>Contract Management</w:t>
      </w:r>
      <w:r>
        <w:rPr>
          <w:rFonts w:cs="Arial"/>
          <w:sz w:val="20"/>
        </w:rPr>
        <w:t>) notifying the recipients of a breach of a Remedial Action Plan and the continuing failure to remedy that breach</w:t>
      </w:r>
    </w:p>
    <w:p w:rsidR="00170232" w:rsidRDefault="00170232" w:rsidP="00170232">
      <w:pPr>
        <w:autoSpaceDE w:val="0"/>
        <w:autoSpaceDN w:val="0"/>
        <w:adjustRightInd w:val="0"/>
        <w:rPr>
          <w:rFonts w:cs="Arial"/>
          <w:color w:val="000000"/>
          <w:sz w:val="20"/>
        </w:rPr>
      </w:pPr>
    </w:p>
    <w:p w:rsidR="00170232" w:rsidRDefault="00170232" w:rsidP="00170232">
      <w:pPr>
        <w:keepNext/>
        <w:keepLines/>
        <w:rPr>
          <w:rFonts w:cs="Arial"/>
          <w:b/>
          <w:bCs/>
          <w:sz w:val="20"/>
        </w:rPr>
      </w:pPr>
      <w:r>
        <w:rPr>
          <w:rFonts w:cs="Arial"/>
          <w:b/>
          <w:bCs/>
          <w:sz w:val="20"/>
        </w:rPr>
        <w:t xml:space="preserve">Serious Incident </w:t>
      </w:r>
      <w:r>
        <w:rPr>
          <w:rFonts w:cs="Arial"/>
          <w:sz w:val="20"/>
        </w:rPr>
        <w:t>means an incident or accident or near-miss where a patient (whether or not a Service User), member of staff, or member of the public suffers serious injury, major permanent harm or unexpected death on the Provider’s Premises or where the actions of the Provider, the Staff or the Authority are likely to be of significant public concern</w:t>
      </w:r>
    </w:p>
    <w:p w:rsidR="00170232" w:rsidRDefault="00170232" w:rsidP="00170232"/>
    <w:p w:rsidR="00170232" w:rsidRDefault="00170232" w:rsidP="00170232">
      <w:pPr>
        <w:rPr>
          <w:sz w:val="20"/>
        </w:rPr>
      </w:pPr>
      <w:r>
        <w:rPr>
          <w:b/>
          <w:sz w:val="20"/>
        </w:rPr>
        <w:t>Service Commencement Date</w:t>
      </w:r>
      <w:r>
        <w:rPr>
          <w:sz w:val="20"/>
        </w:rPr>
        <w:t xml:space="preserve"> means the date set out in clause </w:t>
      </w:r>
      <w:r w:rsidR="00E9700A">
        <w:rPr>
          <w:sz w:val="20"/>
        </w:rPr>
        <w:fldChar w:fldCharType="begin"/>
      </w:r>
      <w:r>
        <w:rPr>
          <w:sz w:val="20"/>
        </w:rPr>
        <w:instrText xml:space="preserve"> REF _Ref374295783 \r \h </w:instrText>
      </w:r>
      <w:r w:rsidR="00E9700A">
        <w:rPr>
          <w:sz w:val="20"/>
        </w:rPr>
      </w:r>
      <w:r w:rsidR="00E9700A">
        <w:rPr>
          <w:sz w:val="20"/>
        </w:rPr>
        <w:fldChar w:fldCharType="separate"/>
      </w:r>
      <w:r>
        <w:rPr>
          <w:sz w:val="20"/>
        </w:rPr>
        <w:t>A3.2</w:t>
      </w:r>
      <w:r w:rsidR="00E9700A">
        <w:rPr>
          <w:sz w:val="20"/>
        </w:rPr>
        <w:fldChar w:fldCharType="end"/>
      </w:r>
      <w:r>
        <w:rPr>
          <w:sz w:val="20"/>
        </w:rPr>
        <w:t>.</w:t>
      </w:r>
    </w:p>
    <w:p w:rsidR="00170232" w:rsidRDefault="00170232" w:rsidP="00170232">
      <w:pPr>
        <w:rPr>
          <w:sz w:val="20"/>
        </w:rPr>
      </w:pPr>
    </w:p>
    <w:p w:rsidR="00170232" w:rsidRDefault="00170232" w:rsidP="00170232">
      <w:pPr>
        <w:rPr>
          <w:b/>
          <w:sz w:val="20"/>
        </w:rPr>
      </w:pPr>
      <w:r>
        <w:rPr>
          <w:b/>
          <w:sz w:val="20"/>
        </w:rPr>
        <w:t>Service Specification</w:t>
      </w:r>
      <w:r>
        <w:rPr>
          <w:rFonts w:cs="Arial"/>
          <w:sz w:val="20"/>
        </w:rPr>
        <w:t xml:space="preserve"> means each of the service specifications defined by the Authority and set out at Appendix </w:t>
      </w:r>
      <w:proofErr w:type="gramStart"/>
      <w:r>
        <w:rPr>
          <w:rFonts w:cs="Arial"/>
          <w:sz w:val="20"/>
        </w:rPr>
        <w:t>A</w:t>
      </w:r>
      <w:proofErr w:type="gramEnd"/>
      <w:r>
        <w:rPr>
          <w:rFonts w:cs="Arial"/>
          <w:sz w:val="20"/>
        </w:rPr>
        <w:t xml:space="preserve"> (</w:t>
      </w:r>
      <w:r>
        <w:rPr>
          <w:rFonts w:cs="Arial"/>
          <w:i/>
          <w:sz w:val="20"/>
        </w:rPr>
        <w:t>Service Specifications</w:t>
      </w:r>
      <w:r>
        <w:rPr>
          <w:rFonts w:cs="Arial"/>
          <w:sz w:val="20"/>
        </w:rPr>
        <w:t>)</w:t>
      </w:r>
    </w:p>
    <w:p w:rsidR="00170232" w:rsidRDefault="00170232" w:rsidP="00170232">
      <w:pPr>
        <w:rPr>
          <w:sz w:val="20"/>
        </w:rPr>
      </w:pPr>
    </w:p>
    <w:p w:rsidR="00170232" w:rsidRDefault="00170232" w:rsidP="00170232">
      <w:pPr>
        <w:rPr>
          <w:rFonts w:cs="Arial"/>
          <w:sz w:val="20"/>
        </w:rPr>
      </w:pPr>
      <w:r>
        <w:rPr>
          <w:b/>
          <w:sz w:val="20"/>
        </w:rPr>
        <w:t xml:space="preserve">Service User </w:t>
      </w:r>
      <w:r>
        <w:rPr>
          <w:rFonts w:cs="Arial"/>
          <w:sz w:val="20"/>
        </w:rPr>
        <w:t>means the person directly receiving the Services provided by the Provider as specified in the Service Specifications and includes their Carer and Legal Guardian where appropriate</w:t>
      </w:r>
    </w:p>
    <w:p w:rsidR="00170232" w:rsidRDefault="00170232" w:rsidP="00170232">
      <w:pPr>
        <w:rPr>
          <w:sz w:val="20"/>
        </w:rPr>
      </w:pPr>
    </w:p>
    <w:p w:rsidR="00170232" w:rsidRDefault="00170232" w:rsidP="00170232">
      <w:pPr>
        <w:rPr>
          <w:rFonts w:cs="Arial"/>
          <w:sz w:val="20"/>
        </w:rPr>
      </w:pPr>
      <w:r>
        <w:rPr>
          <w:rFonts w:cs="Arial"/>
          <w:b/>
          <w:bCs/>
          <w:sz w:val="20"/>
        </w:rPr>
        <w:t>Service Quality Performance Report</w:t>
      </w:r>
      <w:r>
        <w:rPr>
          <w:rFonts w:cs="Arial"/>
          <w:sz w:val="20"/>
        </w:rPr>
        <w:t xml:space="preserve"> means a report as described in Appendix J (</w:t>
      </w:r>
      <w:r>
        <w:rPr>
          <w:rFonts w:cs="Arial"/>
          <w:i/>
          <w:sz w:val="20"/>
        </w:rPr>
        <w:t>Service Quality Performance Report</w:t>
      </w:r>
      <w:r>
        <w:rPr>
          <w:rFonts w:cs="Arial"/>
          <w:sz w:val="20"/>
        </w:rPr>
        <w:t>)</w:t>
      </w:r>
    </w:p>
    <w:p w:rsidR="00170232" w:rsidRDefault="00170232" w:rsidP="00170232">
      <w:pPr>
        <w:rPr>
          <w:rFonts w:cs="Arial"/>
          <w:sz w:val="20"/>
        </w:rPr>
      </w:pPr>
    </w:p>
    <w:p w:rsidR="00170232" w:rsidRDefault="00170232" w:rsidP="00170232">
      <w:pPr>
        <w:rPr>
          <w:b/>
          <w:sz w:val="20"/>
        </w:rPr>
      </w:pPr>
      <w:r>
        <w:rPr>
          <w:b/>
          <w:sz w:val="20"/>
        </w:rPr>
        <w:t>Services</w:t>
      </w:r>
      <w:r>
        <w:rPr>
          <w:sz w:val="20"/>
        </w:rPr>
        <w:t xml:space="preserve"> means the services (and any part or parts of those services) described in each of, or, as the context admits, all of the Service Specifications, and/or as otherwise provided or to be provided by the Provider under and in accordance with this Contract</w:t>
      </w:r>
    </w:p>
    <w:p w:rsidR="00170232" w:rsidRDefault="00170232" w:rsidP="00170232"/>
    <w:p w:rsidR="00170232" w:rsidRDefault="00170232" w:rsidP="00170232">
      <w:pPr>
        <w:pStyle w:val="NormalBoldCentre"/>
        <w:jc w:val="left"/>
        <w:rPr>
          <w:b w:val="0"/>
          <w:sz w:val="20"/>
        </w:rPr>
      </w:pPr>
      <w:r>
        <w:rPr>
          <w:sz w:val="20"/>
        </w:rPr>
        <w:t xml:space="preserve">Special Conditions </w:t>
      </w:r>
      <w:r>
        <w:rPr>
          <w:b w:val="0"/>
          <w:sz w:val="20"/>
        </w:rPr>
        <w:t xml:space="preserve">has the meaning given to it in clause </w:t>
      </w:r>
      <w:r w:rsidR="00E9700A">
        <w:rPr>
          <w:b w:val="0"/>
          <w:sz w:val="20"/>
        </w:rPr>
        <w:fldChar w:fldCharType="begin"/>
      </w:r>
      <w:r>
        <w:rPr>
          <w:b w:val="0"/>
          <w:sz w:val="20"/>
        </w:rPr>
        <w:instrText xml:space="preserve"> REF _Ref375160972 \r \h </w:instrText>
      </w:r>
      <w:r w:rsidR="00E9700A">
        <w:rPr>
          <w:b w:val="0"/>
          <w:sz w:val="20"/>
        </w:rPr>
      </w:r>
      <w:r w:rsidR="00E9700A">
        <w:rPr>
          <w:b w:val="0"/>
          <w:sz w:val="20"/>
        </w:rPr>
        <w:fldChar w:fldCharType="separate"/>
      </w:r>
      <w:r>
        <w:rPr>
          <w:b w:val="0"/>
          <w:sz w:val="20"/>
        </w:rPr>
        <w:t>A1</w:t>
      </w:r>
      <w:r w:rsidR="00E9700A">
        <w:rPr>
          <w:b w:val="0"/>
          <w:sz w:val="20"/>
        </w:rPr>
        <w:fldChar w:fldCharType="end"/>
      </w:r>
    </w:p>
    <w:p w:rsidR="00170232" w:rsidRDefault="00170232" w:rsidP="00170232">
      <w:pPr>
        <w:rPr>
          <w:sz w:val="20"/>
          <w:lang w:eastAsia="ja-JP"/>
        </w:rPr>
      </w:pPr>
    </w:p>
    <w:p w:rsidR="00170232" w:rsidRDefault="00170232" w:rsidP="00170232">
      <w:pPr>
        <w:pStyle w:val="Normalindent1"/>
        <w:tabs>
          <w:tab w:val="left" w:pos="8280"/>
        </w:tabs>
        <w:ind w:left="0"/>
        <w:rPr>
          <w:rFonts w:cs="Arial"/>
          <w:sz w:val="20"/>
        </w:rPr>
      </w:pPr>
      <w:proofErr w:type="gramStart"/>
      <w:r>
        <w:rPr>
          <w:rStyle w:val="NormalBoldChar1"/>
          <w:sz w:val="20"/>
          <w:lang w:eastAsia="ja-JP"/>
        </w:rPr>
        <w:t>Staff</w:t>
      </w:r>
      <w:proofErr w:type="gramEnd"/>
      <w:r>
        <w:rPr>
          <w:rFonts w:cs="Arial"/>
          <w:sz w:val="20"/>
        </w:rPr>
        <w:t xml:space="preserve"> means all persons employed by the Provider to perform its obligations under this Contract together with the Provider’s servants, agents, suppliers and Sub-contractors used in the performance of its obligations under this Contract</w:t>
      </w:r>
    </w:p>
    <w:p w:rsidR="00170232" w:rsidRDefault="00170232" w:rsidP="00170232"/>
    <w:p w:rsidR="00170232" w:rsidRDefault="00170232" w:rsidP="00170232">
      <w:pPr>
        <w:rPr>
          <w:rFonts w:cs="Arial"/>
          <w:sz w:val="20"/>
        </w:rPr>
      </w:pPr>
      <w:r>
        <w:rPr>
          <w:rFonts w:cs="Arial"/>
          <w:b/>
          <w:sz w:val="20"/>
        </w:rPr>
        <w:t xml:space="preserve">Standard DBS Check </w:t>
      </w:r>
      <w:r>
        <w:rPr>
          <w:rFonts w:cs="Arial"/>
          <w:sz w:val="20"/>
        </w:rPr>
        <w:t>means a disclosure of information which contains certain details of an individual’s convictions, cautions, reprimands or warnings recorded on police central records and includes both 'spent' and 'unspent' convictions</w:t>
      </w:r>
    </w:p>
    <w:p w:rsidR="00170232" w:rsidRDefault="00170232" w:rsidP="00170232">
      <w:pPr>
        <w:rPr>
          <w:rFonts w:cs="Arial"/>
          <w:sz w:val="20"/>
        </w:rPr>
      </w:pPr>
    </w:p>
    <w:p w:rsidR="00170232" w:rsidRDefault="00170232" w:rsidP="00170232">
      <w:pPr>
        <w:rPr>
          <w:rFonts w:cs="Arial"/>
          <w:sz w:val="20"/>
        </w:rPr>
      </w:pPr>
      <w:r>
        <w:rPr>
          <w:rFonts w:cs="Arial"/>
          <w:b/>
          <w:sz w:val="20"/>
        </w:rPr>
        <w:t xml:space="preserve">Standard DBS Position </w:t>
      </w:r>
      <w:r>
        <w:rPr>
          <w:rFonts w:cs="Arial"/>
          <w:sz w:val="20"/>
        </w:rPr>
        <w:t>means any position listed in the Rehabilitation of Offenders Act 1974 (Exceptions) Order 1975 (as amended) and in relation to which a Standard DBS Check is permitted</w:t>
      </w:r>
    </w:p>
    <w:p w:rsidR="00170232" w:rsidRDefault="00170232" w:rsidP="00170232">
      <w:pPr>
        <w:rPr>
          <w:rFonts w:cs="Arial"/>
          <w:sz w:val="20"/>
        </w:rPr>
      </w:pPr>
    </w:p>
    <w:p w:rsidR="00170232" w:rsidRDefault="00170232" w:rsidP="00170232">
      <w:pPr>
        <w:rPr>
          <w:rFonts w:cs="Arial"/>
          <w:sz w:val="20"/>
        </w:rPr>
      </w:pPr>
      <w:r>
        <w:rPr>
          <w:rFonts w:cs="Arial"/>
          <w:b/>
          <w:sz w:val="20"/>
        </w:rPr>
        <w:t>Sub-contract</w:t>
      </w:r>
      <w:r>
        <w:rPr>
          <w:rFonts w:cs="Arial"/>
          <w:sz w:val="20"/>
        </w:rPr>
        <w:t xml:space="preserve"> means a contract approved by the Authority between the Provider and a third party for the provision of part of the Services</w:t>
      </w:r>
    </w:p>
    <w:p w:rsidR="00170232" w:rsidRDefault="00170232" w:rsidP="00170232">
      <w:pPr>
        <w:rPr>
          <w:rFonts w:cs="Arial"/>
          <w:sz w:val="20"/>
        </w:rPr>
      </w:pPr>
    </w:p>
    <w:p w:rsidR="00170232" w:rsidRDefault="00170232" w:rsidP="00170232">
      <w:pPr>
        <w:pStyle w:val="Normalindent1"/>
        <w:ind w:left="0"/>
        <w:rPr>
          <w:rFonts w:cs="Arial"/>
          <w:sz w:val="20"/>
        </w:rPr>
      </w:pPr>
      <w:r>
        <w:rPr>
          <w:rFonts w:cs="Arial"/>
          <w:b/>
          <w:sz w:val="20"/>
        </w:rPr>
        <w:t>Sub-contractor</w:t>
      </w:r>
      <w:r>
        <w:rPr>
          <w:rFonts w:cs="Arial"/>
          <w:sz w:val="20"/>
        </w:rPr>
        <w:t xml:space="preserve"> means any third party appointed by the Provider and approved by the Authority under clause </w:t>
      </w:r>
      <w:r w:rsidR="00E9700A">
        <w:rPr>
          <w:rFonts w:cs="Arial"/>
          <w:sz w:val="20"/>
        </w:rPr>
        <w:fldChar w:fldCharType="begin"/>
      </w:r>
      <w:r>
        <w:rPr>
          <w:rFonts w:cs="Arial"/>
          <w:sz w:val="20"/>
        </w:rPr>
        <w:instrText xml:space="preserve"> REF _Ref375161012 \r \h </w:instrText>
      </w:r>
      <w:r w:rsidR="00E9700A">
        <w:rPr>
          <w:rFonts w:cs="Arial"/>
          <w:sz w:val="20"/>
        </w:rPr>
      </w:r>
      <w:r w:rsidR="00E9700A">
        <w:rPr>
          <w:rFonts w:cs="Arial"/>
          <w:sz w:val="20"/>
        </w:rPr>
        <w:fldChar w:fldCharType="separate"/>
      </w:r>
      <w:r>
        <w:rPr>
          <w:rFonts w:cs="Arial"/>
          <w:sz w:val="20"/>
        </w:rPr>
        <w:t>B23</w:t>
      </w:r>
      <w:r w:rsidR="00E9700A">
        <w:rPr>
          <w:rFonts w:cs="Arial"/>
          <w:sz w:val="20"/>
        </w:rPr>
        <w:fldChar w:fldCharType="end"/>
      </w:r>
      <w:r>
        <w:rPr>
          <w:rFonts w:cs="Arial"/>
          <w:sz w:val="20"/>
        </w:rPr>
        <w:t xml:space="preserve"> (</w:t>
      </w:r>
      <w:r>
        <w:rPr>
          <w:rFonts w:cs="Arial"/>
          <w:i/>
          <w:sz w:val="20"/>
        </w:rPr>
        <w:t>Assignment and Sub-contracting</w:t>
      </w:r>
      <w:r>
        <w:rPr>
          <w:rFonts w:cs="Arial"/>
          <w:sz w:val="20"/>
        </w:rPr>
        <w:t>) to deliver or assist with the delivery of part of the Services as defined in a Service Specification</w:t>
      </w:r>
    </w:p>
    <w:p w:rsidR="00170232" w:rsidRDefault="00170232" w:rsidP="00170232"/>
    <w:p w:rsidR="00170232" w:rsidRDefault="00170232" w:rsidP="00170232">
      <w:pPr>
        <w:rPr>
          <w:sz w:val="20"/>
        </w:rPr>
      </w:pPr>
      <w:r>
        <w:rPr>
          <w:b/>
          <w:sz w:val="20"/>
        </w:rPr>
        <w:t>Succession Plan</w:t>
      </w:r>
      <w:r>
        <w:rPr>
          <w:sz w:val="20"/>
        </w:rPr>
        <w:t xml:space="preserve"> means a plan agreed by the Parties to deal with transfer of the Services to an alternative provider following expiry or termination of this Contract as set out at Appendix N (</w:t>
      </w:r>
      <w:r>
        <w:rPr>
          <w:i/>
          <w:sz w:val="20"/>
        </w:rPr>
        <w:t>Succession Plan</w:t>
      </w:r>
      <w:r>
        <w:rPr>
          <w:sz w:val="20"/>
        </w:rPr>
        <w:t>)</w:t>
      </w:r>
    </w:p>
    <w:p w:rsidR="00170232" w:rsidRDefault="00170232" w:rsidP="00170232">
      <w:pPr>
        <w:rPr>
          <w:lang w:eastAsia="ja-JP"/>
        </w:rPr>
      </w:pPr>
    </w:p>
    <w:p w:rsidR="00170232" w:rsidRDefault="00170232" w:rsidP="00170232">
      <w:pPr>
        <w:rPr>
          <w:sz w:val="20"/>
        </w:rPr>
      </w:pPr>
      <w:r>
        <w:rPr>
          <w:b/>
          <w:sz w:val="20"/>
          <w:lang w:eastAsia="ja-JP"/>
        </w:rPr>
        <w:t xml:space="preserve">Successor Provider </w:t>
      </w:r>
      <w:r>
        <w:rPr>
          <w:sz w:val="20"/>
          <w:lang w:eastAsia="ja-JP"/>
        </w:rPr>
        <w:t xml:space="preserve">means </w:t>
      </w:r>
      <w:r>
        <w:rPr>
          <w:sz w:val="20"/>
        </w:rPr>
        <w:t>any provider to whom a member of Staff is transferred pursuant to TUPE in relation to the Services immediately on termination or expiry of this Contract</w:t>
      </w:r>
    </w:p>
    <w:p w:rsidR="00170232" w:rsidRDefault="00170232" w:rsidP="00170232">
      <w:pPr>
        <w:rPr>
          <w:sz w:val="20"/>
        </w:rPr>
      </w:pPr>
    </w:p>
    <w:p w:rsidR="00170232" w:rsidRDefault="00170232" w:rsidP="00170232">
      <w:pPr>
        <w:rPr>
          <w:rFonts w:cs="Arial"/>
          <w:sz w:val="20"/>
        </w:rPr>
      </w:pPr>
      <w:r>
        <w:rPr>
          <w:rFonts w:cs="Arial"/>
          <w:b/>
          <w:sz w:val="20"/>
        </w:rPr>
        <w:t>Transfer of and Discharge from Care Protocols</w:t>
      </w:r>
      <w:r>
        <w:rPr>
          <w:rFonts w:cs="Arial"/>
          <w:sz w:val="20"/>
        </w:rPr>
        <w:t xml:space="preserve"> means the protocols set out in Appendix I (</w:t>
      </w:r>
      <w:r>
        <w:rPr>
          <w:rFonts w:cs="Arial"/>
          <w:i/>
          <w:sz w:val="20"/>
        </w:rPr>
        <w:t>Transfer and Discharge from Care Protocols</w:t>
      </w:r>
      <w:r>
        <w:rPr>
          <w:rFonts w:cs="Arial"/>
          <w:sz w:val="20"/>
        </w:rPr>
        <w:t>)</w:t>
      </w:r>
    </w:p>
    <w:p w:rsidR="00170232" w:rsidRDefault="00170232" w:rsidP="00170232">
      <w:pPr>
        <w:rPr>
          <w:sz w:val="20"/>
        </w:rPr>
      </w:pPr>
    </w:p>
    <w:p w:rsidR="00170232" w:rsidRDefault="00170232" w:rsidP="00170232">
      <w:pPr>
        <w:rPr>
          <w:sz w:val="20"/>
          <w:lang w:eastAsia="ja-JP"/>
        </w:rPr>
      </w:pPr>
      <w:r>
        <w:rPr>
          <w:rFonts w:cs="Arial"/>
          <w:b/>
          <w:bCs/>
          <w:sz w:val="20"/>
        </w:rPr>
        <w:t>TUPE</w:t>
      </w:r>
      <w:r>
        <w:rPr>
          <w:rFonts w:cs="Arial"/>
          <w:sz w:val="20"/>
        </w:rPr>
        <w:t xml:space="preserve"> means the Transfer of Undertakings (Protection of Employment) Regulations 2006</w:t>
      </w:r>
    </w:p>
    <w:p w:rsidR="00170232" w:rsidRDefault="00170232" w:rsidP="00170232">
      <w:pPr>
        <w:rPr>
          <w:sz w:val="20"/>
          <w:lang w:eastAsia="ja-JP"/>
        </w:rPr>
      </w:pPr>
    </w:p>
    <w:p w:rsidR="00170232" w:rsidRDefault="00170232" w:rsidP="00170232">
      <w:pPr>
        <w:jc w:val="left"/>
        <w:rPr>
          <w:rFonts w:cs="Arial"/>
          <w:sz w:val="20"/>
        </w:rPr>
      </w:pPr>
      <w:r>
        <w:rPr>
          <w:rStyle w:val="NormalBoldChar1"/>
          <w:sz w:val="20"/>
          <w:lang w:eastAsia="ja-JP"/>
        </w:rPr>
        <w:t>VAT</w:t>
      </w:r>
      <w:r>
        <w:rPr>
          <w:rFonts w:cs="Arial"/>
          <w:sz w:val="20"/>
        </w:rPr>
        <w:t xml:space="preserve"> means value added tax in accordance with the provisions of the Value Added Tax Act 1994</w:t>
      </w:r>
    </w:p>
    <w:p w:rsidR="00170232" w:rsidRDefault="00170232" w:rsidP="00170232">
      <w:pPr>
        <w:jc w:val="left"/>
        <w:rPr>
          <w:rFonts w:cs="Arial"/>
          <w:sz w:val="20"/>
        </w:rPr>
      </w:pPr>
    </w:p>
    <w:p w:rsidR="00170232" w:rsidRDefault="00170232" w:rsidP="00170232">
      <w:pPr>
        <w:jc w:val="left"/>
        <w:rPr>
          <w:rFonts w:cs="Arial"/>
          <w:sz w:val="20"/>
        </w:rPr>
      </w:pPr>
      <w:r>
        <w:rPr>
          <w:rFonts w:cs="Arial"/>
          <w:b/>
          <w:sz w:val="20"/>
        </w:rPr>
        <w:t xml:space="preserve">Variation </w:t>
      </w:r>
      <w:r>
        <w:rPr>
          <w:rFonts w:cs="Arial"/>
          <w:sz w:val="20"/>
        </w:rPr>
        <w:t>means a variation to a provision or part of a provision of this Contract</w:t>
      </w:r>
    </w:p>
    <w:p w:rsidR="00170232" w:rsidRDefault="00170232" w:rsidP="00170232">
      <w:pPr>
        <w:jc w:val="left"/>
        <w:rPr>
          <w:rFonts w:cs="Arial"/>
          <w:sz w:val="20"/>
        </w:rPr>
      </w:pPr>
    </w:p>
    <w:p w:rsidR="00170232" w:rsidRDefault="00170232" w:rsidP="00170232">
      <w:pPr>
        <w:jc w:val="left"/>
        <w:rPr>
          <w:rFonts w:cs="Arial"/>
          <w:sz w:val="20"/>
        </w:rPr>
      </w:pPr>
      <w:r>
        <w:rPr>
          <w:rFonts w:cs="Arial"/>
          <w:b/>
          <w:sz w:val="20"/>
        </w:rPr>
        <w:t xml:space="preserve">Variation Notice </w:t>
      </w:r>
      <w:r>
        <w:rPr>
          <w:rFonts w:cs="Arial"/>
          <w:sz w:val="20"/>
        </w:rPr>
        <w:t xml:space="preserve">means a notice to vary a provision or part of a provision of this Contract issued under clause </w:t>
      </w:r>
      <w:r w:rsidR="00E9700A">
        <w:rPr>
          <w:rFonts w:cs="Arial"/>
          <w:sz w:val="20"/>
        </w:rPr>
        <w:fldChar w:fldCharType="begin"/>
      </w:r>
      <w:r>
        <w:rPr>
          <w:rFonts w:cs="Arial"/>
          <w:sz w:val="20"/>
        </w:rPr>
        <w:instrText xml:space="preserve"> REF _Ref374304018 \r \h </w:instrText>
      </w:r>
      <w:r w:rsidR="00E9700A">
        <w:rPr>
          <w:rFonts w:cs="Arial"/>
          <w:sz w:val="20"/>
        </w:rPr>
      </w:r>
      <w:r w:rsidR="00E9700A">
        <w:rPr>
          <w:rFonts w:cs="Arial"/>
          <w:sz w:val="20"/>
        </w:rPr>
        <w:fldChar w:fldCharType="separate"/>
      </w:r>
      <w:r>
        <w:rPr>
          <w:rFonts w:cs="Arial"/>
          <w:sz w:val="20"/>
        </w:rPr>
        <w:t>B22.2</w:t>
      </w:r>
      <w:r w:rsidR="00E9700A">
        <w:rPr>
          <w:rFonts w:cs="Arial"/>
          <w:sz w:val="20"/>
        </w:rPr>
        <w:fldChar w:fldCharType="end"/>
      </w:r>
      <w:r>
        <w:rPr>
          <w:rFonts w:cs="Arial"/>
          <w:sz w:val="20"/>
        </w:rPr>
        <w:t xml:space="preserve"> (</w:t>
      </w:r>
      <w:r>
        <w:rPr>
          <w:rFonts w:cs="Arial"/>
          <w:i/>
          <w:sz w:val="20"/>
        </w:rPr>
        <w:t>Variations</w:t>
      </w:r>
      <w:r>
        <w:rPr>
          <w:rFonts w:cs="Arial"/>
          <w:sz w:val="20"/>
        </w:rPr>
        <w:t>).</w:t>
      </w:r>
    </w:p>
    <w:p w:rsidR="00170232" w:rsidRDefault="00170232" w:rsidP="00170232">
      <w:pPr>
        <w:jc w:val="left"/>
        <w:rPr>
          <w:rFonts w:cs="Arial"/>
          <w:sz w:val="20"/>
        </w:rPr>
      </w:pPr>
    </w:p>
    <w:p w:rsidR="00170232" w:rsidRDefault="00170232" w:rsidP="00170232">
      <w:pPr>
        <w:widowControl w:val="0"/>
        <w:jc w:val="center"/>
        <w:rPr>
          <w:rFonts w:cs="Arial"/>
          <w:b/>
          <w:bCs/>
          <w:sz w:val="20"/>
        </w:rPr>
      </w:pPr>
    </w:p>
    <w:p w:rsidR="00170232" w:rsidRDefault="00170232" w:rsidP="00170232">
      <w:pPr>
        <w:widowControl w:val="0"/>
        <w:jc w:val="center"/>
        <w:outlineLvl w:val="0"/>
        <w:rPr>
          <w:rFonts w:cs="Arial"/>
          <w:b/>
          <w:bCs/>
          <w:sz w:val="20"/>
        </w:rPr>
      </w:pPr>
      <w:bookmarkStart w:id="11" w:name="_Toc374199464"/>
      <w:r>
        <w:rPr>
          <w:rFonts w:cs="Arial"/>
          <w:b/>
          <w:bCs/>
          <w:sz w:val="20"/>
        </w:rPr>
        <w:t>SECTION C: SPECIAL TERMS AND CONDITIONS</w:t>
      </w:r>
      <w:bookmarkEnd w:id="11"/>
    </w:p>
    <w:p w:rsidR="00170232" w:rsidRDefault="00170232" w:rsidP="00170232">
      <w:pPr>
        <w:widowControl w:val="0"/>
        <w:jc w:val="center"/>
        <w:rPr>
          <w:rFonts w:cs="Arial"/>
          <w:b/>
          <w:bCs/>
          <w:sz w:val="20"/>
        </w:rPr>
      </w:pPr>
    </w:p>
    <w:p w:rsidR="0086519B" w:rsidRDefault="00800DCF" w:rsidP="0086519B">
      <w:pPr>
        <w:jc w:val="left"/>
        <w:rPr>
          <w:rFonts w:cs="Arial"/>
          <w:b/>
          <w:sz w:val="20"/>
        </w:rPr>
      </w:pPr>
      <w:r>
        <w:rPr>
          <w:rFonts w:cs="Arial"/>
          <w:b/>
          <w:sz w:val="20"/>
        </w:rPr>
        <w:t>N/A</w:t>
      </w:r>
    </w:p>
    <w:sectPr w:rsidR="0086519B" w:rsidSect="004F2137">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C5" w:rsidRDefault="001072C5" w:rsidP="007324A4">
      <w:r>
        <w:separator/>
      </w:r>
    </w:p>
  </w:endnote>
  <w:endnote w:type="continuationSeparator" w:id="0">
    <w:p w:rsidR="001072C5" w:rsidRDefault="001072C5" w:rsidP="007324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yntax">
    <w:altName w:val="Times New Roman"/>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Default="00E9700A" w:rsidP="004F2137">
    <w:pPr>
      <w:pStyle w:val="Footer"/>
      <w:framePr w:wrap="around" w:vAnchor="text" w:hAnchor="margin" w:xAlign="right" w:y="1"/>
      <w:rPr>
        <w:rStyle w:val="PageNumber"/>
      </w:rPr>
    </w:pPr>
    <w:r>
      <w:rPr>
        <w:rStyle w:val="PageNumber"/>
      </w:rPr>
      <w:fldChar w:fldCharType="begin"/>
    </w:r>
    <w:r w:rsidR="001072C5">
      <w:rPr>
        <w:rStyle w:val="PageNumber"/>
      </w:rPr>
      <w:instrText xml:space="preserve">PAGE  </w:instrText>
    </w:r>
    <w:r>
      <w:rPr>
        <w:rStyle w:val="PageNumber"/>
      </w:rPr>
      <w:fldChar w:fldCharType="end"/>
    </w:r>
  </w:p>
  <w:p w:rsidR="001072C5" w:rsidRDefault="001072C5" w:rsidP="004F21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Default="001072C5">
    <w:pPr>
      <w:pStyle w:val="Footer"/>
      <w:jc w:val="right"/>
    </w:pPr>
    <w:r>
      <w:t xml:space="preserve">(3) </w:t>
    </w:r>
    <w:sdt>
      <w:sdtPr>
        <w:id w:val="21837847"/>
        <w:docPartObj>
          <w:docPartGallery w:val="Page Numbers (Bottom of Page)"/>
          <w:docPartUnique/>
        </w:docPartObj>
      </w:sdtPr>
      <w:sdtContent>
        <w:fldSimple w:instr=" PAGE   \* MERGEFORMAT ">
          <w:r w:rsidR="00813D35">
            <w:rPr>
              <w:noProof/>
            </w:rPr>
            <w:t>5</w:t>
          </w:r>
        </w:fldSimple>
      </w:sdtContent>
    </w:sdt>
  </w:p>
  <w:p w:rsidR="001072C5" w:rsidRPr="0098612E" w:rsidRDefault="001072C5" w:rsidP="004F2137">
    <w:pPr>
      <w:jc w:val="left"/>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Pr="00EC3010" w:rsidRDefault="001072C5" w:rsidP="004F2137">
    <w:pPr>
      <w:pStyle w:val="Footer"/>
      <w:rPr>
        <w:szCs w:val="16"/>
      </w:rPr>
    </w:pPr>
    <w:r w:rsidRPr="00EC3010">
      <w:rPr>
        <w:rStyle w:val="PageNumbe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C5" w:rsidRDefault="001072C5" w:rsidP="007324A4">
      <w:r>
        <w:separator/>
      </w:r>
    </w:p>
  </w:footnote>
  <w:footnote w:type="continuationSeparator" w:id="0">
    <w:p w:rsidR="001072C5" w:rsidRDefault="001072C5" w:rsidP="00732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Default="001072C5"/>
  <w:p w:rsidR="001072C5" w:rsidRDefault="001072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Pr="003C79C1" w:rsidRDefault="001072C5">
    <w:pPr>
      <w:rPr>
        <w:sz w:val="16"/>
        <w:szCs w:val="16"/>
      </w:rPr>
    </w:pPr>
    <w:r w:rsidRPr="003C79C1">
      <w:rPr>
        <w:sz w:val="16"/>
        <w:szCs w:val="16"/>
      </w:rPr>
      <w:t>PUBLIC HEATLH SERVICES CONTRACT 2014 2015 APPENDIX A – O (3) NATIONAL NHS COUNTERWEIGHT 1:1 WEIGHT LOSS PROGRAMME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C5" w:rsidRPr="001E478B" w:rsidRDefault="001072C5" w:rsidP="004F2137">
    <w:pPr>
      <w:pStyle w:val="Header"/>
      <w:jc w:val="center"/>
      <w:rPr>
        <w:b/>
        <w:bCs/>
        <w:sz w:val="20"/>
      </w:rPr>
    </w:pPr>
    <w:r w:rsidRPr="001E478B">
      <w:rPr>
        <w:b/>
        <w:bCs/>
        <w:sz w:val="20"/>
      </w:rPr>
      <w:t>PUBLIC HEALTH SERVICES CONTRACT</w:t>
    </w:r>
  </w:p>
  <w:p w:rsidR="001072C5" w:rsidRPr="00673DC5" w:rsidRDefault="001072C5" w:rsidP="004F2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E16"/>
    <w:multiLevelType w:val="hybridMultilevel"/>
    <w:tmpl w:val="940C32BC"/>
    <w:lvl w:ilvl="0" w:tplc="DA2EB4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8B1CFC"/>
    <w:multiLevelType w:val="hybridMultilevel"/>
    <w:tmpl w:val="7C52BE1A"/>
    <w:lvl w:ilvl="0" w:tplc="9752BDAA">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1B8D3711"/>
    <w:multiLevelType w:val="hybridMultilevel"/>
    <w:tmpl w:val="12EE7D60"/>
    <w:lvl w:ilvl="0" w:tplc="C2D2877C">
      <w:start w:val="4"/>
      <w:numFmt w:val="bullet"/>
      <w:pStyle w:val="Bulletleft1last"/>
      <w:lvlText w:val=""/>
      <w:lvlJc w:val="left"/>
      <w:pPr>
        <w:tabs>
          <w:tab w:val="num" w:pos="284"/>
        </w:tabs>
        <w:ind w:left="284" w:hanging="284"/>
      </w:pPr>
      <w:rPr>
        <w:rFonts w:ascii="Symbol" w:hAnsi="Symbol" w:hint="default"/>
        <w:sz w:val="24"/>
        <w:szCs w:val="24"/>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nsid w:val="1CAE05F5"/>
    <w:multiLevelType w:val="hybridMultilevel"/>
    <w:tmpl w:val="66E4D01A"/>
    <w:lvl w:ilvl="0" w:tplc="DA2EB41E">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D87E95"/>
    <w:multiLevelType w:val="hybridMultilevel"/>
    <w:tmpl w:val="CB703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45F62"/>
    <w:multiLevelType w:val="hybridMultilevel"/>
    <w:tmpl w:val="0C6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A1BC6"/>
    <w:multiLevelType w:val="hybridMultilevel"/>
    <w:tmpl w:val="685C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51B27"/>
    <w:multiLevelType w:val="hybridMultilevel"/>
    <w:tmpl w:val="C8026C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6F56E5"/>
    <w:multiLevelType w:val="hybridMultilevel"/>
    <w:tmpl w:val="9CD2C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6B3B5D"/>
    <w:multiLevelType w:val="multilevel"/>
    <w:tmpl w:val="07DA99AC"/>
    <w:lvl w:ilvl="0">
      <w:start w:val="1"/>
      <w:numFmt w:val="decimal"/>
      <w:pStyle w:val="Index"/>
      <w:lvlText w:val="C%1."/>
      <w:lvlJc w:val="left"/>
      <w:pPr>
        <w:tabs>
          <w:tab w:val="num" w:pos="360"/>
        </w:tabs>
        <w:ind w:left="360" w:hanging="360"/>
      </w:pPr>
      <w:rPr>
        <w:rFonts w:hint="default"/>
        <w:b/>
        <w:bCs/>
      </w:rPr>
    </w:lvl>
    <w:lvl w:ilvl="1">
      <w:start w:val="1"/>
      <w:numFmt w:val="decimal"/>
      <w:lvlText w:val="C%1.%2."/>
      <w:lvlJc w:val="left"/>
      <w:pPr>
        <w:tabs>
          <w:tab w:val="num" w:pos="792"/>
        </w:tabs>
        <w:ind w:left="792" w:hanging="432"/>
      </w:pPr>
      <w:rPr>
        <w:rFonts w:hint="default"/>
        <w:b w:val="0"/>
        <w:bCs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C7345D8"/>
    <w:multiLevelType w:val="hybridMultilevel"/>
    <w:tmpl w:val="E30CE402"/>
    <w:lvl w:ilvl="0" w:tplc="5F82580A">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3">
    <w:nsid w:val="45545F3A"/>
    <w:multiLevelType w:val="hybridMultilevel"/>
    <w:tmpl w:val="C018DE04"/>
    <w:lvl w:ilvl="0" w:tplc="A9D024D6">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490F183F"/>
    <w:multiLevelType w:val="hybridMultilevel"/>
    <w:tmpl w:val="E30CE402"/>
    <w:lvl w:ilvl="0" w:tplc="5F82580A">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4CB50D3D"/>
    <w:multiLevelType w:val="hybridMultilevel"/>
    <w:tmpl w:val="72A6E8EE"/>
    <w:lvl w:ilvl="0" w:tplc="DA2EB41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1777E7C"/>
    <w:multiLevelType w:val="hybridMultilevel"/>
    <w:tmpl w:val="5AD8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A7148"/>
    <w:multiLevelType w:val="hybridMultilevel"/>
    <w:tmpl w:val="3E4E9C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952790F"/>
    <w:multiLevelType w:val="hybridMultilevel"/>
    <w:tmpl w:val="EDC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20F28"/>
    <w:multiLevelType w:val="multilevel"/>
    <w:tmpl w:val="6A42F40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340"/>
        </w:tabs>
        <w:ind w:left="2340" w:hanging="360"/>
      </w:pPr>
      <w:rPr>
        <w:rFonts w:cs="Times New Roman"/>
      </w:rPr>
    </w:lvl>
    <w:lvl w:ilvl="2">
      <w:start w:val="1"/>
      <w:numFmt w:val="decimal"/>
      <w:lvlText w:val="%1.%2.%3"/>
      <w:lvlJc w:val="left"/>
      <w:pPr>
        <w:tabs>
          <w:tab w:val="num" w:pos="4680"/>
        </w:tabs>
        <w:ind w:left="4680" w:hanging="720"/>
      </w:pPr>
      <w:rPr>
        <w:rFonts w:cs="Times New Roman"/>
      </w:rPr>
    </w:lvl>
    <w:lvl w:ilvl="3">
      <w:start w:val="1"/>
      <w:numFmt w:val="decimal"/>
      <w:lvlText w:val="%1.%2.%3.%4"/>
      <w:lvlJc w:val="left"/>
      <w:pPr>
        <w:tabs>
          <w:tab w:val="num" w:pos="6660"/>
        </w:tabs>
        <w:ind w:left="6660" w:hanging="720"/>
      </w:pPr>
      <w:rPr>
        <w:rFonts w:cs="Times New Roman"/>
      </w:rPr>
    </w:lvl>
    <w:lvl w:ilvl="4">
      <w:start w:val="1"/>
      <w:numFmt w:val="decimal"/>
      <w:lvlText w:val="%1.%2.%3.%4.%5"/>
      <w:lvlJc w:val="left"/>
      <w:pPr>
        <w:tabs>
          <w:tab w:val="num" w:pos="9000"/>
        </w:tabs>
        <w:ind w:left="9000" w:hanging="1080"/>
      </w:pPr>
      <w:rPr>
        <w:rFonts w:cs="Times New Roman"/>
      </w:rPr>
    </w:lvl>
    <w:lvl w:ilvl="5">
      <w:start w:val="1"/>
      <w:numFmt w:val="decimal"/>
      <w:lvlText w:val="%1.%2.%3.%4.%5.%6"/>
      <w:lvlJc w:val="left"/>
      <w:pPr>
        <w:tabs>
          <w:tab w:val="num" w:pos="10980"/>
        </w:tabs>
        <w:ind w:left="10980" w:hanging="1080"/>
      </w:pPr>
      <w:rPr>
        <w:rFonts w:cs="Times New Roman"/>
      </w:rPr>
    </w:lvl>
    <w:lvl w:ilvl="6">
      <w:start w:val="1"/>
      <w:numFmt w:val="decimal"/>
      <w:lvlText w:val="%1.%2.%3.%4.%5.%6.%7"/>
      <w:lvlJc w:val="left"/>
      <w:pPr>
        <w:tabs>
          <w:tab w:val="num" w:pos="13320"/>
        </w:tabs>
        <w:ind w:left="13320" w:hanging="1440"/>
      </w:pPr>
      <w:rPr>
        <w:rFonts w:cs="Times New Roman"/>
      </w:rPr>
    </w:lvl>
    <w:lvl w:ilvl="7">
      <w:start w:val="1"/>
      <w:numFmt w:val="decimal"/>
      <w:lvlText w:val="%1.%2.%3.%4.%5.%6.%7.%8"/>
      <w:lvlJc w:val="left"/>
      <w:pPr>
        <w:tabs>
          <w:tab w:val="num" w:pos="15300"/>
        </w:tabs>
        <w:ind w:left="15300" w:hanging="1440"/>
      </w:pPr>
      <w:rPr>
        <w:rFonts w:cs="Times New Roman"/>
      </w:rPr>
    </w:lvl>
    <w:lvl w:ilvl="8">
      <w:start w:val="1"/>
      <w:numFmt w:val="decimal"/>
      <w:lvlText w:val="%1.%2.%3.%4.%5.%6.%7.%8.%9"/>
      <w:lvlJc w:val="left"/>
      <w:pPr>
        <w:tabs>
          <w:tab w:val="num" w:pos="17640"/>
        </w:tabs>
        <w:ind w:left="17640" w:hanging="1800"/>
      </w:pPr>
      <w:rPr>
        <w:rFonts w:cs="Times New Roman"/>
      </w:rPr>
    </w:lvl>
  </w:abstractNum>
  <w:abstractNum w:abstractNumId="20">
    <w:nsid w:val="5B4C4E8A"/>
    <w:multiLevelType w:val="hybridMultilevel"/>
    <w:tmpl w:val="2C842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240FD"/>
    <w:multiLevelType w:val="multilevel"/>
    <w:tmpl w:val="C402F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1D788B"/>
    <w:multiLevelType w:val="hybridMultilevel"/>
    <w:tmpl w:val="1958AA44"/>
    <w:lvl w:ilvl="0" w:tplc="91B2D8D6">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C403215"/>
    <w:multiLevelType w:val="hybridMultilevel"/>
    <w:tmpl w:val="052E0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A97211"/>
    <w:multiLevelType w:val="hybridMultilevel"/>
    <w:tmpl w:val="2F260BFC"/>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tabs>
          <w:tab w:val="num" w:pos="900"/>
        </w:tabs>
        <w:ind w:left="900" w:hanging="18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A11AAC"/>
    <w:multiLevelType w:val="hybridMultilevel"/>
    <w:tmpl w:val="13B4246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5B0C28"/>
    <w:multiLevelType w:val="hybridMultilevel"/>
    <w:tmpl w:val="F2EA7AE6"/>
    <w:lvl w:ilvl="0" w:tplc="4260EFEE">
      <w:start w:val="1"/>
      <w:numFmt w:val="lowerRoman"/>
      <w:lvlText w:val="(%1)"/>
      <w:lvlJc w:val="left"/>
      <w:pPr>
        <w:tabs>
          <w:tab w:val="num" w:pos="1080"/>
        </w:tabs>
        <w:ind w:left="1080" w:hanging="720"/>
      </w:pPr>
      <w:rPr>
        <w:rFonts w:cs="Times New Roman"/>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7207552A"/>
    <w:multiLevelType w:val="hybridMultilevel"/>
    <w:tmpl w:val="D83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657A9"/>
    <w:multiLevelType w:val="hybridMultilevel"/>
    <w:tmpl w:val="7E54F0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B874201"/>
    <w:multiLevelType w:val="hybridMultilevel"/>
    <w:tmpl w:val="FA7AA1CC"/>
    <w:lvl w:ilvl="0" w:tplc="D0A84462">
      <w:start w:val="1"/>
      <w:numFmt w:val="decimal"/>
      <w:lvlText w:val="A%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B352CD62">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10"/>
  </w:num>
  <w:num w:numId="3">
    <w:abstractNumId w:val="4"/>
  </w:num>
  <w:num w:numId="4">
    <w:abstractNumId w:val="0"/>
  </w:num>
  <w:num w:numId="5">
    <w:abstractNumId w:val="15"/>
  </w:num>
  <w:num w:numId="6">
    <w:abstractNumId w:val="17"/>
  </w:num>
  <w:num w:numId="7">
    <w:abstractNumId w:val="24"/>
  </w:num>
  <w:num w:numId="8">
    <w:abstractNumId w:val="11"/>
  </w:num>
  <w:num w:numId="9">
    <w:abstractNumId w:val="21"/>
  </w:num>
  <w:num w:numId="10">
    <w:abstractNumId w:val="8"/>
  </w:num>
  <w:num w:numId="11">
    <w:abstractNumId w:val="2"/>
  </w:num>
  <w:num w:numId="12">
    <w:abstractNumId w:val="3"/>
  </w:num>
  <w:num w:numId="13">
    <w:abstractNumId w:val="5"/>
  </w:num>
  <w:num w:numId="14">
    <w:abstractNumId w:val="9"/>
  </w:num>
  <w:num w:numId="15">
    <w:abstractNumId w:val="14"/>
  </w:num>
  <w:num w:numId="16">
    <w:abstractNumId w:val="27"/>
  </w:num>
  <w:num w:numId="17">
    <w:abstractNumId w:val="6"/>
  </w:num>
  <w:num w:numId="18">
    <w:abstractNumId w:val="7"/>
  </w:num>
  <w:num w:numId="19">
    <w:abstractNumId w:val="20"/>
  </w:num>
  <w:num w:numId="20">
    <w:abstractNumId w:val="25"/>
  </w:num>
  <w:num w:numId="21">
    <w:abstractNumId w:val="16"/>
  </w:num>
  <w:num w:numId="22">
    <w:abstractNumId w:val="18"/>
  </w:num>
  <w:num w:numId="23">
    <w:abstractNumId w:val="1"/>
  </w:num>
  <w:num w:numId="24">
    <w:abstractNumId w:val="23"/>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7494D"/>
    <w:rsid w:val="000027A8"/>
    <w:rsid w:val="0000304B"/>
    <w:rsid w:val="00007866"/>
    <w:rsid w:val="0001148E"/>
    <w:rsid w:val="00011DCD"/>
    <w:rsid w:val="00012060"/>
    <w:rsid w:val="000130AD"/>
    <w:rsid w:val="00014409"/>
    <w:rsid w:val="000149EF"/>
    <w:rsid w:val="00016682"/>
    <w:rsid w:val="00020448"/>
    <w:rsid w:val="00020B07"/>
    <w:rsid w:val="000211E6"/>
    <w:rsid w:val="000259F7"/>
    <w:rsid w:val="00031ACF"/>
    <w:rsid w:val="000363EA"/>
    <w:rsid w:val="00040F2E"/>
    <w:rsid w:val="000423E0"/>
    <w:rsid w:val="0005001B"/>
    <w:rsid w:val="00050967"/>
    <w:rsid w:val="0005207B"/>
    <w:rsid w:val="000544EE"/>
    <w:rsid w:val="000562F7"/>
    <w:rsid w:val="00060750"/>
    <w:rsid w:val="000660C2"/>
    <w:rsid w:val="000707D5"/>
    <w:rsid w:val="000707DC"/>
    <w:rsid w:val="0007137B"/>
    <w:rsid w:val="00073AE7"/>
    <w:rsid w:val="000741E2"/>
    <w:rsid w:val="0007498A"/>
    <w:rsid w:val="00074D75"/>
    <w:rsid w:val="00075D7E"/>
    <w:rsid w:val="000765FF"/>
    <w:rsid w:val="000771DA"/>
    <w:rsid w:val="000823C6"/>
    <w:rsid w:val="00082535"/>
    <w:rsid w:val="00083571"/>
    <w:rsid w:val="000843DF"/>
    <w:rsid w:val="00084ECD"/>
    <w:rsid w:val="0008725A"/>
    <w:rsid w:val="00091E4C"/>
    <w:rsid w:val="0009201B"/>
    <w:rsid w:val="00093D99"/>
    <w:rsid w:val="00093F55"/>
    <w:rsid w:val="00096762"/>
    <w:rsid w:val="000A0A1E"/>
    <w:rsid w:val="000A561E"/>
    <w:rsid w:val="000A5770"/>
    <w:rsid w:val="000A6468"/>
    <w:rsid w:val="000A65BE"/>
    <w:rsid w:val="000A6EF1"/>
    <w:rsid w:val="000A71B3"/>
    <w:rsid w:val="000A7FA1"/>
    <w:rsid w:val="000B0074"/>
    <w:rsid w:val="000B1096"/>
    <w:rsid w:val="000B27C6"/>
    <w:rsid w:val="000B2B37"/>
    <w:rsid w:val="000B645B"/>
    <w:rsid w:val="000B7CE6"/>
    <w:rsid w:val="000C3252"/>
    <w:rsid w:val="000C3776"/>
    <w:rsid w:val="000C5E0D"/>
    <w:rsid w:val="000D17EC"/>
    <w:rsid w:val="000D283F"/>
    <w:rsid w:val="000D319A"/>
    <w:rsid w:val="000D39A6"/>
    <w:rsid w:val="000D3EB7"/>
    <w:rsid w:val="000D4EC3"/>
    <w:rsid w:val="000D55EC"/>
    <w:rsid w:val="000D5DE2"/>
    <w:rsid w:val="000D6E6D"/>
    <w:rsid w:val="000E1105"/>
    <w:rsid w:val="000E1EEB"/>
    <w:rsid w:val="000E498B"/>
    <w:rsid w:val="000E4AE6"/>
    <w:rsid w:val="000F0983"/>
    <w:rsid w:val="000F0E4B"/>
    <w:rsid w:val="000F2543"/>
    <w:rsid w:val="000F36E2"/>
    <w:rsid w:val="000F7963"/>
    <w:rsid w:val="000F7D2E"/>
    <w:rsid w:val="001007CF"/>
    <w:rsid w:val="00101557"/>
    <w:rsid w:val="00101BE0"/>
    <w:rsid w:val="00101CA5"/>
    <w:rsid w:val="00102E20"/>
    <w:rsid w:val="00106D6E"/>
    <w:rsid w:val="0010706A"/>
    <w:rsid w:val="001072C5"/>
    <w:rsid w:val="001076CE"/>
    <w:rsid w:val="00111720"/>
    <w:rsid w:val="001118D6"/>
    <w:rsid w:val="00111F37"/>
    <w:rsid w:val="001123EA"/>
    <w:rsid w:val="00113FCF"/>
    <w:rsid w:val="001149B2"/>
    <w:rsid w:val="00117C3E"/>
    <w:rsid w:val="00124584"/>
    <w:rsid w:val="00135DE1"/>
    <w:rsid w:val="00143175"/>
    <w:rsid w:val="001447B0"/>
    <w:rsid w:val="00144D4C"/>
    <w:rsid w:val="00144D61"/>
    <w:rsid w:val="00146D6A"/>
    <w:rsid w:val="00147958"/>
    <w:rsid w:val="00147C51"/>
    <w:rsid w:val="00150CD1"/>
    <w:rsid w:val="00151F74"/>
    <w:rsid w:val="00152C8C"/>
    <w:rsid w:val="00152E47"/>
    <w:rsid w:val="001551D1"/>
    <w:rsid w:val="00155330"/>
    <w:rsid w:val="00156685"/>
    <w:rsid w:val="00156FC1"/>
    <w:rsid w:val="00170232"/>
    <w:rsid w:val="00170B66"/>
    <w:rsid w:val="00171762"/>
    <w:rsid w:val="00172E2E"/>
    <w:rsid w:val="001738E4"/>
    <w:rsid w:val="00174E59"/>
    <w:rsid w:val="0017551B"/>
    <w:rsid w:val="00177CB4"/>
    <w:rsid w:val="00180FFA"/>
    <w:rsid w:val="001812B7"/>
    <w:rsid w:val="00183DC1"/>
    <w:rsid w:val="0018705D"/>
    <w:rsid w:val="00190553"/>
    <w:rsid w:val="001914AB"/>
    <w:rsid w:val="00193D5C"/>
    <w:rsid w:val="00194F97"/>
    <w:rsid w:val="001A0946"/>
    <w:rsid w:val="001A1686"/>
    <w:rsid w:val="001A35CB"/>
    <w:rsid w:val="001A4A34"/>
    <w:rsid w:val="001B0276"/>
    <w:rsid w:val="001B46CA"/>
    <w:rsid w:val="001B4C43"/>
    <w:rsid w:val="001B7238"/>
    <w:rsid w:val="001B7C95"/>
    <w:rsid w:val="001C03E5"/>
    <w:rsid w:val="001C0B55"/>
    <w:rsid w:val="001C338E"/>
    <w:rsid w:val="001D0454"/>
    <w:rsid w:val="001D11E5"/>
    <w:rsid w:val="001D17F2"/>
    <w:rsid w:val="001D240E"/>
    <w:rsid w:val="001D6741"/>
    <w:rsid w:val="001D6BC1"/>
    <w:rsid w:val="001D73F6"/>
    <w:rsid w:val="001E0C7F"/>
    <w:rsid w:val="001E5F76"/>
    <w:rsid w:val="001F1C17"/>
    <w:rsid w:val="001F6360"/>
    <w:rsid w:val="001F71C8"/>
    <w:rsid w:val="002034E5"/>
    <w:rsid w:val="002041E6"/>
    <w:rsid w:val="00204453"/>
    <w:rsid w:val="002046FB"/>
    <w:rsid w:val="002054E0"/>
    <w:rsid w:val="0020619E"/>
    <w:rsid w:val="00206812"/>
    <w:rsid w:val="002129BA"/>
    <w:rsid w:val="00212B9A"/>
    <w:rsid w:val="00216D9F"/>
    <w:rsid w:val="002209A5"/>
    <w:rsid w:val="0022448C"/>
    <w:rsid w:val="00224F63"/>
    <w:rsid w:val="0022530B"/>
    <w:rsid w:val="00226016"/>
    <w:rsid w:val="002312ED"/>
    <w:rsid w:val="002336F1"/>
    <w:rsid w:val="002376B7"/>
    <w:rsid w:val="00237B33"/>
    <w:rsid w:val="0024017F"/>
    <w:rsid w:val="002401BF"/>
    <w:rsid w:val="00240259"/>
    <w:rsid w:val="00242135"/>
    <w:rsid w:val="00243D5F"/>
    <w:rsid w:val="002457A2"/>
    <w:rsid w:val="00246C7D"/>
    <w:rsid w:val="002518E1"/>
    <w:rsid w:val="00255277"/>
    <w:rsid w:val="0026178B"/>
    <w:rsid w:val="00261FB6"/>
    <w:rsid w:val="002637A2"/>
    <w:rsid w:val="00265D91"/>
    <w:rsid w:val="00267FF9"/>
    <w:rsid w:val="00274A42"/>
    <w:rsid w:val="00281754"/>
    <w:rsid w:val="0028434E"/>
    <w:rsid w:val="002846B9"/>
    <w:rsid w:val="002874A8"/>
    <w:rsid w:val="00287AD3"/>
    <w:rsid w:val="00292110"/>
    <w:rsid w:val="00292835"/>
    <w:rsid w:val="00292E14"/>
    <w:rsid w:val="002931D0"/>
    <w:rsid w:val="002942A6"/>
    <w:rsid w:val="002A0336"/>
    <w:rsid w:val="002A0780"/>
    <w:rsid w:val="002A0812"/>
    <w:rsid w:val="002A2B14"/>
    <w:rsid w:val="002A2BCD"/>
    <w:rsid w:val="002A494B"/>
    <w:rsid w:val="002A4DD3"/>
    <w:rsid w:val="002A5332"/>
    <w:rsid w:val="002A7FDB"/>
    <w:rsid w:val="002B434A"/>
    <w:rsid w:val="002B5A1C"/>
    <w:rsid w:val="002B6CF4"/>
    <w:rsid w:val="002C0D1D"/>
    <w:rsid w:val="002C1C6A"/>
    <w:rsid w:val="002C53FB"/>
    <w:rsid w:val="002C6E9A"/>
    <w:rsid w:val="002C79C7"/>
    <w:rsid w:val="002E28CB"/>
    <w:rsid w:val="002E48B9"/>
    <w:rsid w:val="002E48DE"/>
    <w:rsid w:val="002F6DB3"/>
    <w:rsid w:val="002F7F94"/>
    <w:rsid w:val="00303C72"/>
    <w:rsid w:val="0030417D"/>
    <w:rsid w:val="0030499B"/>
    <w:rsid w:val="00304B73"/>
    <w:rsid w:val="00304DD0"/>
    <w:rsid w:val="00306859"/>
    <w:rsid w:val="003108DB"/>
    <w:rsid w:val="00310B81"/>
    <w:rsid w:val="00311071"/>
    <w:rsid w:val="00311234"/>
    <w:rsid w:val="003131DF"/>
    <w:rsid w:val="00313443"/>
    <w:rsid w:val="003142FD"/>
    <w:rsid w:val="00314388"/>
    <w:rsid w:val="0031662C"/>
    <w:rsid w:val="0031673D"/>
    <w:rsid w:val="00316A47"/>
    <w:rsid w:val="00316F27"/>
    <w:rsid w:val="0032002B"/>
    <w:rsid w:val="003209F2"/>
    <w:rsid w:val="003234D5"/>
    <w:rsid w:val="0032621C"/>
    <w:rsid w:val="003309D2"/>
    <w:rsid w:val="00330D0E"/>
    <w:rsid w:val="00333CDF"/>
    <w:rsid w:val="00335E4B"/>
    <w:rsid w:val="00336635"/>
    <w:rsid w:val="00336911"/>
    <w:rsid w:val="003370E6"/>
    <w:rsid w:val="00342560"/>
    <w:rsid w:val="003450CB"/>
    <w:rsid w:val="00345576"/>
    <w:rsid w:val="003458C1"/>
    <w:rsid w:val="00351703"/>
    <w:rsid w:val="003550AF"/>
    <w:rsid w:val="00355C0C"/>
    <w:rsid w:val="0035777B"/>
    <w:rsid w:val="00357D56"/>
    <w:rsid w:val="0036015F"/>
    <w:rsid w:val="00363A89"/>
    <w:rsid w:val="00366841"/>
    <w:rsid w:val="00366989"/>
    <w:rsid w:val="00371B4A"/>
    <w:rsid w:val="0037244D"/>
    <w:rsid w:val="00372D47"/>
    <w:rsid w:val="00377BCE"/>
    <w:rsid w:val="00377FF0"/>
    <w:rsid w:val="00382482"/>
    <w:rsid w:val="00384E8A"/>
    <w:rsid w:val="003852F2"/>
    <w:rsid w:val="003861A7"/>
    <w:rsid w:val="00393566"/>
    <w:rsid w:val="0039426E"/>
    <w:rsid w:val="00395E01"/>
    <w:rsid w:val="0039686F"/>
    <w:rsid w:val="003A078C"/>
    <w:rsid w:val="003A13D0"/>
    <w:rsid w:val="003A2AF1"/>
    <w:rsid w:val="003A3473"/>
    <w:rsid w:val="003A6334"/>
    <w:rsid w:val="003B0B68"/>
    <w:rsid w:val="003B0CD8"/>
    <w:rsid w:val="003B391D"/>
    <w:rsid w:val="003B3B33"/>
    <w:rsid w:val="003B4739"/>
    <w:rsid w:val="003B4AD2"/>
    <w:rsid w:val="003B56CF"/>
    <w:rsid w:val="003B642D"/>
    <w:rsid w:val="003B65EC"/>
    <w:rsid w:val="003B6815"/>
    <w:rsid w:val="003C03EE"/>
    <w:rsid w:val="003C12EC"/>
    <w:rsid w:val="003C19A6"/>
    <w:rsid w:val="003C1C7E"/>
    <w:rsid w:val="003C2932"/>
    <w:rsid w:val="003C301E"/>
    <w:rsid w:val="003C361F"/>
    <w:rsid w:val="003C4401"/>
    <w:rsid w:val="003C47BD"/>
    <w:rsid w:val="003C79C1"/>
    <w:rsid w:val="003D0D20"/>
    <w:rsid w:val="003D195E"/>
    <w:rsid w:val="003E01C4"/>
    <w:rsid w:val="003E11EB"/>
    <w:rsid w:val="003E1B69"/>
    <w:rsid w:val="003E30C5"/>
    <w:rsid w:val="003E5ED4"/>
    <w:rsid w:val="003F084B"/>
    <w:rsid w:val="003F2A5E"/>
    <w:rsid w:val="003F51B2"/>
    <w:rsid w:val="003F57D0"/>
    <w:rsid w:val="003F59BE"/>
    <w:rsid w:val="003F6E34"/>
    <w:rsid w:val="004022BA"/>
    <w:rsid w:val="004026DD"/>
    <w:rsid w:val="00402CE5"/>
    <w:rsid w:val="00403620"/>
    <w:rsid w:val="00404C61"/>
    <w:rsid w:val="0040598D"/>
    <w:rsid w:val="00405A8E"/>
    <w:rsid w:val="00407001"/>
    <w:rsid w:val="004161A7"/>
    <w:rsid w:val="004167A5"/>
    <w:rsid w:val="00420F4B"/>
    <w:rsid w:val="00421A6E"/>
    <w:rsid w:val="00427116"/>
    <w:rsid w:val="00430410"/>
    <w:rsid w:val="00433240"/>
    <w:rsid w:val="00435901"/>
    <w:rsid w:val="00441305"/>
    <w:rsid w:val="004424D7"/>
    <w:rsid w:val="0044330B"/>
    <w:rsid w:val="00446219"/>
    <w:rsid w:val="00447258"/>
    <w:rsid w:val="00450AD2"/>
    <w:rsid w:val="004515B3"/>
    <w:rsid w:val="00455132"/>
    <w:rsid w:val="004551B4"/>
    <w:rsid w:val="0045741E"/>
    <w:rsid w:val="004575E4"/>
    <w:rsid w:val="00460732"/>
    <w:rsid w:val="00460AB7"/>
    <w:rsid w:val="0046417C"/>
    <w:rsid w:val="00467318"/>
    <w:rsid w:val="0047295E"/>
    <w:rsid w:val="004732D7"/>
    <w:rsid w:val="00474A09"/>
    <w:rsid w:val="00476C9A"/>
    <w:rsid w:val="0047744A"/>
    <w:rsid w:val="004841AF"/>
    <w:rsid w:val="00485FA7"/>
    <w:rsid w:val="0049077F"/>
    <w:rsid w:val="004919AC"/>
    <w:rsid w:val="0049274D"/>
    <w:rsid w:val="004A4615"/>
    <w:rsid w:val="004A7924"/>
    <w:rsid w:val="004B0F6B"/>
    <w:rsid w:val="004B205F"/>
    <w:rsid w:val="004B3D46"/>
    <w:rsid w:val="004B4FDC"/>
    <w:rsid w:val="004B6637"/>
    <w:rsid w:val="004B6B77"/>
    <w:rsid w:val="004C1069"/>
    <w:rsid w:val="004C4258"/>
    <w:rsid w:val="004C5576"/>
    <w:rsid w:val="004C5BA5"/>
    <w:rsid w:val="004C7A9A"/>
    <w:rsid w:val="004D1742"/>
    <w:rsid w:val="004D32F2"/>
    <w:rsid w:val="004D4151"/>
    <w:rsid w:val="004D5C15"/>
    <w:rsid w:val="004E16CA"/>
    <w:rsid w:val="004E1EAF"/>
    <w:rsid w:val="004E47EF"/>
    <w:rsid w:val="004E4EF9"/>
    <w:rsid w:val="004E5E1A"/>
    <w:rsid w:val="004E61B1"/>
    <w:rsid w:val="004E7BBA"/>
    <w:rsid w:val="004F2137"/>
    <w:rsid w:val="004F4378"/>
    <w:rsid w:val="004F49F0"/>
    <w:rsid w:val="004F6572"/>
    <w:rsid w:val="00500CB1"/>
    <w:rsid w:val="00504597"/>
    <w:rsid w:val="00507D86"/>
    <w:rsid w:val="0051225C"/>
    <w:rsid w:val="00514330"/>
    <w:rsid w:val="00516810"/>
    <w:rsid w:val="005200DC"/>
    <w:rsid w:val="00521A26"/>
    <w:rsid w:val="0052327B"/>
    <w:rsid w:val="005309D5"/>
    <w:rsid w:val="00530E61"/>
    <w:rsid w:val="00531FB0"/>
    <w:rsid w:val="005323F7"/>
    <w:rsid w:val="00535D74"/>
    <w:rsid w:val="00537A0F"/>
    <w:rsid w:val="00542CCB"/>
    <w:rsid w:val="00543A9F"/>
    <w:rsid w:val="005442F4"/>
    <w:rsid w:val="00545914"/>
    <w:rsid w:val="00545D79"/>
    <w:rsid w:val="005461E2"/>
    <w:rsid w:val="00551973"/>
    <w:rsid w:val="00560901"/>
    <w:rsid w:val="00560A0D"/>
    <w:rsid w:val="00564446"/>
    <w:rsid w:val="00565935"/>
    <w:rsid w:val="00567C40"/>
    <w:rsid w:val="00570227"/>
    <w:rsid w:val="0057550B"/>
    <w:rsid w:val="005765BF"/>
    <w:rsid w:val="00577B7B"/>
    <w:rsid w:val="005802A1"/>
    <w:rsid w:val="00581F6F"/>
    <w:rsid w:val="00582992"/>
    <w:rsid w:val="00582A5C"/>
    <w:rsid w:val="00586B62"/>
    <w:rsid w:val="00587B6E"/>
    <w:rsid w:val="00590E3D"/>
    <w:rsid w:val="005933D3"/>
    <w:rsid w:val="00593AF3"/>
    <w:rsid w:val="00594C69"/>
    <w:rsid w:val="00594CAF"/>
    <w:rsid w:val="00597E07"/>
    <w:rsid w:val="00597F92"/>
    <w:rsid w:val="005A18F4"/>
    <w:rsid w:val="005A1E79"/>
    <w:rsid w:val="005A27F5"/>
    <w:rsid w:val="005A4284"/>
    <w:rsid w:val="005A4EF7"/>
    <w:rsid w:val="005A6EA9"/>
    <w:rsid w:val="005A6FB7"/>
    <w:rsid w:val="005B08BE"/>
    <w:rsid w:val="005B0AD1"/>
    <w:rsid w:val="005B2500"/>
    <w:rsid w:val="005B3A4E"/>
    <w:rsid w:val="005B3DF4"/>
    <w:rsid w:val="005B4EAB"/>
    <w:rsid w:val="005B642E"/>
    <w:rsid w:val="005B6E38"/>
    <w:rsid w:val="005B6E63"/>
    <w:rsid w:val="005C1229"/>
    <w:rsid w:val="005C2A54"/>
    <w:rsid w:val="005D0233"/>
    <w:rsid w:val="005D0BD3"/>
    <w:rsid w:val="005D2599"/>
    <w:rsid w:val="005D328F"/>
    <w:rsid w:val="005D3E8A"/>
    <w:rsid w:val="005D4174"/>
    <w:rsid w:val="005D457F"/>
    <w:rsid w:val="005D4BC6"/>
    <w:rsid w:val="005D514E"/>
    <w:rsid w:val="005D5B85"/>
    <w:rsid w:val="005E042C"/>
    <w:rsid w:val="005E10F1"/>
    <w:rsid w:val="005E2755"/>
    <w:rsid w:val="005E3E4F"/>
    <w:rsid w:val="005E5322"/>
    <w:rsid w:val="005E5A0E"/>
    <w:rsid w:val="005E69DF"/>
    <w:rsid w:val="005F2961"/>
    <w:rsid w:val="005F2A45"/>
    <w:rsid w:val="005F38FF"/>
    <w:rsid w:val="005F3BB2"/>
    <w:rsid w:val="005F5106"/>
    <w:rsid w:val="005F7B1C"/>
    <w:rsid w:val="00600FB9"/>
    <w:rsid w:val="0060100F"/>
    <w:rsid w:val="0060338C"/>
    <w:rsid w:val="006037AF"/>
    <w:rsid w:val="006038E1"/>
    <w:rsid w:val="00603ED9"/>
    <w:rsid w:val="0061124D"/>
    <w:rsid w:val="0061383B"/>
    <w:rsid w:val="00613D0C"/>
    <w:rsid w:val="006166F9"/>
    <w:rsid w:val="00621EDA"/>
    <w:rsid w:val="00622478"/>
    <w:rsid w:val="00623E8B"/>
    <w:rsid w:val="0062582F"/>
    <w:rsid w:val="00625894"/>
    <w:rsid w:val="00631347"/>
    <w:rsid w:val="006313E3"/>
    <w:rsid w:val="006328E6"/>
    <w:rsid w:val="00633051"/>
    <w:rsid w:val="006359FF"/>
    <w:rsid w:val="006362F4"/>
    <w:rsid w:val="00637071"/>
    <w:rsid w:val="00637414"/>
    <w:rsid w:val="0064076D"/>
    <w:rsid w:val="0064082E"/>
    <w:rsid w:val="00641D42"/>
    <w:rsid w:val="00643966"/>
    <w:rsid w:val="00651D05"/>
    <w:rsid w:val="00652BD2"/>
    <w:rsid w:val="006572FF"/>
    <w:rsid w:val="006574E4"/>
    <w:rsid w:val="00661DCE"/>
    <w:rsid w:val="00663567"/>
    <w:rsid w:val="00663D08"/>
    <w:rsid w:val="00663EC5"/>
    <w:rsid w:val="006664B0"/>
    <w:rsid w:val="00667552"/>
    <w:rsid w:val="00674EC4"/>
    <w:rsid w:val="006766E2"/>
    <w:rsid w:val="00676A2D"/>
    <w:rsid w:val="0067722B"/>
    <w:rsid w:val="00677D5B"/>
    <w:rsid w:val="006802C1"/>
    <w:rsid w:val="00683537"/>
    <w:rsid w:val="006843AC"/>
    <w:rsid w:val="00685D87"/>
    <w:rsid w:val="00687CD9"/>
    <w:rsid w:val="00690D3C"/>
    <w:rsid w:val="0069415B"/>
    <w:rsid w:val="006959FE"/>
    <w:rsid w:val="00696BE6"/>
    <w:rsid w:val="00697F6D"/>
    <w:rsid w:val="006A1511"/>
    <w:rsid w:val="006A23A0"/>
    <w:rsid w:val="006A4017"/>
    <w:rsid w:val="006A5108"/>
    <w:rsid w:val="006B002D"/>
    <w:rsid w:val="006B106F"/>
    <w:rsid w:val="006B2709"/>
    <w:rsid w:val="006B3380"/>
    <w:rsid w:val="006B38B9"/>
    <w:rsid w:val="006B5614"/>
    <w:rsid w:val="006C0BC8"/>
    <w:rsid w:val="006C1F87"/>
    <w:rsid w:val="006C69B2"/>
    <w:rsid w:val="006D0AA0"/>
    <w:rsid w:val="006D11B5"/>
    <w:rsid w:val="006D18B6"/>
    <w:rsid w:val="006D4278"/>
    <w:rsid w:val="006D439E"/>
    <w:rsid w:val="006D5E7D"/>
    <w:rsid w:val="006D75BD"/>
    <w:rsid w:val="006D7F35"/>
    <w:rsid w:val="006E30D3"/>
    <w:rsid w:val="006E5C7F"/>
    <w:rsid w:val="006E71ED"/>
    <w:rsid w:val="006F04C1"/>
    <w:rsid w:val="006F37BB"/>
    <w:rsid w:val="006F3EF7"/>
    <w:rsid w:val="006F4E06"/>
    <w:rsid w:val="00700142"/>
    <w:rsid w:val="00703B58"/>
    <w:rsid w:val="00706070"/>
    <w:rsid w:val="007070F9"/>
    <w:rsid w:val="00710EE1"/>
    <w:rsid w:val="0071237F"/>
    <w:rsid w:val="007132B9"/>
    <w:rsid w:val="007150D3"/>
    <w:rsid w:val="00717240"/>
    <w:rsid w:val="00721A8F"/>
    <w:rsid w:val="007222E5"/>
    <w:rsid w:val="00727CB0"/>
    <w:rsid w:val="00730C98"/>
    <w:rsid w:val="007324A4"/>
    <w:rsid w:val="00732B21"/>
    <w:rsid w:val="007363B5"/>
    <w:rsid w:val="00742B2F"/>
    <w:rsid w:val="007520BB"/>
    <w:rsid w:val="007537DF"/>
    <w:rsid w:val="007615FE"/>
    <w:rsid w:val="00761711"/>
    <w:rsid w:val="00761E23"/>
    <w:rsid w:val="00761E4E"/>
    <w:rsid w:val="00762193"/>
    <w:rsid w:val="0076276E"/>
    <w:rsid w:val="00765248"/>
    <w:rsid w:val="007678EB"/>
    <w:rsid w:val="007742A0"/>
    <w:rsid w:val="007760CD"/>
    <w:rsid w:val="00776F64"/>
    <w:rsid w:val="00785002"/>
    <w:rsid w:val="0078509D"/>
    <w:rsid w:val="00785148"/>
    <w:rsid w:val="0078571C"/>
    <w:rsid w:val="00791C16"/>
    <w:rsid w:val="00793003"/>
    <w:rsid w:val="0079351F"/>
    <w:rsid w:val="007A0BAC"/>
    <w:rsid w:val="007A51B1"/>
    <w:rsid w:val="007B13DA"/>
    <w:rsid w:val="007B15AB"/>
    <w:rsid w:val="007B1CE9"/>
    <w:rsid w:val="007B4D9F"/>
    <w:rsid w:val="007B7C82"/>
    <w:rsid w:val="007C20DE"/>
    <w:rsid w:val="007C31A2"/>
    <w:rsid w:val="007C3226"/>
    <w:rsid w:val="007C3415"/>
    <w:rsid w:val="007C3470"/>
    <w:rsid w:val="007C3689"/>
    <w:rsid w:val="007C5262"/>
    <w:rsid w:val="007C6F21"/>
    <w:rsid w:val="007C7419"/>
    <w:rsid w:val="007D03D1"/>
    <w:rsid w:val="007D1251"/>
    <w:rsid w:val="007D21E7"/>
    <w:rsid w:val="007D44B3"/>
    <w:rsid w:val="007D628B"/>
    <w:rsid w:val="007D6DD1"/>
    <w:rsid w:val="007D7503"/>
    <w:rsid w:val="007E229E"/>
    <w:rsid w:val="007E3439"/>
    <w:rsid w:val="007E42CD"/>
    <w:rsid w:val="007E4C30"/>
    <w:rsid w:val="007F4E4C"/>
    <w:rsid w:val="007F560D"/>
    <w:rsid w:val="007F6CA9"/>
    <w:rsid w:val="007F70F0"/>
    <w:rsid w:val="007F7CF1"/>
    <w:rsid w:val="007F7DE8"/>
    <w:rsid w:val="00800DCF"/>
    <w:rsid w:val="008029A8"/>
    <w:rsid w:val="00802B6C"/>
    <w:rsid w:val="00802BBE"/>
    <w:rsid w:val="00803DB4"/>
    <w:rsid w:val="008047A3"/>
    <w:rsid w:val="00804C08"/>
    <w:rsid w:val="00805129"/>
    <w:rsid w:val="008051B7"/>
    <w:rsid w:val="008073D2"/>
    <w:rsid w:val="00807430"/>
    <w:rsid w:val="00811D91"/>
    <w:rsid w:val="00812D24"/>
    <w:rsid w:val="00813D35"/>
    <w:rsid w:val="0082036D"/>
    <w:rsid w:val="00822796"/>
    <w:rsid w:val="008244EE"/>
    <w:rsid w:val="00824F76"/>
    <w:rsid w:val="00825995"/>
    <w:rsid w:val="00830056"/>
    <w:rsid w:val="0083211D"/>
    <w:rsid w:val="008353C6"/>
    <w:rsid w:val="00836B30"/>
    <w:rsid w:val="00844CF0"/>
    <w:rsid w:val="00845AAC"/>
    <w:rsid w:val="00845D37"/>
    <w:rsid w:val="008509F3"/>
    <w:rsid w:val="008512F7"/>
    <w:rsid w:val="008515BB"/>
    <w:rsid w:val="00853BA2"/>
    <w:rsid w:val="00855257"/>
    <w:rsid w:val="008572E6"/>
    <w:rsid w:val="00860029"/>
    <w:rsid w:val="00860975"/>
    <w:rsid w:val="008614B5"/>
    <w:rsid w:val="008632DB"/>
    <w:rsid w:val="00863FE3"/>
    <w:rsid w:val="0086519B"/>
    <w:rsid w:val="00866112"/>
    <w:rsid w:val="00866F9E"/>
    <w:rsid w:val="0087099E"/>
    <w:rsid w:val="0087439D"/>
    <w:rsid w:val="00874E38"/>
    <w:rsid w:val="00875F06"/>
    <w:rsid w:val="00877656"/>
    <w:rsid w:val="00877B4E"/>
    <w:rsid w:val="00880CC5"/>
    <w:rsid w:val="008868C2"/>
    <w:rsid w:val="0088786A"/>
    <w:rsid w:val="008908BC"/>
    <w:rsid w:val="00896B68"/>
    <w:rsid w:val="008A0BCF"/>
    <w:rsid w:val="008A10F9"/>
    <w:rsid w:val="008A3FEA"/>
    <w:rsid w:val="008A55F8"/>
    <w:rsid w:val="008A62FA"/>
    <w:rsid w:val="008A7888"/>
    <w:rsid w:val="008B0986"/>
    <w:rsid w:val="008B17DC"/>
    <w:rsid w:val="008B4242"/>
    <w:rsid w:val="008B46E6"/>
    <w:rsid w:val="008B7BBB"/>
    <w:rsid w:val="008C05E7"/>
    <w:rsid w:val="008C2014"/>
    <w:rsid w:val="008C3E73"/>
    <w:rsid w:val="008C4B52"/>
    <w:rsid w:val="008C4F2A"/>
    <w:rsid w:val="008C5D9C"/>
    <w:rsid w:val="008C6B98"/>
    <w:rsid w:val="008C72B2"/>
    <w:rsid w:val="008C7AD9"/>
    <w:rsid w:val="008D072B"/>
    <w:rsid w:val="008D1855"/>
    <w:rsid w:val="008D38F8"/>
    <w:rsid w:val="008D5ECC"/>
    <w:rsid w:val="008D683E"/>
    <w:rsid w:val="008D7251"/>
    <w:rsid w:val="008E1FCC"/>
    <w:rsid w:val="008E2752"/>
    <w:rsid w:val="008E361D"/>
    <w:rsid w:val="008E3F4D"/>
    <w:rsid w:val="008E5C24"/>
    <w:rsid w:val="008E70E1"/>
    <w:rsid w:val="008F07C4"/>
    <w:rsid w:val="008F386F"/>
    <w:rsid w:val="008F3CA3"/>
    <w:rsid w:val="008F4337"/>
    <w:rsid w:val="008F7B0A"/>
    <w:rsid w:val="009012FB"/>
    <w:rsid w:val="0090406C"/>
    <w:rsid w:val="0090680E"/>
    <w:rsid w:val="009101F3"/>
    <w:rsid w:val="009111F8"/>
    <w:rsid w:val="009113F4"/>
    <w:rsid w:val="00911D5A"/>
    <w:rsid w:val="00912909"/>
    <w:rsid w:val="00916815"/>
    <w:rsid w:val="00920372"/>
    <w:rsid w:val="009212BD"/>
    <w:rsid w:val="00921872"/>
    <w:rsid w:val="0092341F"/>
    <w:rsid w:val="009254FC"/>
    <w:rsid w:val="00930FCE"/>
    <w:rsid w:val="009336CA"/>
    <w:rsid w:val="00934B5E"/>
    <w:rsid w:val="009350C0"/>
    <w:rsid w:val="00936937"/>
    <w:rsid w:val="00940298"/>
    <w:rsid w:val="009412D6"/>
    <w:rsid w:val="00941C02"/>
    <w:rsid w:val="00941C7A"/>
    <w:rsid w:val="0094349D"/>
    <w:rsid w:val="00943A66"/>
    <w:rsid w:val="009459E4"/>
    <w:rsid w:val="00953A0B"/>
    <w:rsid w:val="009548BC"/>
    <w:rsid w:val="00955117"/>
    <w:rsid w:val="0095592A"/>
    <w:rsid w:val="0095681B"/>
    <w:rsid w:val="00963CD7"/>
    <w:rsid w:val="00966847"/>
    <w:rsid w:val="00966F45"/>
    <w:rsid w:val="009801EF"/>
    <w:rsid w:val="00980DA8"/>
    <w:rsid w:val="00981280"/>
    <w:rsid w:val="00983907"/>
    <w:rsid w:val="00986E38"/>
    <w:rsid w:val="0098784F"/>
    <w:rsid w:val="00987A7E"/>
    <w:rsid w:val="009917AC"/>
    <w:rsid w:val="009939C6"/>
    <w:rsid w:val="00993A62"/>
    <w:rsid w:val="00995407"/>
    <w:rsid w:val="00995822"/>
    <w:rsid w:val="00995D0B"/>
    <w:rsid w:val="009A0BE1"/>
    <w:rsid w:val="009A1443"/>
    <w:rsid w:val="009A2436"/>
    <w:rsid w:val="009A2541"/>
    <w:rsid w:val="009A2853"/>
    <w:rsid w:val="009A3693"/>
    <w:rsid w:val="009A3D25"/>
    <w:rsid w:val="009A4E58"/>
    <w:rsid w:val="009A5837"/>
    <w:rsid w:val="009A5C8C"/>
    <w:rsid w:val="009A60CE"/>
    <w:rsid w:val="009A7CF0"/>
    <w:rsid w:val="009B11F5"/>
    <w:rsid w:val="009B2FCC"/>
    <w:rsid w:val="009B4124"/>
    <w:rsid w:val="009B4401"/>
    <w:rsid w:val="009C2693"/>
    <w:rsid w:val="009C5F06"/>
    <w:rsid w:val="009D02FA"/>
    <w:rsid w:val="009D35FE"/>
    <w:rsid w:val="009D6BBA"/>
    <w:rsid w:val="009D7072"/>
    <w:rsid w:val="009D726F"/>
    <w:rsid w:val="009D72F7"/>
    <w:rsid w:val="009D7F99"/>
    <w:rsid w:val="009E25C1"/>
    <w:rsid w:val="009E335F"/>
    <w:rsid w:val="009E37D2"/>
    <w:rsid w:val="009E64E0"/>
    <w:rsid w:val="009F1564"/>
    <w:rsid w:val="009F3B78"/>
    <w:rsid w:val="009F3D51"/>
    <w:rsid w:val="009F48F9"/>
    <w:rsid w:val="009F4BF3"/>
    <w:rsid w:val="009F521D"/>
    <w:rsid w:val="009F540A"/>
    <w:rsid w:val="009F5EEC"/>
    <w:rsid w:val="009F66FE"/>
    <w:rsid w:val="00A00AF6"/>
    <w:rsid w:val="00A011A2"/>
    <w:rsid w:val="00A017E7"/>
    <w:rsid w:val="00A04034"/>
    <w:rsid w:val="00A04394"/>
    <w:rsid w:val="00A059C5"/>
    <w:rsid w:val="00A100C4"/>
    <w:rsid w:val="00A101B3"/>
    <w:rsid w:val="00A10401"/>
    <w:rsid w:val="00A1053C"/>
    <w:rsid w:val="00A1210A"/>
    <w:rsid w:val="00A1476D"/>
    <w:rsid w:val="00A147E3"/>
    <w:rsid w:val="00A1519B"/>
    <w:rsid w:val="00A157EC"/>
    <w:rsid w:val="00A17CFA"/>
    <w:rsid w:val="00A17E47"/>
    <w:rsid w:val="00A22D44"/>
    <w:rsid w:val="00A22DE0"/>
    <w:rsid w:val="00A230A9"/>
    <w:rsid w:val="00A23BD9"/>
    <w:rsid w:val="00A25618"/>
    <w:rsid w:val="00A27908"/>
    <w:rsid w:val="00A27D75"/>
    <w:rsid w:val="00A32619"/>
    <w:rsid w:val="00A33131"/>
    <w:rsid w:val="00A34973"/>
    <w:rsid w:val="00A34BB0"/>
    <w:rsid w:val="00A35CF7"/>
    <w:rsid w:val="00A36157"/>
    <w:rsid w:val="00A40AB8"/>
    <w:rsid w:val="00A42C96"/>
    <w:rsid w:val="00A44FB2"/>
    <w:rsid w:val="00A458B2"/>
    <w:rsid w:val="00A465D3"/>
    <w:rsid w:val="00A46FD3"/>
    <w:rsid w:val="00A51EC0"/>
    <w:rsid w:val="00A522A6"/>
    <w:rsid w:val="00A532DB"/>
    <w:rsid w:val="00A562CB"/>
    <w:rsid w:val="00A56300"/>
    <w:rsid w:val="00A60FF0"/>
    <w:rsid w:val="00A614CC"/>
    <w:rsid w:val="00A62CB0"/>
    <w:rsid w:val="00A62D93"/>
    <w:rsid w:val="00A64B42"/>
    <w:rsid w:val="00A77A08"/>
    <w:rsid w:val="00A77F16"/>
    <w:rsid w:val="00A806BE"/>
    <w:rsid w:val="00A813B2"/>
    <w:rsid w:val="00A823D1"/>
    <w:rsid w:val="00A847A1"/>
    <w:rsid w:val="00A84BC1"/>
    <w:rsid w:val="00A864E5"/>
    <w:rsid w:val="00A92A29"/>
    <w:rsid w:val="00AA0041"/>
    <w:rsid w:val="00AA3621"/>
    <w:rsid w:val="00AA3E96"/>
    <w:rsid w:val="00AA5FFB"/>
    <w:rsid w:val="00AA64BA"/>
    <w:rsid w:val="00AA65AC"/>
    <w:rsid w:val="00AA6C25"/>
    <w:rsid w:val="00AA6CD2"/>
    <w:rsid w:val="00AB10A9"/>
    <w:rsid w:val="00AB1387"/>
    <w:rsid w:val="00AB1852"/>
    <w:rsid w:val="00AB388B"/>
    <w:rsid w:val="00AB53F2"/>
    <w:rsid w:val="00AB5C2C"/>
    <w:rsid w:val="00AB6BBC"/>
    <w:rsid w:val="00AB7CD0"/>
    <w:rsid w:val="00AB7D27"/>
    <w:rsid w:val="00AB7F52"/>
    <w:rsid w:val="00AC0F38"/>
    <w:rsid w:val="00AC735E"/>
    <w:rsid w:val="00AD122C"/>
    <w:rsid w:val="00AD4FF6"/>
    <w:rsid w:val="00AD5358"/>
    <w:rsid w:val="00AD68C5"/>
    <w:rsid w:val="00AE22AC"/>
    <w:rsid w:val="00AE2913"/>
    <w:rsid w:val="00AE2C1E"/>
    <w:rsid w:val="00AE4999"/>
    <w:rsid w:val="00AE7320"/>
    <w:rsid w:val="00AE78B9"/>
    <w:rsid w:val="00AF03DF"/>
    <w:rsid w:val="00AF0954"/>
    <w:rsid w:val="00AF53FC"/>
    <w:rsid w:val="00AF6476"/>
    <w:rsid w:val="00AF685E"/>
    <w:rsid w:val="00AF7798"/>
    <w:rsid w:val="00B000DC"/>
    <w:rsid w:val="00B014B4"/>
    <w:rsid w:val="00B01905"/>
    <w:rsid w:val="00B03CA6"/>
    <w:rsid w:val="00B0792D"/>
    <w:rsid w:val="00B11A11"/>
    <w:rsid w:val="00B12B61"/>
    <w:rsid w:val="00B12FA6"/>
    <w:rsid w:val="00B135F2"/>
    <w:rsid w:val="00B13922"/>
    <w:rsid w:val="00B16033"/>
    <w:rsid w:val="00B17E89"/>
    <w:rsid w:val="00B201A4"/>
    <w:rsid w:val="00B218DC"/>
    <w:rsid w:val="00B22993"/>
    <w:rsid w:val="00B229A8"/>
    <w:rsid w:val="00B24D01"/>
    <w:rsid w:val="00B26ADC"/>
    <w:rsid w:val="00B26F5C"/>
    <w:rsid w:val="00B32336"/>
    <w:rsid w:val="00B332EE"/>
    <w:rsid w:val="00B354C5"/>
    <w:rsid w:val="00B41498"/>
    <w:rsid w:val="00B416A6"/>
    <w:rsid w:val="00B4308D"/>
    <w:rsid w:val="00B43E36"/>
    <w:rsid w:val="00B44E5F"/>
    <w:rsid w:val="00B45036"/>
    <w:rsid w:val="00B465C8"/>
    <w:rsid w:val="00B46A52"/>
    <w:rsid w:val="00B542CC"/>
    <w:rsid w:val="00B54D9B"/>
    <w:rsid w:val="00B5540D"/>
    <w:rsid w:val="00B60FA5"/>
    <w:rsid w:val="00B63B29"/>
    <w:rsid w:val="00B656C4"/>
    <w:rsid w:val="00B665E1"/>
    <w:rsid w:val="00B67572"/>
    <w:rsid w:val="00B720EA"/>
    <w:rsid w:val="00B72ED3"/>
    <w:rsid w:val="00B72FD0"/>
    <w:rsid w:val="00B73384"/>
    <w:rsid w:val="00B75173"/>
    <w:rsid w:val="00B75945"/>
    <w:rsid w:val="00B77543"/>
    <w:rsid w:val="00B80500"/>
    <w:rsid w:val="00B828BD"/>
    <w:rsid w:val="00B862DD"/>
    <w:rsid w:val="00B86745"/>
    <w:rsid w:val="00B87911"/>
    <w:rsid w:val="00B90B25"/>
    <w:rsid w:val="00B90E36"/>
    <w:rsid w:val="00B922F5"/>
    <w:rsid w:val="00B9716C"/>
    <w:rsid w:val="00BA0111"/>
    <w:rsid w:val="00BA16DC"/>
    <w:rsid w:val="00BA1AC4"/>
    <w:rsid w:val="00BA4EF4"/>
    <w:rsid w:val="00BA6E84"/>
    <w:rsid w:val="00BB056C"/>
    <w:rsid w:val="00BB50B8"/>
    <w:rsid w:val="00BC0462"/>
    <w:rsid w:val="00BC1770"/>
    <w:rsid w:val="00BC1AF8"/>
    <w:rsid w:val="00BC2A3F"/>
    <w:rsid w:val="00BC52AF"/>
    <w:rsid w:val="00BC5483"/>
    <w:rsid w:val="00BC7E61"/>
    <w:rsid w:val="00BD0925"/>
    <w:rsid w:val="00BD179E"/>
    <w:rsid w:val="00BD29A4"/>
    <w:rsid w:val="00BD4368"/>
    <w:rsid w:val="00BD74BF"/>
    <w:rsid w:val="00BD7B76"/>
    <w:rsid w:val="00BE076E"/>
    <w:rsid w:val="00BE1084"/>
    <w:rsid w:val="00BE164C"/>
    <w:rsid w:val="00BE1A41"/>
    <w:rsid w:val="00BE47FA"/>
    <w:rsid w:val="00BE4B44"/>
    <w:rsid w:val="00BE4DC7"/>
    <w:rsid w:val="00BE7434"/>
    <w:rsid w:val="00BF0E46"/>
    <w:rsid w:val="00BF1191"/>
    <w:rsid w:val="00BF150B"/>
    <w:rsid w:val="00BF2CEF"/>
    <w:rsid w:val="00BF2E21"/>
    <w:rsid w:val="00BF3A6D"/>
    <w:rsid w:val="00BF400B"/>
    <w:rsid w:val="00BF741D"/>
    <w:rsid w:val="00C01265"/>
    <w:rsid w:val="00C017FF"/>
    <w:rsid w:val="00C05A4E"/>
    <w:rsid w:val="00C076E5"/>
    <w:rsid w:val="00C10EB9"/>
    <w:rsid w:val="00C153A8"/>
    <w:rsid w:val="00C158EF"/>
    <w:rsid w:val="00C16141"/>
    <w:rsid w:val="00C16A24"/>
    <w:rsid w:val="00C17C46"/>
    <w:rsid w:val="00C202C1"/>
    <w:rsid w:val="00C218AA"/>
    <w:rsid w:val="00C25D1C"/>
    <w:rsid w:val="00C267D8"/>
    <w:rsid w:val="00C26C6F"/>
    <w:rsid w:val="00C27594"/>
    <w:rsid w:val="00C31C69"/>
    <w:rsid w:val="00C369D0"/>
    <w:rsid w:val="00C378BA"/>
    <w:rsid w:val="00C37A75"/>
    <w:rsid w:val="00C40CA5"/>
    <w:rsid w:val="00C41E33"/>
    <w:rsid w:val="00C42707"/>
    <w:rsid w:val="00C439AA"/>
    <w:rsid w:val="00C4563C"/>
    <w:rsid w:val="00C47216"/>
    <w:rsid w:val="00C478F8"/>
    <w:rsid w:val="00C506FA"/>
    <w:rsid w:val="00C548CC"/>
    <w:rsid w:val="00C57C92"/>
    <w:rsid w:val="00C60033"/>
    <w:rsid w:val="00C604C3"/>
    <w:rsid w:val="00C60FAC"/>
    <w:rsid w:val="00C6118F"/>
    <w:rsid w:val="00C638A0"/>
    <w:rsid w:val="00C705EF"/>
    <w:rsid w:val="00C71595"/>
    <w:rsid w:val="00C7265D"/>
    <w:rsid w:val="00C7494D"/>
    <w:rsid w:val="00C74EEE"/>
    <w:rsid w:val="00C759A8"/>
    <w:rsid w:val="00C764D1"/>
    <w:rsid w:val="00C778B3"/>
    <w:rsid w:val="00C804A1"/>
    <w:rsid w:val="00C84F44"/>
    <w:rsid w:val="00C850C5"/>
    <w:rsid w:val="00C909BD"/>
    <w:rsid w:val="00C91554"/>
    <w:rsid w:val="00C91D2F"/>
    <w:rsid w:val="00C92E8A"/>
    <w:rsid w:val="00C94121"/>
    <w:rsid w:val="00C9496A"/>
    <w:rsid w:val="00C95D10"/>
    <w:rsid w:val="00C966B4"/>
    <w:rsid w:val="00CA1136"/>
    <w:rsid w:val="00CA296E"/>
    <w:rsid w:val="00CA4F2B"/>
    <w:rsid w:val="00CA5A10"/>
    <w:rsid w:val="00CA698F"/>
    <w:rsid w:val="00CA7FFC"/>
    <w:rsid w:val="00CB053F"/>
    <w:rsid w:val="00CB1D55"/>
    <w:rsid w:val="00CB3CBE"/>
    <w:rsid w:val="00CB44BE"/>
    <w:rsid w:val="00CB5AC2"/>
    <w:rsid w:val="00CB68E1"/>
    <w:rsid w:val="00CB700D"/>
    <w:rsid w:val="00CC3B40"/>
    <w:rsid w:val="00CC3F08"/>
    <w:rsid w:val="00CC545C"/>
    <w:rsid w:val="00CC6ABF"/>
    <w:rsid w:val="00CC7464"/>
    <w:rsid w:val="00CD0E66"/>
    <w:rsid w:val="00CD2134"/>
    <w:rsid w:val="00CD2369"/>
    <w:rsid w:val="00CD4DD6"/>
    <w:rsid w:val="00CD4EC1"/>
    <w:rsid w:val="00CD68ED"/>
    <w:rsid w:val="00CD6A72"/>
    <w:rsid w:val="00CD6B11"/>
    <w:rsid w:val="00CD6F71"/>
    <w:rsid w:val="00CE028B"/>
    <w:rsid w:val="00CE23CA"/>
    <w:rsid w:val="00CE5621"/>
    <w:rsid w:val="00CE6E65"/>
    <w:rsid w:val="00CF2C72"/>
    <w:rsid w:val="00CF32BB"/>
    <w:rsid w:val="00CF6C8D"/>
    <w:rsid w:val="00CF7578"/>
    <w:rsid w:val="00D01CAB"/>
    <w:rsid w:val="00D03290"/>
    <w:rsid w:val="00D03B33"/>
    <w:rsid w:val="00D04DD0"/>
    <w:rsid w:val="00D06388"/>
    <w:rsid w:val="00D11AD9"/>
    <w:rsid w:val="00D153F1"/>
    <w:rsid w:val="00D15633"/>
    <w:rsid w:val="00D16265"/>
    <w:rsid w:val="00D204ED"/>
    <w:rsid w:val="00D2443F"/>
    <w:rsid w:val="00D27164"/>
    <w:rsid w:val="00D343E1"/>
    <w:rsid w:val="00D41200"/>
    <w:rsid w:val="00D426CF"/>
    <w:rsid w:val="00D43CA6"/>
    <w:rsid w:val="00D4411D"/>
    <w:rsid w:val="00D46954"/>
    <w:rsid w:val="00D50E04"/>
    <w:rsid w:val="00D526B9"/>
    <w:rsid w:val="00D53DB0"/>
    <w:rsid w:val="00D54DA7"/>
    <w:rsid w:val="00D55013"/>
    <w:rsid w:val="00D61499"/>
    <w:rsid w:val="00D6173C"/>
    <w:rsid w:val="00D6282F"/>
    <w:rsid w:val="00D63379"/>
    <w:rsid w:val="00D63C48"/>
    <w:rsid w:val="00D63D7D"/>
    <w:rsid w:val="00D647C2"/>
    <w:rsid w:val="00D65E80"/>
    <w:rsid w:val="00D67A51"/>
    <w:rsid w:val="00D7130A"/>
    <w:rsid w:val="00D74DD0"/>
    <w:rsid w:val="00D75342"/>
    <w:rsid w:val="00D77A53"/>
    <w:rsid w:val="00D82286"/>
    <w:rsid w:val="00D823A5"/>
    <w:rsid w:val="00D83F7E"/>
    <w:rsid w:val="00D855A5"/>
    <w:rsid w:val="00D87CDC"/>
    <w:rsid w:val="00D92B59"/>
    <w:rsid w:val="00D93510"/>
    <w:rsid w:val="00D94D05"/>
    <w:rsid w:val="00D951D5"/>
    <w:rsid w:val="00DA152F"/>
    <w:rsid w:val="00DA2241"/>
    <w:rsid w:val="00DA39BD"/>
    <w:rsid w:val="00DA6996"/>
    <w:rsid w:val="00DA74F4"/>
    <w:rsid w:val="00DA7E74"/>
    <w:rsid w:val="00DB0C4C"/>
    <w:rsid w:val="00DB19E7"/>
    <w:rsid w:val="00DB224E"/>
    <w:rsid w:val="00DB2E5C"/>
    <w:rsid w:val="00DB45B8"/>
    <w:rsid w:val="00DB5CBC"/>
    <w:rsid w:val="00DB65F1"/>
    <w:rsid w:val="00DC3B5B"/>
    <w:rsid w:val="00DC7E31"/>
    <w:rsid w:val="00DD193B"/>
    <w:rsid w:val="00DD2D3A"/>
    <w:rsid w:val="00DD368E"/>
    <w:rsid w:val="00DD3867"/>
    <w:rsid w:val="00DD5CEE"/>
    <w:rsid w:val="00DE03C4"/>
    <w:rsid w:val="00DE3232"/>
    <w:rsid w:val="00DE33A7"/>
    <w:rsid w:val="00DE3C0A"/>
    <w:rsid w:val="00DE3F6E"/>
    <w:rsid w:val="00DE6985"/>
    <w:rsid w:val="00DE6F8B"/>
    <w:rsid w:val="00DE7C5B"/>
    <w:rsid w:val="00DF10ED"/>
    <w:rsid w:val="00DF1A3B"/>
    <w:rsid w:val="00DF1BFE"/>
    <w:rsid w:val="00DF31DF"/>
    <w:rsid w:val="00DF76EF"/>
    <w:rsid w:val="00E00045"/>
    <w:rsid w:val="00E01EEC"/>
    <w:rsid w:val="00E037A0"/>
    <w:rsid w:val="00E03C08"/>
    <w:rsid w:val="00E05740"/>
    <w:rsid w:val="00E05CF2"/>
    <w:rsid w:val="00E066FD"/>
    <w:rsid w:val="00E06894"/>
    <w:rsid w:val="00E10714"/>
    <w:rsid w:val="00E1141A"/>
    <w:rsid w:val="00E12F9E"/>
    <w:rsid w:val="00E13FF3"/>
    <w:rsid w:val="00E152FC"/>
    <w:rsid w:val="00E157A7"/>
    <w:rsid w:val="00E157EF"/>
    <w:rsid w:val="00E16B98"/>
    <w:rsid w:val="00E22A90"/>
    <w:rsid w:val="00E23908"/>
    <w:rsid w:val="00E254F2"/>
    <w:rsid w:val="00E25A5D"/>
    <w:rsid w:val="00E25BE3"/>
    <w:rsid w:val="00E264EF"/>
    <w:rsid w:val="00E277F7"/>
    <w:rsid w:val="00E31D43"/>
    <w:rsid w:val="00E3350D"/>
    <w:rsid w:val="00E341CB"/>
    <w:rsid w:val="00E34746"/>
    <w:rsid w:val="00E34EA9"/>
    <w:rsid w:val="00E3532C"/>
    <w:rsid w:val="00E35D79"/>
    <w:rsid w:val="00E36F19"/>
    <w:rsid w:val="00E378D7"/>
    <w:rsid w:val="00E41F40"/>
    <w:rsid w:val="00E421F6"/>
    <w:rsid w:val="00E448E2"/>
    <w:rsid w:val="00E50C32"/>
    <w:rsid w:val="00E53DEC"/>
    <w:rsid w:val="00E54783"/>
    <w:rsid w:val="00E55254"/>
    <w:rsid w:val="00E554B3"/>
    <w:rsid w:val="00E55983"/>
    <w:rsid w:val="00E57F9E"/>
    <w:rsid w:val="00E604A5"/>
    <w:rsid w:val="00E60AD7"/>
    <w:rsid w:val="00E60FE9"/>
    <w:rsid w:val="00E62EF5"/>
    <w:rsid w:val="00E63BE7"/>
    <w:rsid w:val="00E65A25"/>
    <w:rsid w:val="00E67D50"/>
    <w:rsid w:val="00E67FEC"/>
    <w:rsid w:val="00E7178F"/>
    <w:rsid w:val="00E71EC6"/>
    <w:rsid w:val="00E76D36"/>
    <w:rsid w:val="00E807D5"/>
    <w:rsid w:val="00E80D4B"/>
    <w:rsid w:val="00E820D3"/>
    <w:rsid w:val="00E827B5"/>
    <w:rsid w:val="00E83453"/>
    <w:rsid w:val="00E846F7"/>
    <w:rsid w:val="00E84ACF"/>
    <w:rsid w:val="00E85624"/>
    <w:rsid w:val="00E90FD0"/>
    <w:rsid w:val="00E91E18"/>
    <w:rsid w:val="00E94411"/>
    <w:rsid w:val="00E94839"/>
    <w:rsid w:val="00E962D0"/>
    <w:rsid w:val="00E9700A"/>
    <w:rsid w:val="00EA195F"/>
    <w:rsid w:val="00EA1EDF"/>
    <w:rsid w:val="00EA41A8"/>
    <w:rsid w:val="00EA5E35"/>
    <w:rsid w:val="00EA6616"/>
    <w:rsid w:val="00EA6C5A"/>
    <w:rsid w:val="00EB0893"/>
    <w:rsid w:val="00EB1E4F"/>
    <w:rsid w:val="00EB5359"/>
    <w:rsid w:val="00EB5FE0"/>
    <w:rsid w:val="00EB6FA7"/>
    <w:rsid w:val="00EC1131"/>
    <w:rsid w:val="00EC16DB"/>
    <w:rsid w:val="00EC27EF"/>
    <w:rsid w:val="00EC3943"/>
    <w:rsid w:val="00EC4091"/>
    <w:rsid w:val="00EC4127"/>
    <w:rsid w:val="00EC4FAA"/>
    <w:rsid w:val="00EC4FCA"/>
    <w:rsid w:val="00EC5734"/>
    <w:rsid w:val="00ED441E"/>
    <w:rsid w:val="00ED5716"/>
    <w:rsid w:val="00ED5F60"/>
    <w:rsid w:val="00EE207D"/>
    <w:rsid w:val="00EE3F28"/>
    <w:rsid w:val="00EE487C"/>
    <w:rsid w:val="00EE4E6C"/>
    <w:rsid w:val="00EE63EF"/>
    <w:rsid w:val="00EE6B26"/>
    <w:rsid w:val="00EE784E"/>
    <w:rsid w:val="00EF0221"/>
    <w:rsid w:val="00EF1A66"/>
    <w:rsid w:val="00EF38E2"/>
    <w:rsid w:val="00EF4157"/>
    <w:rsid w:val="00EF4A82"/>
    <w:rsid w:val="00EF4FAC"/>
    <w:rsid w:val="00EF7BD7"/>
    <w:rsid w:val="00F015BA"/>
    <w:rsid w:val="00F02C59"/>
    <w:rsid w:val="00F030DE"/>
    <w:rsid w:val="00F0336C"/>
    <w:rsid w:val="00F048E8"/>
    <w:rsid w:val="00F061B4"/>
    <w:rsid w:val="00F077E9"/>
    <w:rsid w:val="00F10CA8"/>
    <w:rsid w:val="00F10F65"/>
    <w:rsid w:val="00F13C4B"/>
    <w:rsid w:val="00F14B36"/>
    <w:rsid w:val="00F164BF"/>
    <w:rsid w:val="00F16B6C"/>
    <w:rsid w:val="00F233F9"/>
    <w:rsid w:val="00F24C20"/>
    <w:rsid w:val="00F25DDE"/>
    <w:rsid w:val="00F26322"/>
    <w:rsid w:val="00F27697"/>
    <w:rsid w:val="00F30D5B"/>
    <w:rsid w:val="00F328B6"/>
    <w:rsid w:val="00F33D47"/>
    <w:rsid w:val="00F3436D"/>
    <w:rsid w:val="00F35BAF"/>
    <w:rsid w:val="00F40D1F"/>
    <w:rsid w:val="00F434C8"/>
    <w:rsid w:val="00F47156"/>
    <w:rsid w:val="00F50549"/>
    <w:rsid w:val="00F5350B"/>
    <w:rsid w:val="00F5398B"/>
    <w:rsid w:val="00F55CAD"/>
    <w:rsid w:val="00F571E7"/>
    <w:rsid w:val="00F6035F"/>
    <w:rsid w:val="00F61FAE"/>
    <w:rsid w:val="00F62396"/>
    <w:rsid w:val="00F630E5"/>
    <w:rsid w:val="00F630E8"/>
    <w:rsid w:val="00F63AFB"/>
    <w:rsid w:val="00F66546"/>
    <w:rsid w:val="00F70760"/>
    <w:rsid w:val="00F71DD4"/>
    <w:rsid w:val="00F73FA6"/>
    <w:rsid w:val="00F75317"/>
    <w:rsid w:val="00F776E8"/>
    <w:rsid w:val="00F82626"/>
    <w:rsid w:val="00F83568"/>
    <w:rsid w:val="00F83CDE"/>
    <w:rsid w:val="00F84F5F"/>
    <w:rsid w:val="00F8590E"/>
    <w:rsid w:val="00F863DB"/>
    <w:rsid w:val="00F91E92"/>
    <w:rsid w:val="00F92492"/>
    <w:rsid w:val="00F92688"/>
    <w:rsid w:val="00F96F0C"/>
    <w:rsid w:val="00F97E5D"/>
    <w:rsid w:val="00FA03B1"/>
    <w:rsid w:val="00FA1062"/>
    <w:rsid w:val="00FA17AF"/>
    <w:rsid w:val="00FB1C00"/>
    <w:rsid w:val="00FB23EA"/>
    <w:rsid w:val="00FB3066"/>
    <w:rsid w:val="00FB5164"/>
    <w:rsid w:val="00FB5C49"/>
    <w:rsid w:val="00FB639C"/>
    <w:rsid w:val="00FB782B"/>
    <w:rsid w:val="00FB7950"/>
    <w:rsid w:val="00FC020C"/>
    <w:rsid w:val="00FC3164"/>
    <w:rsid w:val="00FC3D72"/>
    <w:rsid w:val="00FC423E"/>
    <w:rsid w:val="00FC4B25"/>
    <w:rsid w:val="00FC7647"/>
    <w:rsid w:val="00FC7C7D"/>
    <w:rsid w:val="00FD1E7C"/>
    <w:rsid w:val="00FD34C2"/>
    <w:rsid w:val="00FD3EE3"/>
    <w:rsid w:val="00FD46B5"/>
    <w:rsid w:val="00FD51B7"/>
    <w:rsid w:val="00FD5F98"/>
    <w:rsid w:val="00FD717A"/>
    <w:rsid w:val="00FD7C1F"/>
    <w:rsid w:val="00FD7C73"/>
    <w:rsid w:val="00FE1C0B"/>
    <w:rsid w:val="00FE242E"/>
    <w:rsid w:val="00FE3F4E"/>
    <w:rsid w:val="00FE4D25"/>
    <w:rsid w:val="00FE7070"/>
    <w:rsid w:val="00FE7337"/>
    <w:rsid w:val="00FE759D"/>
    <w:rsid w:val="00FF03C6"/>
    <w:rsid w:val="00FF0501"/>
    <w:rsid w:val="00FF109B"/>
    <w:rsid w:val="00FF121A"/>
    <w:rsid w:val="00FF4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4D"/>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C7494D"/>
    <w:pPr>
      <w:keepNext/>
      <w:outlineLvl w:val="0"/>
    </w:pPr>
    <w:rPr>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qFormat/>
    <w:rsid w:val="00C7494D"/>
    <w:pPr>
      <w:keepNext/>
      <w:ind w:left="720" w:hanging="720"/>
      <w:outlineLvl w:val="1"/>
    </w:pPr>
    <w:rPr>
      <w:rFonts w:cs="Arial"/>
      <w:b/>
      <w:bCs/>
      <w:szCs w:val="24"/>
    </w:rPr>
  </w:style>
  <w:style w:type="paragraph" w:styleId="Heading3">
    <w:name w:val="heading 3"/>
    <w:basedOn w:val="Normal"/>
    <w:next w:val="Normal"/>
    <w:link w:val="Heading3Char"/>
    <w:qFormat/>
    <w:rsid w:val="00C7494D"/>
    <w:pPr>
      <w:outlineLvl w:val="2"/>
    </w:pPr>
  </w:style>
  <w:style w:type="paragraph" w:styleId="Heading4">
    <w:name w:val="heading 4"/>
    <w:basedOn w:val="Normal"/>
    <w:next w:val="Normal"/>
    <w:link w:val="Heading4Char"/>
    <w:qFormat/>
    <w:rsid w:val="00C7494D"/>
    <w:pPr>
      <w:outlineLvl w:val="3"/>
    </w:pPr>
  </w:style>
  <w:style w:type="paragraph" w:styleId="Heading5">
    <w:name w:val="heading 5"/>
    <w:basedOn w:val="Normal"/>
    <w:next w:val="Normal"/>
    <w:link w:val="Heading5Char"/>
    <w:qFormat/>
    <w:rsid w:val="00C7494D"/>
    <w:pPr>
      <w:outlineLvl w:val="4"/>
    </w:pPr>
  </w:style>
  <w:style w:type="paragraph" w:styleId="Heading6">
    <w:name w:val="heading 6"/>
    <w:basedOn w:val="Normal"/>
    <w:next w:val="Normal"/>
    <w:link w:val="Heading6Char"/>
    <w:qFormat/>
    <w:rsid w:val="00C7494D"/>
    <w:pPr>
      <w:outlineLvl w:val="5"/>
    </w:pPr>
  </w:style>
  <w:style w:type="paragraph" w:styleId="Heading7">
    <w:name w:val="heading 7"/>
    <w:basedOn w:val="Normal"/>
    <w:next w:val="Normal"/>
    <w:link w:val="Heading7Char"/>
    <w:qFormat/>
    <w:rsid w:val="00C7494D"/>
    <w:pPr>
      <w:outlineLvl w:val="6"/>
    </w:pPr>
  </w:style>
  <w:style w:type="paragraph" w:styleId="Heading8">
    <w:name w:val="heading 8"/>
    <w:basedOn w:val="Normal"/>
    <w:next w:val="Normal"/>
    <w:link w:val="Heading8Char"/>
    <w:qFormat/>
    <w:rsid w:val="00C7494D"/>
    <w:pPr>
      <w:outlineLvl w:val="7"/>
    </w:pPr>
  </w:style>
  <w:style w:type="paragraph" w:styleId="Heading9">
    <w:name w:val="heading 9"/>
    <w:basedOn w:val="Normal"/>
    <w:next w:val="Normal"/>
    <w:link w:val="Heading9Char"/>
    <w:qFormat/>
    <w:rsid w:val="00C749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94D"/>
    <w:rPr>
      <w:rFonts w:ascii="Arial" w:eastAsia="Times New Roman" w:hAnsi="Arial" w:cs="Times New Roman"/>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C7494D"/>
    <w:rPr>
      <w:rFonts w:ascii="Arial" w:eastAsia="Times New Roman" w:hAnsi="Arial" w:cs="Arial"/>
      <w:b/>
      <w:bCs/>
      <w:sz w:val="24"/>
      <w:szCs w:val="24"/>
    </w:rPr>
  </w:style>
  <w:style w:type="character" w:customStyle="1" w:styleId="Heading3Char">
    <w:name w:val="Heading 3 Char"/>
    <w:basedOn w:val="DefaultParagraphFont"/>
    <w:link w:val="Heading3"/>
    <w:rsid w:val="00C7494D"/>
    <w:rPr>
      <w:rFonts w:ascii="Arial" w:eastAsia="Times New Roman" w:hAnsi="Arial" w:cs="Times New Roman"/>
      <w:sz w:val="24"/>
      <w:szCs w:val="20"/>
    </w:rPr>
  </w:style>
  <w:style w:type="character" w:customStyle="1" w:styleId="Heading4Char">
    <w:name w:val="Heading 4 Char"/>
    <w:basedOn w:val="DefaultParagraphFont"/>
    <w:link w:val="Heading4"/>
    <w:rsid w:val="00C7494D"/>
    <w:rPr>
      <w:rFonts w:ascii="Arial" w:eastAsia="Times New Roman" w:hAnsi="Arial" w:cs="Times New Roman"/>
      <w:sz w:val="24"/>
      <w:szCs w:val="20"/>
    </w:rPr>
  </w:style>
  <w:style w:type="character" w:customStyle="1" w:styleId="Heading5Char">
    <w:name w:val="Heading 5 Char"/>
    <w:basedOn w:val="DefaultParagraphFont"/>
    <w:link w:val="Heading5"/>
    <w:rsid w:val="00C7494D"/>
    <w:rPr>
      <w:rFonts w:ascii="Arial" w:eastAsia="Times New Roman" w:hAnsi="Arial" w:cs="Times New Roman"/>
      <w:sz w:val="24"/>
      <w:szCs w:val="20"/>
    </w:rPr>
  </w:style>
  <w:style w:type="character" w:customStyle="1" w:styleId="Heading6Char">
    <w:name w:val="Heading 6 Char"/>
    <w:basedOn w:val="DefaultParagraphFont"/>
    <w:link w:val="Heading6"/>
    <w:rsid w:val="00C7494D"/>
    <w:rPr>
      <w:rFonts w:ascii="Arial" w:eastAsia="Times New Roman" w:hAnsi="Arial" w:cs="Times New Roman"/>
      <w:sz w:val="24"/>
      <w:szCs w:val="20"/>
    </w:rPr>
  </w:style>
  <w:style w:type="character" w:customStyle="1" w:styleId="Heading7Char">
    <w:name w:val="Heading 7 Char"/>
    <w:basedOn w:val="DefaultParagraphFont"/>
    <w:link w:val="Heading7"/>
    <w:rsid w:val="00C7494D"/>
    <w:rPr>
      <w:rFonts w:ascii="Arial" w:eastAsia="Times New Roman" w:hAnsi="Arial" w:cs="Times New Roman"/>
      <w:sz w:val="24"/>
      <w:szCs w:val="20"/>
    </w:rPr>
  </w:style>
  <w:style w:type="character" w:customStyle="1" w:styleId="Heading8Char">
    <w:name w:val="Heading 8 Char"/>
    <w:basedOn w:val="DefaultParagraphFont"/>
    <w:link w:val="Heading8"/>
    <w:rsid w:val="00C7494D"/>
    <w:rPr>
      <w:rFonts w:ascii="Arial" w:eastAsia="Times New Roman" w:hAnsi="Arial" w:cs="Times New Roman"/>
      <w:sz w:val="24"/>
      <w:szCs w:val="20"/>
    </w:rPr>
  </w:style>
  <w:style w:type="character" w:customStyle="1" w:styleId="Heading9Char">
    <w:name w:val="Heading 9 Char"/>
    <w:basedOn w:val="DefaultParagraphFont"/>
    <w:link w:val="Heading9"/>
    <w:rsid w:val="00C7494D"/>
    <w:rPr>
      <w:rFonts w:ascii="Arial" w:eastAsia="Times New Roman" w:hAnsi="Arial" w:cs="Times New Roman"/>
      <w:sz w:val="24"/>
      <w:szCs w:val="20"/>
    </w:rPr>
  </w:style>
  <w:style w:type="paragraph" w:customStyle="1" w:styleId="Normalindent1">
    <w:name w:val="Normal indent1"/>
    <w:basedOn w:val="Normal"/>
    <w:next w:val="Normal"/>
    <w:link w:val="Normalindent1Char"/>
    <w:rsid w:val="00C7494D"/>
    <w:pPr>
      <w:ind w:left="720"/>
    </w:pPr>
  </w:style>
  <w:style w:type="character" w:customStyle="1" w:styleId="Normalindent1Char">
    <w:name w:val="Normal indent1 Char"/>
    <w:link w:val="Normalindent1"/>
    <w:rsid w:val="00C7494D"/>
    <w:rPr>
      <w:rFonts w:ascii="Arial" w:eastAsia="Times New Roman" w:hAnsi="Arial" w:cs="Times New Roman"/>
      <w:sz w:val="24"/>
      <w:szCs w:val="20"/>
    </w:rPr>
  </w:style>
  <w:style w:type="paragraph" w:customStyle="1" w:styleId="Indenta">
    <w:name w:val="Indent a)"/>
    <w:basedOn w:val="Normal"/>
    <w:rsid w:val="00C7494D"/>
    <w:pPr>
      <w:ind w:left="1440" w:hanging="720"/>
    </w:pPr>
  </w:style>
  <w:style w:type="paragraph" w:styleId="BalloonText">
    <w:name w:val="Balloon Text"/>
    <w:basedOn w:val="Normal"/>
    <w:link w:val="BalloonTextChar"/>
    <w:semiHidden/>
    <w:rsid w:val="00C7494D"/>
    <w:rPr>
      <w:rFonts w:ascii="Tahoma" w:hAnsi="Tahoma" w:cs="Tahoma"/>
      <w:sz w:val="16"/>
      <w:szCs w:val="16"/>
    </w:rPr>
  </w:style>
  <w:style w:type="character" w:customStyle="1" w:styleId="BalloonTextChar">
    <w:name w:val="Balloon Text Char"/>
    <w:basedOn w:val="DefaultParagraphFont"/>
    <w:link w:val="BalloonText"/>
    <w:semiHidden/>
    <w:rsid w:val="00C7494D"/>
    <w:rPr>
      <w:rFonts w:ascii="Tahoma" w:eastAsia="Times New Roman" w:hAnsi="Tahoma" w:cs="Tahoma"/>
      <w:sz w:val="16"/>
      <w:szCs w:val="16"/>
    </w:rPr>
  </w:style>
  <w:style w:type="character" w:styleId="CommentReference">
    <w:name w:val="annotation reference"/>
    <w:semiHidden/>
    <w:rsid w:val="00C7494D"/>
    <w:rPr>
      <w:sz w:val="16"/>
      <w:szCs w:val="16"/>
    </w:rPr>
  </w:style>
  <w:style w:type="character" w:styleId="Hyperlink">
    <w:name w:val="Hyperlink"/>
    <w:rsid w:val="00C7494D"/>
    <w:rPr>
      <w:rFonts w:ascii="Arial" w:hAnsi="Arial"/>
      <w:color w:val="0000FF"/>
      <w:sz w:val="24"/>
      <w:u w:val="single"/>
    </w:rPr>
  </w:style>
  <w:style w:type="paragraph" w:styleId="TOAHeading">
    <w:name w:val="toa heading"/>
    <w:basedOn w:val="Normal"/>
    <w:next w:val="Normal"/>
    <w:semiHidden/>
    <w:rsid w:val="00C7494D"/>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semiHidden/>
    <w:rsid w:val="00C7494D"/>
    <w:pPr>
      <w:ind w:left="1440"/>
    </w:pPr>
  </w:style>
  <w:style w:type="paragraph" w:styleId="TOC8">
    <w:name w:val="toc 8"/>
    <w:basedOn w:val="Normal"/>
    <w:next w:val="Normal"/>
    <w:autoRedefine/>
    <w:semiHidden/>
    <w:rsid w:val="00C7494D"/>
    <w:pPr>
      <w:ind w:left="1680"/>
    </w:pPr>
  </w:style>
  <w:style w:type="paragraph" w:styleId="TOC2">
    <w:name w:val="toc 2"/>
    <w:basedOn w:val="Normal"/>
    <w:next w:val="Normal"/>
    <w:autoRedefine/>
    <w:uiPriority w:val="39"/>
    <w:rsid w:val="00C7494D"/>
    <w:pPr>
      <w:tabs>
        <w:tab w:val="left" w:pos="720"/>
        <w:tab w:val="right" w:leader="dot" w:pos="9060"/>
      </w:tabs>
      <w:ind w:firstLine="240"/>
      <w:jc w:val="left"/>
    </w:pPr>
  </w:style>
  <w:style w:type="paragraph" w:styleId="TOC4">
    <w:name w:val="toc 4"/>
    <w:basedOn w:val="Normal"/>
    <w:next w:val="Normal"/>
    <w:autoRedefine/>
    <w:semiHidden/>
    <w:rsid w:val="00C7494D"/>
    <w:pPr>
      <w:ind w:left="720"/>
    </w:pPr>
  </w:style>
  <w:style w:type="paragraph" w:styleId="TOC1">
    <w:name w:val="toc 1"/>
    <w:basedOn w:val="Normal"/>
    <w:next w:val="Normal"/>
    <w:autoRedefine/>
    <w:uiPriority w:val="39"/>
    <w:rsid w:val="00C7494D"/>
    <w:pPr>
      <w:tabs>
        <w:tab w:val="left" w:pos="709"/>
        <w:tab w:val="right" w:leader="dot" w:pos="9072"/>
      </w:tabs>
      <w:jc w:val="left"/>
    </w:pPr>
  </w:style>
  <w:style w:type="paragraph" w:styleId="TOC6">
    <w:name w:val="toc 6"/>
    <w:basedOn w:val="Normal"/>
    <w:next w:val="Normal"/>
    <w:autoRedefine/>
    <w:semiHidden/>
    <w:rsid w:val="00C7494D"/>
    <w:pPr>
      <w:ind w:left="1200"/>
    </w:pPr>
  </w:style>
  <w:style w:type="paragraph" w:styleId="TOC5">
    <w:name w:val="toc 5"/>
    <w:basedOn w:val="Normal"/>
    <w:next w:val="Normal"/>
    <w:autoRedefine/>
    <w:semiHidden/>
    <w:rsid w:val="00C7494D"/>
    <w:pPr>
      <w:ind w:left="960"/>
    </w:pPr>
  </w:style>
  <w:style w:type="paragraph" w:styleId="TOC3">
    <w:name w:val="toc 3"/>
    <w:basedOn w:val="Normal"/>
    <w:next w:val="Normal"/>
    <w:autoRedefine/>
    <w:semiHidden/>
    <w:rsid w:val="00C7494D"/>
    <w:pPr>
      <w:ind w:left="480"/>
    </w:pPr>
  </w:style>
  <w:style w:type="paragraph" w:customStyle="1" w:styleId="NormalBold">
    <w:name w:val="Normal Bold"/>
    <w:basedOn w:val="Normal"/>
    <w:next w:val="Normal"/>
    <w:link w:val="NormalBoldChar1"/>
    <w:rsid w:val="00C7494D"/>
    <w:rPr>
      <w:b/>
    </w:rPr>
  </w:style>
  <w:style w:type="character" w:customStyle="1" w:styleId="NormalBoldChar1">
    <w:name w:val="Normal Bold Char1"/>
    <w:link w:val="NormalBold"/>
    <w:rsid w:val="00C7494D"/>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C7494D"/>
    <w:pPr>
      <w:ind w:left="720" w:hanging="720"/>
    </w:pPr>
  </w:style>
  <w:style w:type="character" w:customStyle="1" w:styleId="NormalhangingindentChar">
    <w:name w:val="Normal hanging indent Char"/>
    <w:link w:val="Normalhangingindent"/>
    <w:rsid w:val="00C7494D"/>
    <w:rPr>
      <w:rFonts w:ascii="Arial" w:eastAsia="Times New Roman" w:hAnsi="Arial" w:cs="Times New Roman"/>
      <w:sz w:val="24"/>
      <w:szCs w:val="20"/>
    </w:rPr>
  </w:style>
  <w:style w:type="paragraph" w:customStyle="1" w:styleId="Indenti">
    <w:name w:val="Indent i)"/>
    <w:basedOn w:val="Normal"/>
    <w:rsid w:val="00C7494D"/>
    <w:pPr>
      <w:ind w:left="2160" w:hanging="720"/>
    </w:pPr>
  </w:style>
  <w:style w:type="paragraph" w:styleId="CommentText">
    <w:name w:val="annotation text"/>
    <w:basedOn w:val="Normal"/>
    <w:link w:val="CommentTextChar"/>
    <w:semiHidden/>
    <w:rsid w:val="00C7494D"/>
    <w:rPr>
      <w:sz w:val="20"/>
    </w:rPr>
  </w:style>
  <w:style w:type="character" w:customStyle="1" w:styleId="CommentTextChar">
    <w:name w:val="Comment Text Char"/>
    <w:basedOn w:val="DefaultParagraphFont"/>
    <w:link w:val="CommentText"/>
    <w:semiHidden/>
    <w:rsid w:val="00C7494D"/>
    <w:rPr>
      <w:rFonts w:ascii="Arial" w:eastAsia="Times New Roman" w:hAnsi="Arial" w:cs="Times New Roman"/>
      <w:sz w:val="20"/>
      <w:szCs w:val="20"/>
    </w:rPr>
  </w:style>
  <w:style w:type="character" w:styleId="PageNumber">
    <w:name w:val="page number"/>
    <w:rsid w:val="00C7494D"/>
    <w:rPr>
      <w:rFonts w:ascii="Arial" w:hAnsi="Arial"/>
      <w:sz w:val="24"/>
    </w:rPr>
  </w:style>
  <w:style w:type="paragraph" w:styleId="CommentSubject">
    <w:name w:val="annotation subject"/>
    <w:basedOn w:val="CommentText"/>
    <w:next w:val="CommentText"/>
    <w:link w:val="CommentSubjectChar"/>
    <w:semiHidden/>
    <w:rsid w:val="00C7494D"/>
    <w:rPr>
      <w:b/>
      <w:bCs/>
    </w:rPr>
  </w:style>
  <w:style w:type="character" w:customStyle="1" w:styleId="CommentSubjectChar">
    <w:name w:val="Comment Subject Char"/>
    <w:basedOn w:val="CommentTextChar"/>
    <w:link w:val="CommentSubject"/>
    <w:semiHidden/>
    <w:rsid w:val="00C7494D"/>
    <w:rPr>
      <w:b/>
      <w:bCs/>
    </w:rPr>
  </w:style>
  <w:style w:type="table" w:styleId="TableGrid">
    <w:name w:val="Table Grid"/>
    <w:basedOn w:val="TableNormal"/>
    <w:rsid w:val="00C7494D"/>
    <w:pPr>
      <w:suppressAutoHyphens/>
      <w:spacing w:after="0" w:line="240" w:lineRule="auto"/>
      <w:jc w:val="both"/>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7494D"/>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semiHidden/>
    <w:rsid w:val="00C7494D"/>
    <w:rPr>
      <w:rFonts w:ascii="CG Times" w:eastAsia="Times New Roman" w:hAnsi="CG Times" w:cs="Times New Roman"/>
      <w:spacing w:val="-3"/>
      <w:sz w:val="24"/>
      <w:szCs w:val="20"/>
    </w:rPr>
  </w:style>
  <w:style w:type="paragraph" w:customStyle="1" w:styleId="NormalBoldCentre">
    <w:name w:val="Normal Bold Centre"/>
    <w:basedOn w:val="NormalBold"/>
    <w:next w:val="Normal"/>
    <w:rsid w:val="00C7494D"/>
    <w:pPr>
      <w:jc w:val="center"/>
    </w:pPr>
  </w:style>
  <w:style w:type="character" w:styleId="FollowedHyperlink">
    <w:name w:val="FollowedHyperlink"/>
    <w:rsid w:val="00C7494D"/>
    <w:rPr>
      <w:color w:val="800080"/>
      <w:u w:val="single"/>
    </w:rPr>
  </w:style>
  <w:style w:type="paragraph" w:styleId="Footer">
    <w:name w:val="footer"/>
    <w:basedOn w:val="Normal"/>
    <w:link w:val="FooterChar"/>
    <w:uiPriority w:val="99"/>
    <w:rsid w:val="00C7494D"/>
    <w:pPr>
      <w:tabs>
        <w:tab w:val="center" w:pos="4153"/>
        <w:tab w:val="right" w:pos="8306"/>
      </w:tabs>
    </w:pPr>
  </w:style>
  <w:style w:type="character" w:customStyle="1" w:styleId="FooterChar">
    <w:name w:val="Footer Char"/>
    <w:basedOn w:val="DefaultParagraphFont"/>
    <w:link w:val="Footer"/>
    <w:uiPriority w:val="99"/>
    <w:rsid w:val="00C7494D"/>
    <w:rPr>
      <w:rFonts w:ascii="Arial" w:eastAsia="Times New Roman" w:hAnsi="Arial" w:cs="Times New Roman"/>
      <w:sz w:val="24"/>
      <w:szCs w:val="20"/>
    </w:rPr>
  </w:style>
  <w:style w:type="paragraph" w:styleId="Header">
    <w:name w:val="header"/>
    <w:basedOn w:val="Normal"/>
    <w:link w:val="HeaderChar"/>
    <w:rsid w:val="00C7494D"/>
    <w:pPr>
      <w:tabs>
        <w:tab w:val="center" w:pos="4320"/>
        <w:tab w:val="right" w:pos="8640"/>
      </w:tabs>
      <w:suppressAutoHyphens w:val="0"/>
    </w:pPr>
    <w:rPr>
      <w:rFonts w:cs="Arial"/>
      <w:sz w:val="16"/>
    </w:rPr>
  </w:style>
  <w:style w:type="character" w:customStyle="1" w:styleId="HeaderChar">
    <w:name w:val="Header Char"/>
    <w:basedOn w:val="DefaultParagraphFont"/>
    <w:link w:val="Header"/>
    <w:rsid w:val="00C7494D"/>
    <w:rPr>
      <w:rFonts w:ascii="Arial" w:eastAsia="Times New Roman" w:hAnsi="Arial" w:cs="Arial"/>
      <w:sz w:val="16"/>
      <w:szCs w:val="20"/>
    </w:rPr>
  </w:style>
  <w:style w:type="paragraph" w:customStyle="1" w:styleId="Level2">
    <w:name w:val="Level 2"/>
    <w:basedOn w:val="Normal"/>
    <w:uiPriority w:val="99"/>
    <w:rsid w:val="00C7494D"/>
    <w:pPr>
      <w:tabs>
        <w:tab w:val="num" w:pos="1570"/>
      </w:tabs>
      <w:suppressAutoHyphens w:val="0"/>
      <w:spacing w:after="240"/>
      <w:ind w:left="1570" w:hanging="850"/>
      <w:outlineLvl w:val="1"/>
    </w:pPr>
    <w:rPr>
      <w:rFonts w:cs="Arial"/>
      <w:sz w:val="20"/>
    </w:rPr>
  </w:style>
  <w:style w:type="paragraph" w:customStyle="1" w:styleId="Level1">
    <w:name w:val="Level 1"/>
    <w:basedOn w:val="Normal"/>
    <w:uiPriority w:val="99"/>
    <w:rsid w:val="00C7494D"/>
    <w:pPr>
      <w:tabs>
        <w:tab w:val="num" w:pos="850"/>
      </w:tabs>
      <w:suppressAutoHyphens w:val="0"/>
      <w:spacing w:after="240"/>
      <w:ind w:left="850" w:hanging="850"/>
      <w:outlineLvl w:val="0"/>
    </w:pPr>
    <w:rPr>
      <w:rFonts w:cs="Arial"/>
      <w:sz w:val="20"/>
    </w:rPr>
  </w:style>
  <w:style w:type="paragraph" w:customStyle="1" w:styleId="Level3">
    <w:name w:val="Level 3"/>
    <w:basedOn w:val="Normal"/>
    <w:uiPriority w:val="99"/>
    <w:rsid w:val="00C7494D"/>
    <w:pPr>
      <w:tabs>
        <w:tab w:val="num" w:pos="1701"/>
      </w:tabs>
      <w:suppressAutoHyphens w:val="0"/>
      <w:spacing w:after="240"/>
      <w:ind w:left="1701" w:hanging="851"/>
      <w:outlineLvl w:val="2"/>
    </w:pPr>
    <w:rPr>
      <w:rFonts w:cs="Arial"/>
      <w:sz w:val="20"/>
    </w:rPr>
  </w:style>
  <w:style w:type="paragraph" w:customStyle="1" w:styleId="Level4">
    <w:name w:val="Level 4"/>
    <w:basedOn w:val="Normal"/>
    <w:uiPriority w:val="99"/>
    <w:rsid w:val="00C7494D"/>
    <w:pPr>
      <w:tabs>
        <w:tab w:val="num" w:pos="2551"/>
      </w:tabs>
      <w:suppressAutoHyphens w:val="0"/>
      <w:spacing w:after="240"/>
      <w:ind w:left="2551" w:hanging="850"/>
      <w:outlineLvl w:val="3"/>
    </w:pPr>
    <w:rPr>
      <w:rFonts w:cs="Arial"/>
      <w:sz w:val="20"/>
    </w:rPr>
  </w:style>
  <w:style w:type="paragraph" w:customStyle="1" w:styleId="Level5">
    <w:name w:val="Level 5"/>
    <w:basedOn w:val="Normal"/>
    <w:uiPriority w:val="99"/>
    <w:rsid w:val="00C7494D"/>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C7494D"/>
    <w:pPr>
      <w:spacing w:after="160"/>
      <w:ind w:left="1440" w:hanging="720"/>
    </w:pPr>
  </w:style>
  <w:style w:type="paragraph" w:customStyle="1" w:styleId="DefaultParagraphFontPara">
    <w:name w:val="Default Paragraph Font Para"/>
    <w:basedOn w:val="Normal"/>
    <w:rsid w:val="00C7494D"/>
    <w:pPr>
      <w:suppressAutoHyphens w:val="0"/>
      <w:spacing w:before="60" w:after="120" w:line="240" w:lineRule="exact"/>
      <w:jc w:val="left"/>
    </w:pPr>
    <w:rPr>
      <w:rFonts w:ascii="Verdana" w:hAnsi="Verdana"/>
      <w:sz w:val="20"/>
      <w:lang w:val="en-US"/>
    </w:rPr>
  </w:style>
  <w:style w:type="paragraph" w:customStyle="1" w:styleId="1">
    <w:name w:val="1"/>
    <w:basedOn w:val="Normal"/>
    <w:rsid w:val="00C7494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C7494D"/>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rsid w:val="00C7494D"/>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C7494D"/>
    <w:pPr>
      <w:suppressAutoHyphens w:val="0"/>
      <w:spacing w:after="160"/>
      <w:ind w:left="1979" w:hanging="539"/>
    </w:pPr>
    <w:rPr>
      <w:rFonts w:cs="Arial"/>
      <w:sz w:val="22"/>
      <w:szCs w:val="22"/>
    </w:rPr>
  </w:style>
  <w:style w:type="paragraph" w:styleId="FootnoteText">
    <w:name w:val="footnote text"/>
    <w:basedOn w:val="Normal"/>
    <w:link w:val="FootnoteTextChar"/>
    <w:semiHidden/>
    <w:rsid w:val="00C7494D"/>
    <w:pPr>
      <w:suppressAutoHyphens w:val="0"/>
      <w:jc w:val="left"/>
    </w:pPr>
    <w:rPr>
      <w:sz w:val="20"/>
    </w:rPr>
  </w:style>
  <w:style w:type="character" w:customStyle="1" w:styleId="FootnoteTextChar">
    <w:name w:val="Footnote Text Char"/>
    <w:basedOn w:val="DefaultParagraphFont"/>
    <w:link w:val="FootnoteText"/>
    <w:semiHidden/>
    <w:rsid w:val="00C7494D"/>
    <w:rPr>
      <w:rFonts w:ascii="Arial" w:eastAsia="Times New Roman" w:hAnsi="Arial" w:cs="Times New Roman"/>
      <w:sz w:val="20"/>
      <w:szCs w:val="20"/>
    </w:rPr>
  </w:style>
  <w:style w:type="character" w:styleId="FootnoteReference">
    <w:name w:val="footnote reference"/>
    <w:semiHidden/>
    <w:rsid w:val="00C7494D"/>
    <w:rPr>
      <w:vertAlign w:val="superscript"/>
    </w:rPr>
  </w:style>
  <w:style w:type="paragraph" w:styleId="NormalWeb">
    <w:name w:val="Normal (Web)"/>
    <w:basedOn w:val="Normal"/>
    <w:rsid w:val="00C7494D"/>
    <w:pPr>
      <w:suppressAutoHyphens w:val="0"/>
      <w:jc w:val="left"/>
    </w:pPr>
    <w:rPr>
      <w:rFonts w:ascii="Times New Roman" w:hAnsi="Times New Roman"/>
      <w:szCs w:val="24"/>
      <w:lang w:eastAsia="en-GB"/>
    </w:rPr>
  </w:style>
  <w:style w:type="character" w:styleId="Emphasis">
    <w:name w:val="Emphasis"/>
    <w:qFormat/>
    <w:rsid w:val="00C7494D"/>
    <w:rPr>
      <w:i/>
      <w:iCs/>
    </w:rPr>
  </w:style>
  <w:style w:type="paragraph" w:styleId="ListParagraph">
    <w:name w:val="List Paragraph"/>
    <w:basedOn w:val="Normal"/>
    <w:uiPriority w:val="34"/>
    <w:qFormat/>
    <w:rsid w:val="00C7494D"/>
    <w:pPr>
      <w:ind w:left="720"/>
    </w:pPr>
  </w:style>
  <w:style w:type="paragraph" w:customStyle="1" w:styleId="CharChar1CharCharChar">
    <w:name w:val="Char Char1 Char Char Char"/>
    <w:basedOn w:val="Normal"/>
    <w:rsid w:val="00C7494D"/>
    <w:pPr>
      <w:suppressAutoHyphens w:val="0"/>
      <w:spacing w:before="60" w:after="120" w:line="240" w:lineRule="exact"/>
      <w:jc w:val="left"/>
    </w:pPr>
    <w:rPr>
      <w:rFonts w:ascii="Verdana" w:hAnsi="Verdana"/>
      <w:sz w:val="20"/>
      <w:lang w:val="en-US"/>
    </w:rPr>
  </w:style>
  <w:style w:type="numbering" w:customStyle="1" w:styleId="mc">
    <w:name w:val="mc"/>
    <w:rsid w:val="00C7494D"/>
    <w:pPr>
      <w:numPr>
        <w:numId w:val="1"/>
      </w:numPr>
    </w:pPr>
  </w:style>
  <w:style w:type="paragraph" w:customStyle="1" w:styleId="Char5CharChar">
    <w:name w:val="Char5 Char Char"/>
    <w:basedOn w:val="Normal"/>
    <w:rsid w:val="00C749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C7494D"/>
    <w:pPr>
      <w:widowControl w:val="0"/>
      <w:spacing w:after="0" w:line="240" w:lineRule="auto"/>
    </w:pPr>
    <w:rPr>
      <w:rFonts w:ascii="Arial" w:eastAsia="Times New Roman" w:hAnsi="Arial" w:cs="Times New Roman"/>
      <w:b/>
      <w:sz w:val="20"/>
      <w:szCs w:val="24"/>
      <w:lang w:eastAsia="en-GB"/>
    </w:rPr>
  </w:style>
  <w:style w:type="character" w:customStyle="1" w:styleId="PartChar">
    <w:name w:val="Part Char"/>
    <w:link w:val="Part"/>
    <w:locked/>
    <w:rsid w:val="00C7494D"/>
    <w:rPr>
      <w:rFonts w:ascii="Arial" w:eastAsia="Times New Roman" w:hAnsi="Arial" w:cs="Times New Roman"/>
      <w:b/>
      <w:sz w:val="20"/>
      <w:szCs w:val="24"/>
      <w:lang w:eastAsia="en-GB"/>
    </w:rPr>
  </w:style>
  <w:style w:type="paragraph" w:customStyle="1" w:styleId="Outline1">
    <w:name w:val="Outline 1"/>
    <w:basedOn w:val="Normal"/>
    <w:rsid w:val="00C7494D"/>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C7494D"/>
    <w:pPr>
      <w:spacing w:after="0" w:line="240" w:lineRule="auto"/>
    </w:pPr>
    <w:rPr>
      <w:rFonts w:ascii="Arial" w:eastAsia="Times New Roman" w:hAnsi="Arial" w:cs="Arial"/>
      <w:sz w:val="24"/>
      <w:szCs w:val="24"/>
    </w:rPr>
  </w:style>
  <w:style w:type="paragraph" w:customStyle="1" w:styleId="Bodysubclause">
    <w:name w:val="Body  sub clause"/>
    <w:basedOn w:val="Normal"/>
    <w:rsid w:val="00C7494D"/>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7494D"/>
    <w:pPr>
      <w:suppressAutoHyphens w:val="0"/>
      <w:jc w:val="left"/>
    </w:pPr>
    <w:rPr>
      <w:rFonts w:eastAsia="MS ??" w:cs="Arial"/>
      <w:sz w:val="22"/>
      <w:szCs w:val="22"/>
    </w:rPr>
  </w:style>
  <w:style w:type="character" w:customStyle="1" w:styleId="BodyTextChar">
    <w:name w:val="Body Text Char"/>
    <w:basedOn w:val="DefaultParagraphFont"/>
    <w:link w:val="BodyText"/>
    <w:uiPriority w:val="99"/>
    <w:rsid w:val="00C7494D"/>
    <w:rPr>
      <w:rFonts w:ascii="Arial" w:eastAsia="MS ??" w:hAnsi="Arial" w:cs="Arial"/>
    </w:rPr>
  </w:style>
  <w:style w:type="character" w:customStyle="1" w:styleId="Defterm">
    <w:name w:val="Defterm"/>
    <w:rsid w:val="00C7494D"/>
    <w:rPr>
      <w:b/>
      <w:color w:val="000000"/>
      <w:sz w:val="22"/>
    </w:rPr>
  </w:style>
  <w:style w:type="paragraph" w:customStyle="1" w:styleId="Level6">
    <w:name w:val="Level 6"/>
    <w:basedOn w:val="Normal"/>
    <w:uiPriority w:val="99"/>
    <w:rsid w:val="00C7494D"/>
    <w:pPr>
      <w:tabs>
        <w:tab w:val="num" w:pos="3600"/>
      </w:tabs>
      <w:suppressAutoHyphens w:val="0"/>
      <w:ind w:left="3600" w:hanging="576"/>
      <w:jc w:val="left"/>
    </w:pPr>
  </w:style>
  <w:style w:type="paragraph" w:customStyle="1" w:styleId="Level7">
    <w:name w:val="Level 7"/>
    <w:basedOn w:val="Normal"/>
    <w:uiPriority w:val="99"/>
    <w:rsid w:val="00C7494D"/>
    <w:pPr>
      <w:tabs>
        <w:tab w:val="num" w:pos="3960"/>
      </w:tabs>
      <w:suppressAutoHyphens w:val="0"/>
      <w:ind w:left="3960" w:hanging="360"/>
      <w:jc w:val="left"/>
    </w:pPr>
  </w:style>
  <w:style w:type="paragraph" w:customStyle="1" w:styleId="Level8">
    <w:name w:val="Level 8"/>
    <w:basedOn w:val="Normal"/>
    <w:uiPriority w:val="99"/>
    <w:rsid w:val="00C7494D"/>
    <w:pPr>
      <w:tabs>
        <w:tab w:val="num" w:pos="4320"/>
      </w:tabs>
      <w:suppressAutoHyphens w:val="0"/>
      <w:ind w:left="4320" w:hanging="360"/>
      <w:jc w:val="left"/>
    </w:pPr>
  </w:style>
  <w:style w:type="paragraph" w:customStyle="1" w:styleId="Level9">
    <w:name w:val="Level 9"/>
    <w:basedOn w:val="Normal"/>
    <w:uiPriority w:val="99"/>
    <w:rsid w:val="00C7494D"/>
    <w:pPr>
      <w:tabs>
        <w:tab w:val="num" w:pos="4752"/>
      </w:tabs>
      <w:suppressAutoHyphens w:val="0"/>
      <w:ind w:left="4752" w:hanging="432"/>
      <w:jc w:val="left"/>
    </w:pPr>
  </w:style>
  <w:style w:type="paragraph" w:customStyle="1" w:styleId="00-Normal-BB">
    <w:name w:val="00-Normal-BB"/>
    <w:rsid w:val="00C7494D"/>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C7494D"/>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C7494D"/>
    <w:rPr>
      <w:vanish w:val="0"/>
      <w:webHidden w:val="0"/>
      <w:sz w:val="30"/>
      <w:szCs w:val="30"/>
      <w:shd w:val="clear" w:color="auto" w:fill="FFFFFF"/>
      <w:specVanish w:val="0"/>
    </w:rPr>
  </w:style>
  <w:style w:type="paragraph" w:styleId="BodyTextIndent">
    <w:name w:val="Body Text Indent"/>
    <w:basedOn w:val="Normal"/>
    <w:link w:val="BodyTextIndentChar"/>
    <w:uiPriority w:val="99"/>
    <w:semiHidden/>
    <w:unhideWhenUsed/>
    <w:rsid w:val="00C7494D"/>
    <w:pPr>
      <w:spacing w:after="120"/>
      <w:ind w:left="283"/>
    </w:pPr>
  </w:style>
  <w:style w:type="character" w:customStyle="1" w:styleId="BodyTextIndentChar">
    <w:name w:val="Body Text Indent Char"/>
    <w:basedOn w:val="DefaultParagraphFont"/>
    <w:link w:val="BodyTextIndent"/>
    <w:uiPriority w:val="99"/>
    <w:semiHidden/>
    <w:rsid w:val="00C7494D"/>
    <w:rPr>
      <w:rFonts w:ascii="Arial" w:eastAsia="Times New Roman" w:hAnsi="Arial" w:cs="Times New Roman"/>
      <w:sz w:val="24"/>
      <w:szCs w:val="20"/>
    </w:rPr>
  </w:style>
  <w:style w:type="paragraph" w:customStyle="1" w:styleId="Index">
    <w:name w:val="Index"/>
    <w:basedOn w:val="Normal"/>
    <w:uiPriority w:val="99"/>
    <w:rsid w:val="00C7494D"/>
    <w:pPr>
      <w:keepNext/>
      <w:keepLines/>
      <w:numPr>
        <w:numId w:val="2"/>
      </w:numPr>
      <w:ind w:hanging="720"/>
    </w:pPr>
    <w:rPr>
      <w:rFonts w:cs="Arial"/>
      <w:b/>
      <w:bCs/>
      <w:sz w:val="20"/>
      <w:lang w:eastAsia="en-GB"/>
    </w:rPr>
  </w:style>
  <w:style w:type="paragraph" w:customStyle="1" w:styleId="Default">
    <w:name w:val="Default"/>
    <w:rsid w:val="000130AD"/>
    <w:pPr>
      <w:autoSpaceDE w:val="0"/>
      <w:autoSpaceDN w:val="0"/>
      <w:adjustRightInd w:val="0"/>
      <w:spacing w:after="0" w:line="240" w:lineRule="auto"/>
    </w:pPr>
    <w:rPr>
      <w:rFonts w:ascii="Syntax" w:eastAsia="Times New Roman" w:hAnsi="Syntax" w:cs="Syntax"/>
      <w:color w:val="000000"/>
      <w:sz w:val="24"/>
      <w:szCs w:val="24"/>
      <w:lang w:eastAsia="en-GB"/>
    </w:rPr>
  </w:style>
  <w:style w:type="paragraph" w:customStyle="1" w:styleId="CM16">
    <w:name w:val="CM16"/>
    <w:basedOn w:val="Default"/>
    <w:next w:val="Default"/>
    <w:rsid w:val="000130AD"/>
    <w:rPr>
      <w:rFonts w:cs="Times New Roman"/>
      <w:color w:val="auto"/>
    </w:rPr>
  </w:style>
  <w:style w:type="character" w:customStyle="1" w:styleId="Bulletleft1Char">
    <w:name w:val="Bullet left 1 Char"/>
    <w:basedOn w:val="DefaultParagraphFont"/>
    <w:link w:val="Bulletleft1"/>
    <w:rsid w:val="000130AD"/>
    <w:rPr>
      <w:rFonts w:ascii="Arial" w:hAnsi="Arial"/>
      <w:sz w:val="24"/>
      <w:szCs w:val="24"/>
      <w:lang w:val="en-US"/>
    </w:rPr>
  </w:style>
  <w:style w:type="paragraph" w:customStyle="1" w:styleId="Bulletleft1">
    <w:name w:val="Bullet left 1"/>
    <w:basedOn w:val="Normal"/>
    <w:link w:val="Bulletleft1Char"/>
    <w:rsid w:val="000130AD"/>
    <w:pPr>
      <w:numPr>
        <w:numId w:val="11"/>
      </w:numPr>
      <w:tabs>
        <w:tab w:val="clear" w:pos="284"/>
        <w:tab w:val="num" w:pos="720"/>
      </w:tabs>
      <w:suppressAutoHyphens w:val="0"/>
      <w:spacing w:line="360" w:lineRule="auto"/>
      <w:ind w:left="720" w:hanging="360"/>
      <w:jc w:val="left"/>
    </w:pPr>
    <w:rPr>
      <w:rFonts w:eastAsiaTheme="minorHAnsi" w:cstheme="minorBidi"/>
      <w:szCs w:val="24"/>
      <w:lang w:val="en-US"/>
    </w:rPr>
  </w:style>
  <w:style w:type="paragraph" w:customStyle="1" w:styleId="Bulletleft1last">
    <w:name w:val="Bullet left 1 last"/>
    <w:basedOn w:val="Normal"/>
    <w:link w:val="Bulletleft1lastChar"/>
    <w:rsid w:val="000130AD"/>
    <w:pPr>
      <w:numPr>
        <w:numId w:val="12"/>
      </w:numPr>
      <w:suppressAutoHyphens w:val="0"/>
      <w:spacing w:after="240" w:line="360" w:lineRule="auto"/>
      <w:jc w:val="left"/>
    </w:pPr>
    <w:rPr>
      <w:rFonts w:cs="Arial"/>
      <w:szCs w:val="24"/>
      <w:lang w:val="en-US"/>
    </w:rPr>
  </w:style>
  <w:style w:type="character" w:customStyle="1" w:styleId="Bulletleft1lastChar">
    <w:name w:val="Bullet left 1 last Char"/>
    <w:basedOn w:val="DefaultParagraphFont"/>
    <w:link w:val="Bulletleft1last"/>
    <w:rsid w:val="000130AD"/>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divs>
    <w:div w:id="331225823">
      <w:bodyDiv w:val="1"/>
      <w:marLeft w:val="0"/>
      <w:marRight w:val="0"/>
      <w:marTop w:val="0"/>
      <w:marBottom w:val="0"/>
      <w:divBdr>
        <w:top w:val="none" w:sz="0" w:space="0" w:color="auto"/>
        <w:left w:val="none" w:sz="0" w:space="0" w:color="auto"/>
        <w:bottom w:val="none" w:sz="0" w:space="0" w:color="auto"/>
        <w:right w:val="none" w:sz="0" w:space="0" w:color="auto"/>
      </w:divBdr>
    </w:div>
    <w:div w:id="633675520">
      <w:bodyDiv w:val="1"/>
      <w:marLeft w:val="0"/>
      <w:marRight w:val="0"/>
      <w:marTop w:val="0"/>
      <w:marBottom w:val="0"/>
      <w:divBdr>
        <w:top w:val="none" w:sz="0" w:space="0" w:color="auto"/>
        <w:left w:val="none" w:sz="0" w:space="0" w:color="auto"/>
        <w:bottom w:val="none" w:sz="0" w:space="0" w:color="auto"/>
        <w:right w:val="none" w:sz="0" w:space="0" w:color="auto"/>
      </w:divBdr>
    </w:div>
    <w:div w:id="1326130410">
      <w:bodyDiv w:val="1"/>
      <w:marLeft w:val="0"/>
      <w:marRight w:val="0"/>
      <w:marTop w:val="0"/>
      <w:marBottom w:val="0"/>
      <w:divBdr>
        <w:top w:val="none" w:sz="0" w:space="0" w:color="auto"/>
        <w:left w:val="none" w:sz="0" w:space="0" w:color="auto"/>
        <w:bottom w:val="none" w:sz="0" w:space="0" w:color="auto"/>
        <w:right w:val="none" w:sz="0" w:space="0" w:color="auto"/>
      </w:divBdr>
    </w:div>
    <w:div w:id="15976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hsemployers.org/RecruitmentAndRetention/Employment-checks/Employment-Check-Standards/Pages/VerificationOfIdentityChecks.aspx" TargetMode="External"/><Relationship Id="rId18" Type="http://schemas.openxmlformats.org/officeDocument/2006/relationships/hyperlink" Target="http://www.nhsemployers.org/RecruitmentAndRetention/Employment-checks/Employment-Check-Standards/Pages/OccupationalHealthCheck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pga/2004/31/section/11" TargetMode="External"/><Relationship Id="rId17" Type="http://schemas.openxmlformats.org/officeDocument/2006/relationships/hyperlink" Target="http://www.nhsemployers.org/RecruitmentAndRetention/Employment-checks/Employment-Check-Standards/Pages/CriminalRecordCheck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employers.org/RecruitmentAndRetention/Employment-checks/Employment-Check-Standards/Pages/Employmenthistoryandreferencecheck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regulation.org/sites/default/files/Standards%20of%20conduct%20ethics%20and%20performance%20July%202012.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hsemployers.org/RecruitmentAndRetention/Employment-checks/Employment-Check-Standards/Pages/Registrationandqualificationchecks.aspx" TargetMode="External"/><Relationship Id="rId23" Type="http://schemas.openxmlformats.org/officeDocument/2006/relationships/header" Target="header3.xml"/><Relationship Id="rId10" Type="http://schemas.openxmlformats.org/officeDocument/2006/relationships/hyperlink" Target="http://www.pharmacyregulation.org/sites/default/files/Standards%20for%20registered%20pharmacies%20September%2020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http://www.nhsemployers.org/RecruitmentAndRetention/Employment-checks/Employment-Check-Standards/Pages/RightToWorkCheck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E55F2-F35C-47F4-83A2-AD9624A1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bal.s.kaur</dc:creator>
  <cp:lastModifiedBy>bal.s.kaur</cp:lastModifiedBy>
  <cp:revision>12</cp:revision>
  <cp:lastPrinted>2013-12-05T14:46:00Z</cp:lastPrinted>
  <dcterms:created xsi:type="dcterms:W3CDTF">2013-12-09T14:29:00Z</dcterms:created>
  <dcterms:modified xsi:type="dcterms:W3CDTF">2014-04-07T14:45:00Z</dcterms:modified>
</cp:coreProperties>
</file>