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42" w:rsidRDefault="000F7545" w:rsidP="00F26E42">
      <w:pPr>
        <w:spacing w:after="2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0F7545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222625">
        <w:rPr>
          <w:rFonts w:ascii="Arial" w:eastAsia="Times New Roman" w:hAnsi="Arial" w:cs="Arial"/>
          <w:b/>
          <w:bCs/>
          <w:color w:val="000000"/>
          <w:sz w:val="20"/>
          <w:szCs w:val="20"/>
        </w:rPr>
        <w:t>Declaration of Competence (DOC)  for Emergency Contraception service via PGD in Somerset – August 2016</w:t>
      </w:r>
    </w:p>
    <w:p w:rsidR="00FE7E42" w:rsidRDefault="00222625" w:rsidP="000F7545">
      <w:pPr>
        <w:spacing w:after="24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B2772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Declaration of Competence (DOC)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4F7AA9" w:rsidRDefault="004F7AA9" w:rsidP="00B2772A">
      <w:pPr>
        <w:spacing w:line="240" w:lineRule="auto"/>
        <w:rPr>
          <w:rFonts w:ascii="Arial" w:eastAsia="Times New Roman" w:hAnsi="Arial" w:cs="Times New Roman"/>
          <w:sz w:val="20"/>
          <w:szCs w:val="24"/>
          <w:lang w:eastAsia="en-GB"/>
        </w:rPr>
      </w:pPr>
      <w:r>
        <w:rPr>
          <w:rFonts w:ascii="Arial" w:eastAsia="Times New Roman" w:hAnsi="Arial" w:cs="Times New Roman"/>
          <w:sz w:val="20"/>
          <w:szCs w:val="24"/>
          <w:lang w:eastAsia="en-GB"/>
        </w:rPr>
        <w:t xml:space="preserve">Declaration of Competence </w:t>
      </w:r>
      <w:r w:rsidRPr="00B2772A">
        <w:rPr>
          <w:rFonts w:ascii="Arial" w:eastAsia="Times New Roman" w:hAnsi="Arial" w:cs="Times New Roman"/>
          <w:sz w:val="20"/>
          <w:szCs w:val="24"/>
          <w:lang w:eastAsia="en-GB"/>
        </w:rPr>
        <w:t>is</w:t>
      </w:r>
      <w:r w:rsidR="00B2772A" w:rsidRPr="00B2772A">
        <w:rPr>
          <w:rFonts w:ascii="Arial" w:eastAsia="Times New Roman" w:hAnsi="Arial" w:cs="Times New Roman"/>
          <w:sz w:val="20"/>
          <w:szCs w:val="24"/>
          <w:lang w:eastAsia="en-GB"/>
        </w:rPr>
        <w:t xml:space="preserve"> now the national gold standard for Pharmacists to declare their competence in order to provide a service.  </w:t>
      </w:r>
    </w:p>
    <w:p w:rsidR="006B6422" w:rsidRDefault="000F7545" w:rsidP="00B2772A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B2772A">
        <w:rPr>
          <w:rFonts w:ascii="Arial" w:eastAsia="Times New Roman" w:hAnsi="Arial" w:cs="Arial"/>
          <w:b/>
          <w:color w:val="000000"/>
          <w:sz w:val="20"/>
          <w:szCs w:val="20"/>
        </w:rPr>
        <w:br/>
      </w:r>
      <w:r w:rsidR="006B6422" w:rsidRPr="000F7545">
        <w:rPr>
          <w:rFonts w:ascii="Arial" w:eastAsia="Times New Roman" w:hAnsi="Arial" w:cs="Arial"/>
          <w:color w:val="000000"/>
          <w:sz w:val="20"/>
          <w:szCs w:val="20"/>
        </w:rPr>
        <w:t xml:space="preserve">The process to be completed for </w:t>
      </w:r>
      <w:proofErr w:type="spellStart"/>
      <w:r w:rsidR="006B6422" w:rsidRPr="000F7545">
        <w:rPr>
          <w:rFonts w:ascii="Arial" w:eastAsia="Times New Roman" w:hAnsi="Arial" w:cs="Arial"/>
          <w:color w:val="000000"/>
          <w:sz w:val="20"/>
          <w:szCs w:val="20"/>
        </w:rPr>
        <w:t>DoC</w:t>
      </w:r>
      <w:proofErr w:type="spellEnd"/>
      <w:r w:rsidR="006B6422" w:rsidRPr="000F7545">
        <w:rPr>
          <w:rFonts w:ascii="Arial" w:eastAsia="Times New Roman" w:hAnsi="Arial" w:cs="Arial"/>
          <w:color w:val="000000"/>
          <w:sz w:val="20"/>
          <w:szCs w:val="20"/>
        </w:rPr>
        <w:t xml:space="preserve"> to provid</w:t>
      </w:r>
      <w:r w:rsidR="006B6422">
        <w:rPr>
          <w:rFonts w:ascii="Arial" w:eastAsia="Times New Roman" w:hAnsi="Arial" w:cs="Arial"/>
          <w:color w:val="000000"/>
          <w:sz w:val="20"/>
          <w:szCs w:val="20"/>
        </w:rPr>
        <w:t xml:space="preserve">e EHC services </w:t>
      </w:r>
      <w:r w:rsidR="005D7E67">
        <w:rPr>
          <w:rFonts w:ascii="Arial" w:eastAsia="Times New Roman" w:hAnsi="Arial" w:cs="Arial"/>
          <w:color w:val="000000"/>
          <w:sz w:val="20"/>
          <w:szCs w:val="20"/>
        </w:rPr>
        <w:t xml:space="preserve">in Somerset </w:t>
      </w:r>
      <w:r w:rsidR="006B6422">
        <w:rPr>
          <w:rFonts w:ascii="Arial" w:eastAsia="Times New Roman" w:hAnsi="Arial" w:cs="Arial"/>
          <w:color w:val="000000"/>
          <w:sz w:val="20"/>
          <w:szCs w:val="20"/>
        </w:rPr>
        <w:t xml:space="preserve">is as follows: </w:t>
      </w:r>
    </w:p>
    <w:p w:rsidR="005D7E67" w:rsidRDefault="005D7E67" w:rsidP="005D7E67">
      <w:pPr>
        <w:pStyle w:val="ListParagraph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5D7E67">
        <w:rPr>
          <w:rFonts w:ascii="Arial" w:eastAsia="Times New Roman" w:hAnsi="Arial" w:cs="Arial"/>
          <w:color w:val="000000"/>
          <w:sz w:val="20"/>
          <w:szCs w:val="20"/>
        </w:rPr>
        <w:t xml:space="preserve">Log onto the Declaration of Competence section on the CPPE website at: </w:t>
      </w:r>
      <w:hyperlink r:id="rId5" w:tgtFrame="_blank" w:history="1">
        <w:r w:rsidRPr="005D7E67">
          <w:rPr>
            <w:rStyle w:val="Hyperlink"/>
            <w:rFonts w:ascii="Arial" w:eastAsia="Times New Roman" w:hAnsi="Arial" w:cs="Arial"/>
            <w:sz w:val="20"/>
            <w:szCs w:val="20"/>
          </w:rPr>
          <w:t>www.cppe.ac.uk/services/declaration-of-competence</w:t>
        </w:r>
      </w:hyperlink>
      <w:r w:rsidRPr="005D7E67">
        <w:rPr>
          <w:rFonts w:ascii="Arial" w:eastAsia="Times New Roman" w:hAnsi="Arial" w:cs="Arial"/>
          <w:color w:val="000000"/>
          <w:sz w:val="20"/>
          <w:szCs w:val="20"/>
        </w:rPr>
        <w:t xml:space="preserve"> - select 'emergency contraception” from the list of services on the right hand side of the screen</w:t>
      </w:r>
    </w:p>
    <w:p w:rsidR="006457ED" w:rsidRPr="006457ED" w:rsidRDefault="006457ED" w:rsidP="006457ED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00000"/>
          <w:sz w:val="20"/>
          <w:szCs w:val="20"/>
        </w:rPr>
      </w:pPr>
      <w:r w:rsidRPr="006457ED">
        <w:rPr>
          <w:rFonts w:ascii="Arial" w:eastAsia="Times New Roman" w:hAnsi="Arial" w:cs="Arial"/>
          <w:color w:val="000000"/>
          <w:sz w:val="20"/>
          <w:szCs w:val="20"/>
        </w:rPr>
        <w:t xml:space="preserve">Download and work through the </w:t>
      </w:r>
      <w:proofErr w:type="spellStart"/>
      <w:r w:rsidRPr="006457ED">
        <w:rPr>
          <w:rFonts w:ascii="Arial" w:eastAsia="Times New Roman" w:hAnsi="Arial" w:cs="Arial"/>
          <w:color w:val="000000"/>
          <w:sz w:val="20"/>
          <w:szCs w:val="20"/>
        </w:rPr>
        <w:t>DoC</w:t>
      </w:r>
      <w:proofErr w:type="spellEnd"/>
      <w:r w:rsidRPr="006457ED">
        <w:rPr>
          <w:rFonts w:ascii="Arial" w:eastAsia="Times New Roman" w:hAnsi="Arial" w:cs="Arial"/>
          <w:color w:val="000000"/>
          <w:sz w:val="20"/>
          <w:szCs w:val="20"/>
        </w:rPr>
        <w:t xml:space="preserve"> s</w:t>
      </w:r>
      <w:r>
        <w:rPr>
          <w:rFonts w:ascii="Arial" w:eastAsia="Times New Roman" w:hAnsi="Arial" w:cs="Arial"/>
          <w:color w:val="000000"/>
          <w:sz w:val="20"/>
          <w:szCs w:val="20"/>
        </w:rPr>
        <w:t>elf-assessment framework for Emergency Contraception (Step1 )</w:t>
      </w:r>
    </w:p>
    <w:p w:rsidR="005D7E67" w:rsidRDefault="005D7E67" w:rsidP="005D7E67">
      <w:pPr>
        <w:pStyle w:val="ListParagraph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 w:rsidRPr="005D7E67">
        <w:rPr>
          <w:rFonts w:ascii="Arial" w:eastAsia="Times New Roman" w:hAnsi="Arial" w:cs="Arial"/>
          <w:color w:val="000000"/>
          <w:sz w:val="20"/>
          <w:szCs w:val="20"/>
        </w:rPr>
        <w:t>Complete the minimum CPPE learning and assessments as</w:t>
      </w:r>
      <w:r w:rsidR="006457ED">
        <w:rPr>
          <w:rFonts w:ascii="Arial" w:eastAsia="Times New Roman" w:hAnsi="Arial" w:cs="Arial"/>
          <w:color w:val="000000"/>
          <w:sz w:val="20"/>
          <w:szCs w:val="20"/>
        </w:rPr>
        <w:t xml:space="preserve"> detailed for Somerset (see table below) ( Steps 2 and 3</w:t>
      </w:r>
      <w:r w:rsidRPr="005D7E67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E373AD" w:rsidRDefault="00E373AD" w:rsidP="005D7E67">
      <w:pPr>
        <w:pStyle w:val="ListParagraph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Complete , print and sign your </w:t>
      </w:r>
      <w:r w:rsidR="006457ED">
        <w:rPr>
          <w:rFonts w:ascii="Arial" w:eastAsia="Times New Roman" w:hAnsi="Arial" w:cs="Arial"/>
          <w:color w:val="000000"/>
          <w:sz w:val="20"/>
          <w:szCs w:val="20"/>
        </w:rPr>
        <w:t>statement of declaration for Emergency Contraception(Step 4)</w:t>
      </w:r>
    </w:p>
    <w:p w:rsidR="00E373AD" w:rsidRDefault="006457ED" w:rsidP="005D7E67">
      <w:pPr>
        <w:pStyle w:val="ListParagraph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Read through and </w:t>
      </w:r>
      <w:r w:rsidR="00E373AD">
        <w:rPr>
          <w:rFonts w:ascii="Arial" w:eastAsia="Times New Roman" w:hAnsi="Arial" w:cs="Arial"/>
          <w:color w:val="000000"/>
          <w:sz w:val="20"/>
          <w:szCs w:val="20"/>
        </w:rPr>
        <w:t>Sign the PGD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( Version 3 December 2015)</w:t>
      </w:r>
    </w:p>
    <w:p w:rsidR="00E373AD" w:rsidRDefault="00E373AD" w:rsidP="005D7E67">
      <w:pPr>
        <w:pStyle w:val="ListParagraph"/>
        <w:numPr>
          <w:ilvl w:val="0"/>
          <w:numId w:val="11"/>
        </w:num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Retain signed copies of both the PGD and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DoC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in the pharmacy as these must be available for inspection if asked.</w:t>
      </w:r>
    </w:p>
    <w:p w:rsidR="005D7E67" w:rsidRPr="00ED6ADF" w:rsidRDefault="00E373AD" w:rsidP="00ED6ADF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NB For pre- registration pharmacists: Complete the minimum learning and assessments. When you have registered with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GPhC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you can then complete print and sign your declaration of competence and sign the PGD. </w:t>
      </w:r>
    </w:p>
    <w:p w:rsidR="00F26E42" w:rsidRPr="00F26E42" w:rsidRDefault="00F26E42" w:rsidP="00F26E42">
      <w:pPr>
        <w:spacing w:line="240" w:lineRule="auto"/>
        <w:rPr>
          <w:rFonts w:ascii="Arial" w:eastAsia="Times New Roman" w:hAnsi="Arial" w:cs="Times New Roman"/>
          <w:b/>
          <w:sz w:val="20"/>
          <w:szCs w:val="24"/>
          <w:lang w:eastAsia="en-GB"/>
        </w:rPr>
      </w:pPr>
      <w:r w:rsidRPr="00F26E42">
        <w:rPr>
          <w:rFonts w:ascii="Arial" w:eastAsia="Times New Roman" w:hAnsi="Arial" w:cs="Times New Roman"/>
          <w:b/>
          <w:sz w:val="20"/>
          <w:szCs w:val="24"/>
          <w:lang w:eastAsia="en-GB"/>
        </w:rPr>
        <w:t>Pharm Outcomes.</w:t>
      </w:r>
    </w:p>
    <w:p w:rsidR="00F26E42" w:rsidRPr="00F26E42" w:rsidRDefault="00AF2C8A" w:rsidP="00F26E42">
      <w:pPr>
        <w:spacing w:line="240" w:lineRule="auto"/>
        <w:rPr>
          <w:rFonts w:ascii="Arial" w:eastAsia="Times New Roman" w:hAnsi="Arial" w:cs="Times New Roman"/>
          <w:sz w:val="20"/>
          <w:szCs w:val="24"/>
          <w:lang w:eastAsia="en-GB"/>
        </w:rPr>
      </w:pPr>
      <w:r>
        <w:rPr>
          <w:rFonts w:ascii="Arial" w:eastAsia="Times New Roman" w:hAnsi="Arial" w:cs="Times New Roman"/>
          <w:sz w:val="20"/>
          <w:szCs w:val="24"/>
          <w:lang w:eastAsia="en-GB"/>
        </w:rPr>
        <w:t>  Pharmacists</w:t>
      </w:r>
      <w:r w:rsidR="006457ED">
        <w:rPr>
          <w:rFonts w:ascii="Arial" w:eastAsia="Times New Roman" w:hAnsi="Arial" w:cs="Times New Roman"/>
          <w:sz w:val="20"/>
          <w:szCs w:val="24"/>
          <w:lang w:eastAsia="en-GB"/>
        </w:rPr>
        <w:t xml:space="preserve"> have to </w:t>
      </w:r>
      <w:r w:rsidR="00F26E42" w:rsidRPr="00F26E42">
        <w:rPr>
          <w:rFonts w:ascii="Arial" w:eastAsia="Times New Roman" w:hAnsi="Arial" w:cs="Times New Roman"/>
          <w:sz w:val="20"/>
          <w:szCs w:val="24"/>
          <w:lang w:eastAsia="en-GB"/>
        </w:rPr>
        <w:t>enrol</w:t>
      </w:r>
      <w:r w:rsidR="006457ED">
        <w:rPr>
          <w:rFonts w:ascii="Arial" w:eastAsia="Times New Roman" w:hAnsi="Arial" w:cs="Times New Roman"/>
          <w:sz w:val="20"/>
          <w:szCs w:val="24"/>
          <w:lang w:eastAsia="en-GB"/>
        </w:rPr>
        <w:t xml:space="preserve"> on the service </w:t>
      </w:r>
      <w:r w:rsidR="00F26E42" w:rsidRPr="00F26E42">
        <w:rPr>
          <w:rFonts w:ascii="Arial" w:eastAsia="Times New Roman" w:hAnsi="Arial" w:cs="Times New Roman"/>
          <w:sz w:val="20"/>
          <w:szCs w:val="24"/>
          <w:lang w:eastAsia="en-GB"/>
        </w:rPr>
        <w:t>and declare their co</w:t>
      </w:r>
      <w:r>
        <w:rPr>
          <w:rFonts w:ascii="Arial" w:eastAsia="Times New Roman" w:hAnsi="Arial" w:cs="Times New Roman"/>
          <w:sz w:val="20"/>
          <w:szCs w:val="24"/>
          <w:lang w:eastAsia="en-GB"/>
        </w:rPr>
        <w:t xml:space="preserve">mpetence.  The enrolment is </w:t>
      </w:r>
      <w:r w:rsidRPr="00F26E42">
        <w:rPr>
          <w:rFonts w:ascii="Arial" w:eastAsia="Times New Roman" w:hAnsi="Arial" w:cs="Times New Roman"/>
          <w:sz w:val="20"/>
          <w:szCs w:val="24"/>
          <w:lang w:eastAsia="en-GB"/>
        </w:rPr>
        <w:t>linked</w:t>
      </w:r>
      <w:r w:rsidR="00F26E42" w:rsidRPr="00F26E42">
        <w:rPr>
          <w:rFonts w:ascii="Arial" w:eastAsia="Times New Roman" w:hAnsi="Arial" w:cs="Times New Roman"/>
          <w:sz w:val="20"/>
          <w:szCs w:val="24"/>
          <w:lang w:eastAsia="en-GB"/>
        </w:rPr>
        <w:t> to the CPPE website</w:t>
      </w:r>
      <w:r w:rsidR="006457ED">
        <w:rPr>
          <w:rFonts w:ascii="Arial" w:eastAsia="Times New Roman" w:hAnsi="Arial" w:cs="Times New Roman"/>
          <w:sz w:val="20"/>
          <w:szCs w:val="24"/>
          <w:lang w:eastAsia="en-GB"/>
        </w:rPr>
        <w:t xml:space="preserve">. On “My CPPE” you need to tick the boxes to enable CPPE viewer and Pharm Outcomes </w:t>
      </w:r>
    </w:p>
    <w:p w:rsidR="00ED6ADF" w:rsidRDefault="00ED6ADF" w:rsidP="00ED6AD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F7545">
        <w:rPr>
          <w:rFonts w:ascii="Arial" w:eastAsia="Times New Roman" w:hAnsi="Arial" w:cs="Arial"/>
          <w:color w:val="000000"/>
          <w:sz w:val="20"/>
          <w:szCs w:val="20"/>
        </w:rPr>
        <w:t xml:space="preserve">If you have any questions please contact Michelle Hawkes at: </w:t>
      </w:r>
      <w:hyperlink r:id="rId6" w:history="1">
        <w:r w:rsidRPr="000F7545">
          <w:rPr>
            <w:rStyle w:val="Hyperlink"/>
            <w:rFonts w:ascii="Arial" w:eastAsia="Times New Roman" w:hAnsi="Arial" w:cs="Arial"/>
            <w:sz w:val="20"/>
            <w:szCs w:val="20"/>
          </w:rPr>
          <w:t>MHawkes@somerset.gov.uk</w:t>
        </w:r>
      </w:hyperlink>
      <w:r w:rsidRPr="000F75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D6ADF" w:rsidRDefault="00ED6AD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:rsidR="00C804AF" w:rsidRPr="001A6368" w:rsidRDefault="001A6368" w:rsidP="00431347">
      <w:pPr>
        <w:spacing w:after="240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1A6368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CPPE Learning and Assessments required for EHC Service in Somerset</w:t>
      </w:r>
    </w:p>
    <w:p w:rsidR="00B319BC" w:rsidRDefault="00A42769" w:rsidP="000F7545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A6368">
        <w:rPr>
          <w:rFonts w:ascii="Arial" w:eastAsia="Times New Roman" w:hAnsi="Arial" w:cs="Arial"/>
          <w:color w:val="000000"/>
          <w:sz w:val="20"/>
          <w:szCs w:val="20"/>
        </w:rPr>
        <w:t xml:space="preserve"> On the </w:t>
      </w:r>
      <w:proofErr w:type="spellStart"/>
      <w:r w:rsidR="005E251C">
        <w:rPr>
          <w:rFonts w:ascii="Arial" w:eastAsia="Times New Roman" w:hAnsi="Arial" w:cs="Arial"/>
          <w:color w:val="000000"/>
          <w:sz w:val="20"/>
          <w:szCs w:val="20"/>
        </w:rPr>
        <w:t>DoC</w:t>
      </w:r>
      <w:proofErr w:type="spellEnd"/>
      <w:r w:rsidR="00BF70A5">
        <w:rPr>
          <w:rFonts w:ascii="Arial" w:eastAsia="Times New Roman" w:hAnsi="Arial" w:cs="Arial"/>
          <w:color w:val="000000"/>
          <w:sz w:val="20"/>
          <w:szCs w:val="20"/>
        </w:rPr>
        <w:t xml:space="preserve"> section</w:t>
      </w:r>
      <w:r w:rsidR="001A63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31347">
        <w:rPr>
          <w:rFonts w:ascii="Arial" w:eastAsia="Times New Roman" w:hAnsi="Arial" w:cs="Arial"/>
          <w:color w:val="000000"/>
          <w:sz w:val="20"/>
          <w:szCs w:val="20"/>
        </w:rPr>
        <w:t>of the CPPE website</w:t>
      </w:r>
      <w:r w:rsidR="001A636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7" w:tgtFrame="_blank" w:history="1">
        <w:r w:rsidR="00431347" w:rsidRPr="005D7E67">
          <w:rPr>
            <w:rStyle w:val="Hyperlink"/>
            <w:rFonts w:ascii="Arial" w:eastAsia="Times New Roman" w:hAnsi="Arial" w:cs="Arial"/>
            <w:sz w:val="20"/>
            <w:szCs w:val="20"/>
          </w:rPr>
          <w:t>www.cppe.ac.uk/services/declaration-of-competence</w:t>
        </w:r>
      </w:hyperlink>
      <w:r w:rsidR="00431347" w:rsidRPr="005D7E6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31347">
        <w:rPr>
          <w:rFonts w:ascii="Arial" w:eastAsia="Times New Roman" w:hAnsi="Arial" w:cs="Arial"/>
          <w:color w:val="000000"/>
          <w:sz w:val="20"/>
          <w:szCs w:val="20"/>
        </w:rPr>
        <w:t xml:space="preserve"> , </w:t>
      </w:r>
      <w:r w:rsidR="001A6368">
        <w:rPr>
          <w:rFonts w:ascii="Arial" w:eastAsia="Times New Roman" w:hAnsi="Arial" w:cs="Arial"/>
          <w:color w:val="000000"/>
          <w:sz w:val="20"/>
          <w:szCs w:val="20"/>
        </w:rPr>
        <w:t>for Emergency Contraception ,</w:t>
      </w:r>
      <w:r w:rsidR="00B319BC">
        <w:rPr>
          <w:rFonts w:ascii="Arial" w:eastAsia="Times New Roman" w:hAnsi="Arial" w:cs="Arial"/>
          <w:color w:val="000000"/>
          <w:sz w:val="20"/>
          <w:szCs w:val="20"/>
        </w:rPr>
        <w:t>there is a generic list of  r</w:t>
      </w:r>
      <w:r w:rsidR="004A0BDB" w:rsidRPr="000F7545">
        <w:rPr>
          <w:rFonts w:ascii="Arial" w:eastAsia="Times New Roman" w:hAnsi="Arial" w:cs="Arial"/>
          <w:color w:val="000000"/>
          <w:sz w:val="20"/>
          <w:szCs w:val="20"/>
        </w:rPr>
        <w:t xml:space="preserve">ecommended learning </w:t>
      </w:r>
      <w:r w:rsidR="00B319BC">
        <w:rPr>
          <w:rFonts w:ascii="Arial" w:eastAsia="Times New Roman" w:hAnsi="Arial" w:cs="Arial"/>
          <w:color w:val="000000"/>
          <w:sz w:val="20"/>
          <w:szCs w:val="20"/>
        </w:rPr>
        <w:t>and supporting a</w:t>
      </w:r>
      <w:r w:rsidR="005E251C" w:rsidRPr="000F7545">
        <w:rPr>
          <w:rFonts w:ascii="Arial" w:eastAsia="Times New Roman" w:hAnsi="Arial" w:cs="Arial"/>
          <w:color w:val="000000"/>
          <w:sz w:val="20"/>
          <w:szCs w:val="20"/>
        </w:rPr>
        <w:t>ssessmen</w:t>
      </w:r>
      <w:r w:rsidR="005E251C">
        <w:rPr>
          <w:rFonts w:ascii="Arial" w:eastAsia="Times New Roman" w:hAnsi="Arial" w:cs="Arial"/>
          <w:color w:val="000000"/>
          <w:sz w:val="20"/>
          <w:szCs w:val="20"/>
        </w:rPr>
        <w:t>ts</w:t>
      </w:r>
      <w:r w:rsidR="00BF70A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A0BDB" w:rsidRPr="000F7545">
        <w:rPr>
          <w:rFonts w:ascii="Arial" w:eastAsia="Times New Roman" w:hAnsi="Arial" w:cs="Arial"/>
          <w:color w:val="000000"/>
          <w:sz w:val="20"/>
          <w:szCs w:val="20"/>
        </w:rPr>
        <w:t xml:space="preserve"> for all pharmacists practising in England.</w:t>
      </w:r>
    </w:p>
    <w:p w:rsidR="0064522B" w:rsidRPr="00F07EB2" w:rsidRDefault="004A0BDB" w:rsidP="000F7545">
      <w:pPr>
        <w:spacing w:after="24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5E251C" w:rsidRPr="005E251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For pharmacists providing the EHC service in Somerset, t</w:t>
      </w:r>
      <w:r w:rsidR="000F7545" w:rsidRPr="005E251C">
        <w:rPr>
          <w:rFonts w:ascii="Arial" w:eastAsia="Times New Roman" w:hAnsi="Arial" w:cs="Arial"/>
          <w:b/>
          <w:color w:val="000000"/>
          <w:sz w:val="20"/>
          <w:szCs w:val="20"/>
        </w:rPr>
        <w:t>he minimum</w:t>
      </w:r>
      <w:r w:rsidR="005E251C" w:rsidRPr="005E251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CPPE learning</w:t>
      </w:r>
      <w:r w:rsidR="000F7545" w:rsidRPr="005E251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and assessments to be completed as demonst</w:t>
      </w:r>
      <w:r w:rsidR="005E251C" w:rsidRPr="005E251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ration of competence </w:t>
      </w:r>
      <w:r w:rsidR="000F7545" w:rsidRPr="005E251C">
        <w:rPr>
          <w:rFonts w:ascii="Arial" w:eastAsia="Times New Roman" w:hAnsi="Arial" w:cs="Arial"/>
          <w:b/>
          <w:color w:val="000000"/>
          <w:sz w:val="20"/>
          <w:szCs w:val="20"/>
        </w:rPr>
        <w:t>is as follows:</w:t>
      </w:r>
    </w:p>
    <w:tbl>
      <w:tblPr>
        <w:tblW w:w="13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8160"/>
        <w:gridCol w:w="3060"/>
      </w:tblGrid>
      <w:tr w:rsidR="000F7545" w:rsidRPr="00516075">
        <w:trPr>
          <w:trHeight w:val="714"/>
        </w:trPr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F7545" w:rsidRPr="00516075" w:rsidRDefault="000F7545" w:rsidP="001B013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F7545" w:rsidRPr="00516075" w:rsidRDefault="006A74B7" w:rsidP="001B0130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CPPE LEARNING  PROGRAMMES AND ASSESSMENTS TO BE COMPLETED TO PROVIDE EHC SERVICE IN SOMERSET</w:t>
            </w:r>
          </w:p>
        </w:tc>
        <w:tc>
          <w:tcPr>
            <w:tcW w:w="30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F7545" w:rsidRPr="00516075" w:rsidRDefault="000F7545" w:rsidP="001B013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Repeat at least every:</w:t>
            </w: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0F7545" w:rsidRPr="00516075">
        <w:trPr>
          <w:trHeight w:val="3391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F7545" w:rsidRPr="00516075" w:rsidRDefault="00981567" w:rsidP="001B013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LEARNING REQUIREMENTS</w:t>
            </w: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F7545" w:rsidRPr="00516075" w:rsidRDefault="000F7545" w:rsidP="001B0130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>Consultation skills: meeting the new practice standards for pharmacy and/or Confidence in cons</w:t>
            </w:r>
            <w:r w:rsidR="001226E0"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ultation skills </w:t>
            </w:r>
            <w:r w:rsidR="00303F0A">
              <w:rPr>
                <w:rFonts w:ascii="Arial" w:eastAsia="Times New Roman" w:hAnsi="Arial" w:cs="Arial"/>
                <w:sz w:val="20"/>
                <w:szCs w:val="20"/>
              </w:rPr>
              <w:t xml:space="preserve"> W</w:t>
            </w: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orkshop </w:t>
            </w:r>
          </w:p>
          <w:p w:rsidR="00A03E96" w:rsidRPr="00516075" w:rsidRDefault="001226E0" w:rsidP="001B0130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Consultation skills for pharmacy practice : taking a patient centred approach ( Distance learning book sent out to all pharmacists in March 2014- PDF can be downloaded from CPPE website or Consultation skills for Pharmacy practice website </w:t>
            </w:r>
          </w:p>
          <w:p w:rsidR="00A03E96" w:rsidRPr="00516075" w:rsidRDefault="00A03E96" w:rsidP="001B0130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Contraception e- learning </w:t>
            </w:r>
            <w:r w:rsidR="00731D34">
              <w:rPr>
                <w:rFonts w:ascii="Arial" w:eastAsia="Times New Roman" w:hAnsi="Arial" w:cs="Arial"/>
                <w:sz w:val="20"/>
                <w:szCs w:val="20"/>
              </w:rPr>
              <w:t>(6hrs)</w:t>
            </w:r>
          </w:p>
          <w:p w:rsidR="00495EB7" w:rsidRPr="00516075" w:rsidRDefault="00495EB7" w:rsidP="001B013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Emergency Contraception e- learning </w:t>
            </w:r>
            <w:r w:rsidR="00731D34">
              <w:rPr>
                <w:rFonts w:ascii="Arial" w:eastAsia="Times New Roman" w:hAnsi="Arial" w:cs="Arial"/>
                <w:sz w:val="20"/>
                <w:szCs w:val="20"/>
              </w:rPr>
              <w:t>(3hrs)</w:t>
            </w:r>
          </w:p>
          <w:p w:rsidR="00495EB7" w:rsidRPr="00516075" w:rsidRDefault="00495EB7" w:rsidP="001B0130">
            <w:pPr>
              <w:pStyle w:val="ListParagraph"/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A6368" w:rsidRPr="00516075" w:rsidRDefault="00495EB7" w:rsidP="001B0130">
            <w:pPr>
              <w:pStyle w:val="ListParagraph"/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>Emergency Contraception</w:t>
            </w:r>
            <w:r w:rsidR="00032769"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 face to face </w:t>
            </w: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 Workshop (incl. Safeguarding)</w:t>
            </w:r>
            <w:r w:rsidR="00731D34">
              <w:rPr>
                <w:rFonts w:ascii="Arial" w:eastAsia="Times New Roman" w:hAnsi="Arial" w:cs="Arial"/>
                <w:sz w:val="20"/>
                <w:szCs w:val="20"/>
              </w:rPr>
              <w:t xml:space="preserve"> (2.5hrs)</w:t>
            </w:r>
          </w:p>
          <w:p w:rsidR="00495EB7" w:rsidRPr="00516075" w:rsidRDefault="00A41C31" w:rsidP="001B0130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Safeguarding children and vulnerable adults </w:t>
            </w:r>
            <w:r w:rsidR="00834070" w:rsidRPr="00516075">
              <w:rPr>
                <w:rFonts w:ascii="Arial" w:eastAsia="Times New Roman" w:hAnsi="Arial" w:cs="Arial"/>
                <w:sz w:val="20"/>
                <w:szCs w:val="20"/>
              </w:rPr>
              <w:t>e- learning</w:t>
            </w:r>
            <w:r w:rsidR="00731D34">
              <w:rPr>
                <w:rFonts w:ascii="Arial" w:eastAsia="Times New Roman" w:hAnsi="Arial" w:cs="Arial"/>
                <w:sz w:val="20"/>
                <w:szCs w:val="20"/>
              </w:rPr>
              <w:t xml:space="preserve"> (1.5hrs)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F7545" w:rsidRPr="00516075" w:rsidRDefault="000F7545" w:rsidP="001B013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Once (highly recommended) </w:t>
            </w:r>
          </w:p>
          <w:p w:rsidR="001B0130" w:rsidRDefault="001B0130" w:rsidP="001B013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226E0" w:rsidRPr="00516075" w:rsidRDefault="001226E0" w:rsidP="001B013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Once (highly </w:t>
            </w:r>
            <w:r w:rsidR="00CF6FC1" w:rsidRPr="00516075">
              <w:rPr>
                <w:rFonts w:ascii="Arial" w:eastAsia="Times New Roman" w:hAnsi="Arial" w:cs="Arial"/>
                <w:sz w:val="20"/>
                <w:szCs w:val="20"/>
              </w:rPr>
              <w:t>recommended)</w:t>
            </w:r>
          </w:p>
          <w:p w:rsidR="001B0130" w:rsidRDefault="001B0130" w:rsidP="001B013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95EB7" w:rsidRPr="00516075" w:rsidRDefault="001B0130" w:rsidP="001B013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Once (highly </w:t>
            </w:r>
            <w:r w:rsidR="00CF6FC1">
              <w:rPr>
                <w:rFonts w:ascii="Arial" w:eastAsia="Times New Roman" w:hAnsi="Arial" w:cs="Arial"/>
                <w:sz w:val="20"/>
                <w:szCs w:val="20"/>
              </w:rPr>
              <w:t>recommended)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F6F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  <w:r w:rsidR="00495EB7"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2 years </w:t>
            </w:r>
          </w:p>
          <w:p w:rsidR="00C774C8" w:rsidRDefault="00032769" w:rsidP="00C774C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4 years </w:t>
            </w:r>
          </w:p>
          <w:p w:rsidR="00A03E96" w:rsidRPr="00516075" w:rsidRDefault="00032769" w:rsidP="00C774C8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2 years </w:t>
            </w:r>
          </w:p>
        </w:tc>
      </w:tr>
      <w:tr w:rsidR="000F7545" w:rsidRPr="00516075">
        <w:trPr>
          <w:trHeight w:val="1154"/>
        </w:trPr>
        <w:tc>
          <w:tcPr>
            <w:tcW w:w="20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F7545" w:rsidRDefault="00834070" w:rsidP="001B013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SUPPORTING ASSESSMENTS </w:t>
            </w:r>
          </w:p>
          <w:p w:rsidR="00424217" w:rsidRPr="00516075" w:rsidRDefault="00424217" w:rsidP="001B013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(E –assessments)</w:t>
            </w:r>
          </w:p>
          <w:p w:rsidR="00834070" w:rsidRPr="00516075" w:rsidRDefault="00834070" w:rsidP="001B0130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CC0B21" w:rsidRPr="001B0130" w:rsidRDefault="00CC0B21" w:rsidP="001B0130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Consultation skills for Pharmacy Practice </w:t>
            </w:r>
          </w:p>
          <w:p w:rsidR="00CC0B21" w:rsidRPr="001B0130" w:rsidRDefault="00E750B5" w:rsidP="001B0130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Contraception </w:t>
            </w:r>
          </w:p>
          <w:p w:rsidR="00983CDA" w:rsidRPr="001B0130" w:rsidRDefault="00983CDA" w:rsidP="001B0130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Emergency Contraception </w:t>
            </w:r>
          </w:p>
          <w:p w:rsidR="00CC0B21" w:rsidRPr="00516075" w:rsidRDefault="00E750B5" w:rsidP="001B0130">
            <w:pPr>
              <w:numPr>
                <w:ilvl w:val="0"/>
                <w:numId w:val="2"/>
              </w:num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Safeguarding children and Vulnerable adults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08" w:type="dxa"/>
              <w:bottom w:w="0" w:type="dxa"/>
              <w:right w:w="108" w:type="dxa"/>
            </w:tcMar>
          </w:tcPr>
          <w:p w:rsidR="000F7545" w:rsidRPr="00516075" w:rsidRDefault="00CC0B21" w:rsidP="001B013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16075">
              <w:rPr>
                <w:rFonts w:ascii="Arial" w:eastAsia="Times New Roman" w:hAnsi="Arial" w:cs="Arial"/>
                <w:sz w:val="20"/>
                <w:szCs w:val="20"/>
              </w:rPr>
              <w:t>Once</w:t>
            </w:r>
            <w:r w:rsidR="00DB5450">
              <w:rPr>
                <w:rFonts w:ascii="Arial" w:eastAsia="Times New Roman" w:hAnsi="Arial" w:cs="Arial"/>
                <w:sz w:val="20"/>
                <w:szCs w:val="20"/>
              </w:rPr>
              <w:t xml:space="preserve"> (highly recommended)</w:t>
            </w:r>
            <w:r w:rsidR="001B0130">
              <w:rPr>
                <w:rFonts w:ascii="Arial" w:eastAsia="Times New Roman" w:hAnsi="Arial" w:cs="Arial"/>
                <w:sz w:val="20"/>
                <w:szCs w:val="20"/>
              </w:rPr>
              <w:t xml:space="preserve">           </w:t>
            </w:r>
            <w:r w:rsidR="00DB5450">
              <w:rPr>
                <w:rFonts w:ascii="Arial" w:eastAsia="Times New Roman" w:hAnsi="Arial" w:cs="Arial"/>
                <w:sz w:val="20"/>
                <w:szCs w:val="20"/>
              </w:rPr>
              <w:t xml:space="preserve">              </w:t>
            </w:r>
            <w:r w:rsidR="00673A68">
              <w:rPr>
                <w:rFonts w:ascii="Arial" w:eastAsia="Times New Roman" w:hAnsi="Arial" w:cs="Arial"/>
                <w:sz w:val="20"/>
                <w:szCs w:val="20"/>
              </w:rPr>
              <w:t xml:space="preserve">      </w:t>
            </w:r>
            <w:r w:rsidR="001B01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  <w:r w:rsidR="00740E21">
              <w:rPr>
                <w:rFonts w:ascii="Arial" w:eastAsia="Times New Roman" w:hAnsi="Arial" w:cs="Arial"/>
                <w:sz w:val="20"/>
                <w:szCs w:val="20"/>
              </w:rPr>
              <w:t xml:space="preserve"> Once  (highly recommended)</w:t>
            </w:r>
            <w:r w:rsidR="001B0130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</w:t>
            </w:r>
            <w:r w:rsidR="00032769" w:rsidRPr="00516075">
              <w:rPr>
                <w:rFonts w:ascii="Arial" w:eastAsia="Times New Roman" w:hAnsi="Arial" w:cs="Arial"/>
                <w:sz w:val="20"/>
                <w:szCs w:val="20"/>
              </w:rPr>
              <w:t xml:space="preserve">2 years </w:t>
            </w:r>
            <w:r w:rsidR="00673A68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2 years </w:t>
            </w:r>
          </w:p>
          <w:p w:rsidR="000F7545" w:rsidRPr="00516075" w:rsidRDefault="000F7545" w:rsidP="001B0130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A2F5F" w:rsidRDefault="000F7545" w:rsidP="00C504D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</w:rPr>
        <w:br/>
      </w:r>
    </w:p>
    <w:sectPr w:rsidR="00BA2F5F" w:rsidSect="000F75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074"/>
    <w:multiLevelType w:val="multilevel"/>
    <w:tmpl w:val="2FDC7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F1496"/>
    <w:multiLevelType w:val="multilevel"/>
    <w:tmpl w:val="D4AA3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F1A74"/>
    <w:multiLevelType w:val="hybridMultilevel"/>
    <w:tmpl w:val="1F7E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82C0B"/>
    <w:multiLevelType w:val="multilevel"/>
    <w:tmpl w:val="9E7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BF16E9"/>
    <w:multiLevelType w:val="multilevel"/>
    <w:tmpl w:val="321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8F263E"/>
    <w:multiLevelType w:val="multilevel"/>
    <w:tmpl w:val="80C2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166B96"/>
    <w:multiLevelType w:val="multilevel"/>
    <w:tmpl w:val="47B8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7E2367"/>
    <w:multiLevelType w:val="multilevel"/>
    <w:tmpl w:val="D856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2E7A63"/>
    <w:multiLevelType w:val="hybridMultilevel"/>
    <w:tmpl w:val="C0226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7653D"/>
    <w:multiLevelType w:val="multilevel"/>
    <w:tmpl w:val="5E44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8C18FA"/>
    <w:multiLevelType w:val="multilevel"/>
    <w:tmpl w:val="2FDC78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45"/>
    <w:rsid w:val="00032769"/>
    <w:rsid w:val="000B1B0C"/>
    <w:rsid w:val="000F7545"/>
    <w:rsid w:val="001226E0"/>
    <w:rsid w:val="001A0AF2"/>
    <w:rsid w:val="001A6368"/>
    <w:rsid w:val="001B0130"/>
    <w:rsid w:val="00222625"/>
    <w:rsid w:val="00273196"/>
    <w:rsid w:val="00303F0A"/>
    <w:rsid w:val="00335518"/>
    <w:rsid w:val="003D6221"/>
    <w:rsid w:val="003F47C2"/>
    <w:rsid w:val="00424217"/>
    <w:rsid w:val="00431347"/>
    <w:rsid w:val="00486220"/>
    <w:rsid w:val="00495EB7"/>
    <w:rsid w:val="004A0BDB"/>
    <w:rsid w:val="004E3CEC"/>
    <w:rsid w:val="004F7AA9"/>
    <w:rsid w:val="00516075"/>
    <w:rsid w:val="00561F37"/>
    <w:rsid w:val="00566880"/>
    <w:rsid w:val="005C72F0"/>
    <w:rsid w:val="005D7E67"/>
    <w:rsid w:val="005E251C"/>
    <w:rsid w:val="00627E71"/>
    <w:rsid w:val="0064522B"/>
    <w:rsid w:val="006457ED"/>
    <w:rsid w:val="00673A68"/>
    <w:rsid w:val="006A74B7"/>
    <w:rsid w:val="006B6422"/>
    <w:rsid w:val="00731D34"/>
    <w:rsid w:val="00740E21"/>
    <w:rsid w:val="00747B0B"/>
    <w:rsid w:val="0076184D"/>
    <w:rsid w:val="007A71F3"/>
    <w:rsid w:val="00834070"/>
    <w:rsid w:val="00933A20"/>
    <w:rsid w:val="00981567"/>
    <w:rsid w:val="00983CDA"/>
    <w:rsid w:val="00A03E96"/>
    <w:rsid w:val="00A34704"/>
    <w:rsid w:val="00A40DCA"/>
    <w:rsid w:val="00A41C31"/>
    <w:rsid w:val="00A42769"/>
    <w:rsid w:val="00AC3957"/>
    <w:rsid w:val="00AE3449"/>
    <w:rsid w:val="00AF1E8B"/>
    <w:rsid w:val="00AF2C8A"/>
    <w:rsid w:val="00B12347"/>
    <w:rsid w:val="00B2772A"/>
    <w:rsid w:val="00B319BC"/>
    <w:rsid w:val="00B67473"/>
    <w:rsid w:val="00B77E45"/>
    <w:rsid w:val="00BA2F5F"/>
    <w:rsid w:val="00BC232A"/>
    <w:rsid w:val="00BF70A5"/>
    <w:rsid w:val="00C011D5"/>
    <w:rsid w:val="00C233ED"/>
    <w:rsid w:val="00C504DF"/>
    <w:rsid w:val="00C54FDD"/>
    <w:rsid w:val="00C774C8"/>
    <w:rsid w:val="00C804AF"/>
    <w:rsid w:val="00CA4D91"/>
    <w:rsid w:val="00CC0B21"/>
    <w:rsid w:val="00CE7AE1"/>
    <w:rsid w:val="00CF6FC1"/>
    <w:rsid w:val="00D243C7"/>
    <w:rsid w:val="00DA6779"/>
    <w:rsid w:val="00DB5450"/>
    <w:rsid w:val="00E373AD"/>
    <w:rsid w:val="00E6341F"/>
    <w:rsid w:val="00E73D76"/>
    <w:rsid w:val="00E750B5"/>
    <w:rsid w:val="00E8004E"/>
    <w:rsid w:val="00EA3633"/>
    <w:rsid w:val="00EB05E5"/>
    <w:rsid w:val="00ED6ADF"/>
    <w:rsid w:val="00F07EB2"/>
    <w:rsid w:val="00F26E42"/>
    <w:rsid w:val="00F9524E"/>
    <w:rsid w:val="00FE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76C3BD-1585-440D-9312-0D161587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7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ppe.ac.uk/services/declaration-of-compet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Hawkes@somerset.gov.uk" TargetMode="External"/><Relationship Id="rId5" Type="http://schemas.openxmlformats.org/officeDocument/2006/relationships/hyperlink" Target="https://www.cppe.ac.uk/services/declaration-of-competenc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Trust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Hilton, Catherine</dc:creator>
  <cp:lastModifiedBy>Mary Pennington</cp:lastModifiedBy>
  <cp:revision>2</cp:revision>
  <dcterms:created xsi:type="dcterms:W3CDTF">2016-12-20T08:14:00Z</dcterms:created>
  <dcterms:modified xsi:type="dcterms:W3CDTF">2016-12-20T08:14:00Z</dcterms:modified>
</cp:coreProperties>
</file>