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315"/>
        <w:gridCol w:w="1629"/>
        <w:gridCol w:w="5838"/>
      </w:tblGrid>
      <w:tr w:rsidR="00083C71" w:rsidRPr="00083C71" w:rsidTr="002838AA">
        <w:trPr>
          <w:trHeight w:val="521"/>
        </w:trPr>
        <w:tc>
          <w:tcPr>
            <w:tcW w:w="2724" w:type="dxa"/>
            <w:shd w:val="clear" w:color="auto" w:fill="A6A6A6" w:themeFill="background1" w:themeFillShade="A6"/>
            <w:vAlign w:val="center"/>
          </w:tcPr>
          <w:p w:rsidR="00083C71" w:rsidRPr="00083C71" w:rsidRDefault="00083C71" w:rsidP="00083C71">
            <w:pPr>
              <w:rPr>
                <w:b/>
              </w:rPr>
            </w:pPr>
            <w:r w:rsidRPr="00083C71">
              <w:rPr>
                <w:b/>
              </w:rPr>
              <w:t>Policy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083C71" w:rsidRPr="00083C71" w:rsidRDefault="00083C71" w:rsidP="00083C71">
            <w:pPr>
              <w:rPr>
                <w:b/>
              </w:rPr>
            </w:pPr>
            <w:r w:rsidRPr="00083C71">
              <w:rPr>
                <w:b/>
              </w:rPr>
              <w:t>Date</w:t>
            </w:r>
          </w:p>
        </w:tc>
        <w:tc>
          <w:tcPr>
            <w:tcW w:w="5219" w:type="dxa"/>
            <w:shd w:val="clear" w:color="auto" w:fill="A6A6A6" w:themeFill="background1" w:themeFillShade="A6"/>
            <w:vAlign w:val="center"/>
          </w:tcPr>
          <w:p w:rsidR="00083C71" w:rsidRPr="00083C71" w:rsidRDefault="00083C71" w:rsidP="00083C71">
            <w:pPr>
              <w:rPr>
                <w:b/>
              </w:rPr>
            </w:pPr>
            <w:r w:rsidRPr="00083C71">
              <w:rPr>
                <w:b/>
              </w:rPr>
              <w:t>Weblink / Document</w:t>
            </w:r>
          </w:p>
        </w:tc>
      </w:tr>
      <w:tr w:rsidR="00083C71" w:rsidRPr="00083C71" w:rsidTr="002838AA"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Serious Incidents Requiring Investigation (SIRI) Policy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Reviewed May 2016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r w:rsidRPr="00083C71">
              <w:t xml:space="preserve">                        Document sent separately</w:t>
            </w:r>
          </w:p>
        </w:tc>
      </w:tr>
      <w:tr w:rsidR="00083C71" w:rsidRPr="00083C71" w:rsidTr="002838AA">
        <w:trPr>
          <w:trHeight w:val="1304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SCCG Caldicott Policy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February 2016</w:t>
            </w:r>
          </w:p>
        </w:tc>
        <w:tc>
          <w:tcPr>
            <w:tcW w:w="5219" w:type="dxa"/>
          </w:tcPr>
          <w:p w:rsidR="00083C71" w:rsidRPr="00083C71" w:rsidRDefault="00083C71" w:rsidP="00083C71">
            <w:r w:rsidRPr="00083C71">
              <w:t>Document sent separately</w:t>
            </w:r>
          </w:p>
        </w:tc>
      </w:tr>
      <w:tr w:rsidR="00083C71" w:rsidRPr="00083C71" w:rsidTr="002838AA">
        <w:trPr>
          <w:trHeight w:val="1304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Somerset Overarching Information Sharing Protocol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July 2014</w:t>
            </w:r>
          </w:p>
        </w:tc>
        <w:tc>
          <w:tcPr>
            <w:tcW w:w="5219" w:type="dxa"/>
          </w:tcPr>
          <w:p w:rsidR="00083C71" w:rsidRPr="00083C71" w:rsidRDefault="00083C71" w:rsidP="00083C71">
            <w:r w:rsidRPr="00083C71">
              <w:t>Document sent separately</w:t>
            </w:r>
          </w:p>
        </w:tc>
      </w:tr>
      <w:tr w:rsidR="00083C71" w:rsidRPr="00083C71" w:rsidTr="002838AA">
        <w:trPr>
          <w:trHeight w:val="1474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Avon and Somerset Health Resilience Forum – Terms of Reference/ Memorandum of Understanding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September 2013</w:t>
            </w:r>
          </w:p>
        </w:tc>
        <w:tc>
          <w:tcPr>
            <w:tcW w:w="5219" w:type="dxa"/>
          </w:tcPr>
          <w:p w:rsidR="00083C71" w:rsidRPr="00083C71" w:rsidRDefault="00083C71" w:rsidP="00083C71">
            <w:r w:rsidRPr="00083C71">
              <w:t>Document sent separately</w:t>
            </w:r>
          </w:p>
        </w:tc>
      </w:tr>
      <w:tr w:rsidR="00083C71" w:rsidRPr="00083C71" w:rsidTr="002838AA">
        <w:trPr>
          <w:trHeight w:val="124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Individual Funding Request (IFR) Policy – web link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Reviewed March 2016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hyperlink r:id="rId5" w:history="1">
              <w:r w:rsidRPr="00083C71">
                <w:rPr>
                  <w:rStyle w:val="Hyperlink"/>
                </w:rPr>
                <w:t>http://www.somersetccg.nhs.uk/about-us/how-we-do-things/individual-funding-requests/</w:t>
              </w:r>
            </w:hyperlink>
          </w:p>
        </w:tc>
      </w:tr>
      <w:tr w:rsidR="00083C71" w:rsidRPr="00083C71" w:rsidTr="002838AA">
        <w:trPr>
          <w:trHeight w:val="90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South West Child Protection Procedures – web link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February 2016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hyperlink r:id="rId6" w:history="1">
              <w:r w:rsidRPr="00083C71">
                <w:rPr>
                  <w:rStyle w:val="Hyperlink"/>
                </w:rPr>
                <w:t>http://www.online-procedures.co.uk/swcpp/</w:t>
              </w:r>
            </w:hyperlink>
          </w:p>
          <w:p w:rsidR="00083C71" w:rsidRPr="00083C71" w:rsidRDefault="00083C71" w:rsidP="00083C71"/>
        </w:tc>
      </w:tr>
      <w:tr w:rsidR="00083C71" w:rsidRPr="00083C71" w:rsidTr="002838AA">
        <w:trPr>
          <w:trHeight w:val="90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How to raise concerns – Early help and safeguarding process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Current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r w:rsidRPr="00083C71">
              <w:t>http://www.proceduresonline.com/swcpp/</w:t>
            </w:r>
          </w:p>
        </w:tc>
      </w:tr>
      <w:tr w:rsidR="00083C71" w:rsidRPr="00083C71" w:rsidTr="002838AA">
        <w:trPr>
          <w:trHeight w:val="90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Somerset Safeguarding Adults board: Safeguarding Policy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January 2108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r w:rsidRPr="00083C71">
              <w:t>http://ssab.safeguardingsomerset.org.uk/wp-content/uploads/Joint-Safeguarding-Adults-Policy-FINAL-25-January-2018-Somerset-PUBLISHED.pdf</w:t>
            </w:r>
          </w:p>
        </w:tc>
      </w:tr>
      <w:tr w:rsidR="00083C71" w:rsidRPr="00083C71" w:rsidTr="002838AA">
        <w:trPr>
          <w:trHeight w:val="90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Somerset Safeguarding Adults; Think it, Report it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Current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r w:rsidRPr="00083C71">
              <w:t>https://ssab.safeguardingsomerset.org.uk/protecting-adults/</w:t>
            </w:r>
          </w:p>
        </w:tc>
      </w:tr>
      <w:tr w:rsidR="00083C71" w:rsidRPr="00083C71" w:rsidTr="002838AA">
        <w:trPr>
          <w:trHeight w:val="907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Freedom to speak up in Primary Care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11 November 2016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r w:rsidRPr="00083C71">
              <w:t>Document sent separately</w:t>
            </w:r>
          </w:p>
        </w:tc>
      </w:tr>
      <w:tr w:rsidR="00083C71" w:rsidRPr="00083C71" w:rsidTr="002838AA">
        <w:trPr>
          <w:trHeight w:val="1304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lastRenderedPageBreak/>
              <w:t>SCCG Complaints Policy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>
            <w:r w:rsidRPr="00083C71">
              <w:t>February 2016</w:t>
            </w:r>
          </w:p>
        </w:tc>
        <w:tc>
          <w:tcPr>
            <w:tcW w:w="5219" w:type="dxa"/>
            <w:vAlign w:val="center"/>
          </w:tcPr>
          <w:p w:rsidR="00083C71" w:rsidRPr="00083C71" w:rsidRDefault="00083C71" w:rsidP="00083C71">
            <w:pPr>
              <w:rPr>
                <w:b/>
              </w:rPr>
            </w:pPr>
            <w:r w:rsidRPr="00083C71">
              <w:t>Document sent separately</w:t>
            </w:r>
          </w:p>
        </w:tc>
      </w:tr>
      <w:tr w:rsidR="00083C71" w:rsidRPr="00083C71" w:rsidTr="002838AA">
        <w:trPr>
          <w:trHeight w:val="1304"/>
        </w:trPr>
        <w:tc>
          <w:tcPr>
            <w:tcW w:w="2724" w:type="dxa"/>
            <w:vAlign w:val="center"/>
          </w:tcPr>
          <w:p w:rsidR="00083C71" w:rsidRPr="00083C71" w:rsidRDefault="00083C71" w:rsidP="00083C71">
            <w:r w:rsidRPr="00083C71">
              <w:t>Prescribing and Medicines Management</w:t>
            </w:r>
          </w:p>
        </w:tc>
        <w:tc>
          <w:tcPr>
            <w:tcW w:w="1839" w:type="dxa"/>
            <w:vAlign w:val="center"/>
          </w:tcPr>
          <w:p w:rsidR="00083C71" w:rsidRPr="00083C71" w:rsidRDefault="00083C71" w:rsidP="00083C71"/>
        </w:tc>
        <w:tc>
          <w:tcPr>
            <w:tcW w:w="5219" w:type="dxa"/>
            <w:vAlign w:val="center"/>
          </w:tcPr>
          <w:p w:rsidR="00083C71" w:rsidRPr="00083C71" w:rsidRDefault="00083C71" w:rsidP="00083C71">
            <w:pPr>
              <w:numPr>
                <w:ilvl w:val="0"/>
                <w:numId w:val="1"/>
              </w:numPr>
            </w:pPr>
            <w:r w:rsidRPr="00083C71">
              <w:t>NICE NG15 Antimicrobial stewardship: systems and processes for effective antimicrobial medicine use</w:t>
            </w:r>
          </w:p>
          <w:p w:rsidR="00083C71" w:rsidRPr="00083C71" w:rsidRDefault="00083C71" w:rsidP="00083C71">
            <w:hyperlink r:id="rId7" w:history="1">
              <w:r w:rsidRPr="00083C71">
                <w:rPr>
                  <w:rStyle w:val="Hyperlink"/>
                </w:rPr>
                <w:t>https://www.nice.org.uk/guidance/ng15</w:t>
              </w:r>
            </w:hyperlink>
            <w:r w:rsidRPr="00083C71">
              <w:t xml:space="preserve"> </w:t>
            </w:r>
            <w:r w:rsidRPr="00083C71">
              <w:br/>
            </w:r>
          </w:p>
          <w:p w:rsidR="00083C71" w:rsidRPr="00083C71" w:rsidRDefault="00083C71" w:rsidP="00083C71">
            <w:pPr>
              <w:numPr>
                <w:ilvl w:val="0"/>
                <w:numId w:val="2"/>
              </w:numPr>
            </w:pPr>
            <w:r w:rsidRPr="00083C71">
              <w:t>NICE QS61 Infection prevention and control</w:t>
            </w:r>
          </w:p>
          <w:p w:rsidR="00083C71" w:rsidRPr="00083C71" w:rsidRDefault="00083C71" w:rsidP="00083C71">
            <w:hyperlink r:id="rId8" w:history="1">
              <w:r w:rsidRPr="00083C71">
                <w:rPr>
                  <w:rStyle w:val="Hyperlink"/>
                </w:rPr>
                <w:t>https://www.nice.org.uk/guidance/qs61/chapter/quality-statement-1-antimicrobial-stewardship</w:t>
              </w:r>
            </w:hyperlink>
            <w:r w:rsidRPr="00083C71">
              <w:t xml:space="preserve"> </w:t>
            </w:r>
          </w:p>
          <w:p w:rsidR="00083C71" w:rsidRPr="00083C71" w:rsidRDefault="00083C71" w:rsidP="00083C71"/>
          <w:p w:rsidR="00083C71" w:rsidRPr="00083C71" w:rsidRDefault="00083C71" w:rsidP="00083C71">
            <w:pPr>
              <w:numPr>
                <w:ilvl w:val="0"/>
                <w:numId w:val="2"/>
              </w:numPr>
            </w:pPr>
            <w:r w:rsidRPr="00083C71">
              <w:t>NICE pathways – Antimicrobial stewardship</w:t>
            </w:r>
          </w:p>
          <w:p w:rsidR="00083C71" w:rsidRPr="00083C71" w:rsidRDefault="00083C71" w:rsidP="00083C71">
            <w:hyperlink r:id="rId9" w:history="1">
              <w:r w:rsidRPr="00083C71">
                <w:rPr>
                  <w:rStyle w:val="Hyperlink"/>
                </w:rPr>
                <w:t>https://pathways.nice.org.uk/pathways/antimicrobial-stewardship</w:t>
              </w:r>
            </w:hyperlink>
            <w:r w:rsidRPr="00083C71">
              <w:t xml:space="preserve"> </w:t>
            </w:r>
          </w:p>
          <w:p w:rsidR="00083C71" w:rsidRPr="00083C71" w:rsidRDefault="00083C71" w:rsidP="00083C71">
            <w:pPr>
              <w:rPr>
                <w:b/>
              </w:rPr>
            </w:pPr>
          </w:p>
        </w:tc>
      </w:tr>
    </w:tbl>
    <w:p w:rsidR="00A534CD" w:rsidRDefault="00083C71">
      <w:bookmarkStart w:id="0" w:name="_GoBack"/>
      <w:bookmarkEnd w:id="0"/>
    </w:p>
    <w:sectPr w:rsidR="00A534CD" w:rsidSect="00586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AC9"/>
    <w:multiLevelType w:val="hybridMultilevel"/>
    <w:tmpl w:val="BC161E86"/>
    <w:lvl w:ilvl="0" w:tplc="449C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7D5C"/>
    <w:multiLevelType w:val="hybridMultilevel"/>
    <w:tmpl w:val="06AAF750"/>
    <w:lvl w:ilvl="0" w:tplc="8230E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71"/>
    <w:rsid w:val="00083C71"/>
    <w:rsid w:val="00586729"/>
    <w:rsid w:val="00B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79F45A-1965-E842-8D87-F64140D2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qs61/chapter/quality-statement-1-antimicrobial-steward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-procedures.co.uk/swcp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ersetccg.nhs.uk/about-us/how-we-do-things/individual-funding-reques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thways.nice.org.uk/pathways/antimicrobial-steward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JDPLocum services None</dc:creator>
  <cp:keywords/>
  <dc:description/>
  <cp:lastModifiedBy>JDPLocum services None</cp:lastModifiedBy>
  <cp:revision>1</cp:revision>
  <dcterms:created xsi:type="dcterms:W3CDTF">2018-04-24T10:55:00Z</dcterms:created>
  <dcterms:modified xsi:type="dcterms:W3CDTF">2018-04-24T10:56:00Z</dcterms:modified>
</cp:coreProperties>
</file>