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780E" w14:textId="77777777" w:rsidR="0072352E" w:rsidRDefault="0072352E">
      <w:pPr>
        <w:spacing w:after="0"/>
        <w:rPr>
          <w:b/>
          <w:color w:val="519680"/>
          <w:sz w:val="32"/>
        </w:rPr>
      </w:pPr>
    </w:p>
    <w:p w14:paraId="6ADD3EE9" w14:textId="5BF1D3F6" w:rsidR="002854DA" w:rsidRDefault="00FC67FA">
      <w:pPr>
        <w:spacing w:after="0"/>
        <w:rPr>
          <w:b/>
          <w:color w:val="519680"/>
          <w:sz w:val="32"/>
        </w:rPr>
      </w:pPr>
      <w:r>
        <w:rPr>
          <w:b/>
          <w:color w:val="519680"/>
          <w:sz w:val="32"/>
        </w:rPr>
        <w:t>Healthy Living Pharmacy Level 1 Quality Criteria: Assessment of compliance</w:t>
      </w:r>
    </w:p>
    <w:p w14:paraId="44C36143" w14:textId="77777777" w:rsidR="002854DA" w:rsidRDefault="002854DA">
      <w:pPr>
        <w:spacing w:after="0"/>
        <w:rPr>
          <w:b/>
          <w:color w:val="519680"/>
          <w:sz w:val="28"/>
        </w:rPr>
      </w:pPr>
    </w:p>
    <w:p w14:paraId="1677217B" w14:textId="77777777" w:rsidR="002854DA" w:rsidRDefault="00FC67FA">
      <w:pPr>
        <w:spacing w:after="0"/>
        <w:rPr>
          <w:b/>
          <w:color w:val="519680"/>
          <w:sz w:val="28"/>
        </w:rPr>
      </w:pPr>
      <w:r>
        <w:rPr>
          <w:b/>
          <w:color w:val="519680"/>
          <w:sz w:val="28"/>
        </w:rPr>
        <w:t>Part 1</w:t>
      </w:r>
    </w:p>
    <w:p w14:paraId="734C32DD" w14:textId="77777777" w:rsidR="002854DA" w:rsidRDefault="00FC67FA" w:rsidP="00AB4700">
      <w:pPr>
        <w:spacing w:after="0"/>
        <w:jc w:val="both"/>
      </w:pPr>
      <w:r>
        <w:t>This section of the framework relates to key requirements that the pharmacy must have in place before HLP level 1 status can be granted and the HLP logo displayed. N.B. you must be able to answer yes to all questions in order to be compliant.</w:t>
      </w:r>
    </w:p>
    <w:p w14:paraId="4D48378E" w14:textId="77777777" w:rsidR="002854DA" w:rsidRDefault="002854DA">
      <w:pPr>
        <w:spacing w:after="0"/>
      </w:pPr>
    </w:p>
    <w:tbl>
      <w:tblPr>
        <w:tblW w:w="10490" w:type="dxa"/>
        <w:tblInd w:w="108" w:type="dxa"/>
        <w:tblCellMar>
          <w:left w:w="10" w:type="dxa"/>
          <w:right w:w="10" w:type="dxa"/>
        </w:tblCellMar>
        <w:tblLook w:val="0000" w:firstRow="0" w:lastRow="0" w:firstColumn="0" w:lastColumn="0" w:noHBand="0" w:noVBand="0"/>
      </w:tblPr>
      <w:tblGrid>
        <w:gridCol w:w="6124"/>
        <w:gridCol w:w="4366"/>
      </w:tblGrid>
      <w:tr w:rsidR="002854DA" w14:paraId="1A0AABF3"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881262" w14:textId="77777777" w:rsidR="002854DA" w:rsidRDefault="00FC67FA">
            <w:pPr>
              <w:spacing w:after="0" w:line="240" w:lineRule="auto"/>
            </w:pPr>
            <w:r>
              <w:t>The pharmacy has a consultation room which is compliant with the Advanced Services standards and is appropriate for the services on offer.</w:t>
            </w:r>
          </w:p>
          <w:p w14:paraId="0D36249A" w14:textId="77777777" w:rsidR="002854DA" w:rsidRDefault="002854DA">
            <w:pPr>
              <w:spacing w:after="0" w:line="240" w:lineRule="auto"/>
            </w:pPr>
          </w:p>
          <w:p w14:paraId="7126EA1B"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CEFF68E" w14:textId="77777777" w:rsidR="009B3AE1" w:rsidRDefault="009B3AE1">
            <w:pPr>
              <w:spacing w:after="0" w:line="240" w:lineRule="auto"/>
              <w:rPr>
                <w:b/>
                <w:color w:val="519680"/>
              </w:rPr>
            </w:pPr>
          </w:p>
          <w:p w14:paraId="1CD2A365"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bookmarkStart w:id="0" w:name="Check1"/>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bookmarkEnd w:id="0"/>
            <w:r>
              <w:rPr>
                <w:b/>
                <w:color w:val="519680"/>
              </w:rPr>
              <w:t xml:space="preserve"> </w:t>
            </w:r>
            <w:r w:rsidR="00FC67FA">
              <w:rPr>
                <w:b/>
                <w:color w:val="519680"/>
              </w:rPr>
              <w:t>Y</w:t>
            </w:r>
            <w:r>
              <w:rPr>
                <w:b/>
                <w:color w:val="519680"/>
              </w:rPr>
              <w:t>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57D30C44" w14:textId="77777777" w:rsidR="009B3AE1" w:rsidRDefault="009B3AE1">
            <w:pPr>
              <w:spacing w:after="0" w:line="240" w:lineRule="auto"/>
              <w:rPr>
                <w:b/>
                <w:color w:val="519680"/>
              </w:rPr>
            </w:pPr>
          </w:p>
          <w:p w14:paraId="568A7DD8" w14:textId="77777777" w:rsidR="002854DA" w:rsidRDefault="002854DA">
            <w:pPr>
              <w:spacing w:after="0" w:line="240" w:lineRule="auto"/>
              <w:rPr>
                <w:b/>
                <w:color w:val="519680"/>
              </w:rPr>
            </w:pPr>
          </w:p>
        </w:tc>
      </w:tr>
      <w:tr w:rsidR="002854DA" w14:paraId="2080D01D"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6735302" w14:textId="77777777" w:rsidR="002854DA" w:rsidRDefault="00FC67FA">
            <w:pPr>
              <w:spacing w:after="0" w:line="240" w:lineRule="auto"/>
            </w:pPr>
            <w:r>
              <w:t>The pharmacy has trained at least one Full Time Equivalent (FTE) to Health Champion RSPH Understand Health Improvement level 2.</w:t>
            </w:r>
          </w:p>
          <w:p w14:paraId="31444360" w14:textId="77777777" w:rsidR="002854DA" w:rsidRDefault="002854DA">
            <w:pPr>
              <w:spacing w:after="0" w:line="240" w:lineRule="auto"/>
            </w:pPr>
          </w:p>
          <w:p w14:paraId="22D996F0" w14:textId="77777777" w:rsidR="002854DA" w:rsidRDefault="002854DA">
            <w:pPr>
              <w:spacing w:after="0" w:line="240" w:lineRule="auto"/>
            </w:pPr>
          </w:p>
          <w:p w14:paraId="10803F98"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3146BDC" w14:textId="77777777" w:rsidR="009B3AE1" w:rsidRDefault="009B3AE1" w:rsidP="009B3AE1">
            <w:pPr>
              <w:spacing w:after="0" w:line="240" w:lineRule="auto"/>
              <w:rPr>
                <w:b/>
                <w:color w:val="519680"/>
              </w:rPr>
            </w:pPr>
          </w:p>
          <w:p w14:paraId="617A8EE4"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35C8B4F8" w14:textId="77777777" w:rsidR="009B3AE1" w:rsidRDefault="009B3AE1" w:rsidP="009B3AE1">
            <w:pPr>
              <w:spacing w:after="0" w:line="240" w:lineRule="auto"/>
              <w:rPr>
                <w:b/>
                <w:color w:val="519680"/>
              </w:rPr>
            </w:pPr>
          </w:p>
          <w:p w14:paraId="6FD35666" w14:textId="77777777" w:rsidR="002854DA" w:rsidRDefault="00FC67FA" w:rsidP="009B3AE1">
            <w:pPr>
              <w:spacing w:after="0" w:line="240" w:lineRule="auto"/>
            </w:pPr>
            <w:r>
              <w:rPr>
                <w:b/>
                <w:color w:val="519680"/>
              </w:rPr>
              <w:t>(Name(s) of staff member(s))</w:t>
            </w:r>
          </w:p>
          <w:p w14:paraId="19A66BC3" w14:textId="77777777" w:rsidR="002854DA" w:rsidRDefault="009B3AE1">
            <w:pPr>
              <w:spacing w:after="0" w:line="240" w:lineRule="auto"/>
              <w:rPr>
                <w:color w:val="519680"/>
              </w:rPr>
            </w:pPr>
            <w:r>
              <w:rPr>
                <w:color w:val="519680"/>
              </w:rPr>
              <w:fldChar w:fldCharType="begin">
                <w:ffData>
                  <w:name w:val="Text1"/>
                  <w:enabled/>
                  <w:calcOnExit w:val="0"/>
                  <w:textInput/>
                </w:ffData>
              </w:fldChar>
            </w:r>
            <w:bookmarkStart w:id="1" w:name="Text1"/>
            <w:r>
              <w:rPr>
                <w:color w:val="519680"/>
              </w:rPr>
              <w:instrText xml:space="preserve"> FORMTEXT </w:instrText>
            </w:r>
            <w:r>
              <w:rPr>
                <w:color w:val="519680"/>
              </w:rPr>
            </w:r>
            <w:r>
              <w:rPr>
                <w:color w:val="519680"/>
              </w:rPr>
              <w:fldChar w:fldCharType="separate"/>
            </w:r>
            <w:r>
              <w:rPr>
                <w:noProof/>
                <w:color w:val="519680"/>
              </w:rPr>
              <w:t> </w:t>
            </w:r>
            <w:r>
              <w:rPr>
                <w:noProof/>
                <w:color w:val="519680"/>
              </w:rPr>
              <w:t> </w:t>
            </w:r>
            <w:r>
              <w:rPr>
                <w:noProof/>
                <w:color w:val="519680"/>
              </w:rPr>
              <w:t> </w:t>
            </w:r>
            <w:r>
              <w:rPr>
                <w:noProof/>
                <w:color w:val="519680"/>
              </w:rPr>
              <w:t> </w:t>
            </w:r>
            <w:r>
              <w:rPr>
                <w:noProof/>
                <w:color w:val="519680"/>
              </w:rPr>
              <w:t> </w:t>
            </w:r>
            <w:r>
              <w:rPr>
                <w:color w:val="519680"/>
              </w:rPr>
              <w:fldChar w:fldCharType="end"/>
            </w:r>
            <w:bookmarkEnd w:id="1"/>
          </w:p>
        </w:tc>
      </w:tr>
      <w:tr w:rsidR="002854DA" w14:paraId="3EE7D1A7"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8BCABD3" w14:textId="77777777" w:rsidR="002854DA" w:rsidRDefault="00FC67FA">
            <w:pPr>
              <w:spacing w:after="0" w:line="240" w:lineRule="auto"/>
            </w:pPr>
            <w:r>
              <w:t>The pharmacist or other relevant individual has undertaken leadership development to motivate and engage the pharmacy team in the HLP concept.</w:t>
            </w:r>
          </w:p>
          <w:p w14:paraId="49187579" w14:textId="77777777" w:rsidR="002854DA" w:rsidRDefault="002854DA">
            <w:pPr>
              <w:spacing w:after="0" w:line="240" w:lineRule="auto"/>
            </w:pPr>
          </w:p>
          <w:p w14:paraId="4A5F8929"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E1DBA71" w14:textId="77777777" w:rsidR="009B3AE1" w:rsidRDefault="009B3AE1" w:rsidP="009B3AE1">
            <w:pPr>
              <w:spacing w:after="0" w:line="240" w:lineRule="auto"/>
              <w:rPr>
                <w:b/>
                <w:color w:val="519680"/>
              </w:rPr>
            </w:pPr>
          </w:p>
          <w:p w14:paraId="65866501"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6FDDBD0A" w14:textId="77777777" w:rsidR="009B3AE1" w:rsidRDefault="009B3AE1" w:rsidP="009B3AE1">
            <w:pPr>
              <w:spacing w:after="0" w:line="240" w:lineRule="auto"/>
              <w:rPr>
                <w:b/>
                <w:color w:val="519680"/>
              </w:rPr>
            </w:pPr>
          </w:p>
          <w:p w14:paraId="28AA1521" w14:textId="77777777" w:rsidR="002854DA" w:rsidRDefault="00FC67FA" w:rsidP="009B3AE1">
            <w:pPr>
              <w:spacing w:after="0" w:line="240" w:lineRule="auto"/>
              <w:rPr>
                <w:b/>
                <w:color w:val="519680"/>
              </w:rPr>
            </w:pPr>
            <w:r>
              <w:rPr>
                <w:b/>
                <w:color w:val="519680"/>
              </w:rPr>
              <w:t>(Name(s) of staff member(s))</w:t>
            </w:r>
          </w:p>
          <w:p w14:paraId="1FF96D6E" w14:textId="77777777" w:rsidR="002854DA" w:rsidRDefault="009B3AE1">
            <w:pPr>
              <w:spacing w:after="0" w:line="240" w:lineRule="auto"/>
              <w:rPr>
                <w:b/>
                <w:color w:val="519680"/>
              </w:rPr>
            </w:pPr>
            <w:r>
              <w:rPr>
                <w:color w:val="519680"/>
              </w:rPr>
              <w:fldChar w:fldCharType="begin">
                <w:ffData>
                  <w:name w:val="Text1"/>
                  <w:enabled/>
                  <w:calcOnExit w:val="0"/>
                  <w:textInput/>
                </w:ffData>
              </w:fldChar>
            </w:r>
            <w:r>
              <w:rPr>
                <w:color w:val="519680"/>
              </w:rPr>
              <w:instrText xml:space="preserve"> FORMTEXT </w:instrText>
            </w:r>
            <w:r>
              <w:rPr>
                <w:color w:val="519680"/>
              </w:rPr>
            </w:r>
            <w:r>
              <w:rPr>
                <w:color w:val="519680"/>
              </w:rPr>
              <w:fldChar w:fldCharType="separate"/>
            </w:r>
            <w:r>
              <w:rPr>
                <w:noProof/>
                <w:color w:val="519680"/>
              </w:rPr>
              <w:t> </w:t>
            </w:r>
            <w:r>
              <w:rPr>
                <w:noProof/>
                <w:color w:val="519680"/>
              </w:rPr>
              <w:t> </w:t>
            </w:r>
            <w:r>
              <w:rPr>
                <w:noProof/>
                <w:color w:val="519680"/>
              </w:rPr>
              <w:t> </w:t>
            </w:r>
            <w:r>
              <w:rPr>
                <w:noProof/>
                <w:color w:val="519680"/>
              </w:rPr>
              <w:t> </w:t>
            </w:r>
            <w:r>
              <w:rPr>
                <w:noProof/>
                <w:color w:val="519680"/>
              </w:rPr>
              <w:t> </w:t>
            </w:r>
            <w:r>
              <w:rPr>
                <w:color w:val="519680"/>
              </w:rPr>
              <w:fldChar w:fldCharType="end"/>
            </w:r>
          </w:p>
        </w:tc>
      </w:tr>
      <w:tr w:rsidR="002854DA" w14:paraId="0280BC00"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E62D273" w14:textId="77777777" w:rsidR="002854DA" w:rsidRDefault="00FC67FA">
            <w:pPr>
              <w:spacing w:after="0" w:line="240" w:lineRule="auto"/>
            </w:pPr>
            <w:r>
              <w:t>In the past year the pharmacy has participated in the provision of both MUR and NMS, and has proactively engaged in health promoting conversations.</w:t>
            </w:r>
          </w:p>
          <w:p w14:paraId="10307D5E" w14:textId="77777777" w:rsidR="002854DA" w:rsidRDefault="002854DA">
            <w:pPr>
              <w:spacing w:after="0" w:line="240" w:lineRule="auto"/>
            </w:pPr>
          </w:p>
          <w:p w14:paraId="2F462EBB"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27B7C86" w14:textId="77777777" w:rsidR="009B3AE1" w:rsidRDefault="009B3AE1" w:rsidP="009B3AE1">
            <w:pPr>
              <w:spacing w:after="0" w:line="240" w:lineRule="auto"/>
              <w:rPr>
                <w:b/>
                <w:color w:val="519680"/>
              </w:rPr>
            </w:pPr>
          </w:p>
          <w:p w14:paraId="4664EA2F"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2878EE2F" w14:textId="77777777" w:rsidR="009B3AE1" w:rsidRDefault="009B3AE1" w:rsidP="009B3AE1">
            <w:pPr>
              <w:spacing w:after="0" w:line="240" w:lineRule="auto"/>
              <w:rPr>
                <w:b/>
                <w:color w:val="519680"/>
              </w:rPr>
            </w:pPr>
          </w:p>
          <w:p w14:paraId="42564423" w14:textId="77777777" w:rsidR="002854DA" w:rsidRDefault="002854DA">
            <w:pPr>
              <w:spacing w:after="0" w:line="240" w:lineRule="auto"/>
              <w:rPr>
                <w:b/>
                <w:color w:val="519680"/>
              </w:rPr>
            </w:pPr>
          </w:p>
        </w:tc>
      </w:tr>
      <w:tr w:rsidR="002854DA" w14:paraId="78FAC554"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FB8F1D7" w14:textId="77777777" w:rsidR="002854DA" w:rsidRDefault="00FC67FA">
            <w:pPr>
              <w:spacing w:after="0" w:line="240" w:lineRule="auto"/>
            </w:pPr>
            <w:r>
              <w:t>In the past year the pharmacy has participated in the provision of the NHS community pharmacy seasonal influenza vaccination Advanced Service or has actively referred patients to other NHS providers of vaccinations.</w:t>
            </w:r>
          </w:p>
          <w:p w14:paraId="15229489"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AA90490" w14:textId="77777777" w:rsidR="009B3AE1" w:rsidRDefault="009B3AE1" w:rsidP="009B3AE1">
            <w:pPr>
              <w:spacing w:after="0" w:line="240" w:lineRule="auto"/>
              <w:rPr>
                <w:b/>
                <w:color w:val="519680"/>
              </w:rPr>
            </w:pPr>
          </w:p>
          <w:p w14:paraId="7120FC60"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197ED694" w14:textId="77777777" w:rsidR="009B3AE1" w:rsidRDefault="009B3AE1" w:rsidP="009B3AE1">
            <w:pPr>
              <w:spacing w:after="0" w:line="240" w:lineRule="auto"/>
              <w:rPr>
                <w:b/>
                <w:color w:val="519680"/>
              </w:rPr>
            </w:pPr>
          </w:p>
          <w:p w14:paraId="31FAAE3A" w14:textId="77777777" w:rsidR="002854DA" w:rsidRDefault="002854DA">
            <w:pPr>
              <w:spacing w:after="0" w:line="240" w:lineRule="auto"/>
              <w:rPr>
                <w:b/>
                <w:color w:val="519680"/>
              </w:rPr>
            </w:pPr>
          </w:p>
        </w:tc>
      </w:tr>
      <w:tr w:rsidR="002854DA" w14:paraId="79DA2C4E"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77114B0" w14:textId="77777777" w:rsidR="002854DA" w:rsidRDefault="00FC67FA">
            <w:pPr>
              <w:spacing w:after="0" w:line="240" w:lineRule="auto"/>
            </w:pPr>
            <w:r>
              <w:t>The pharmacy complies with GPhC Standards for Registered Premises and Standards of Conduct, Ethics and Performance.</w:t>
            </w:r>
          </w:p>
          <w:p w14:paraId="58337070" w14:textId="77777777" w:rsidR="002854DA" w:rsidRDefault="002854DA">
            <w:pPr>
              <w:spacing w:after="0" w:line="240" w:lineRule="auto"/>
            </w:pPr>
          </w:p>
          <w:p w14:paraId="486D63FC" w14:textId="77777777" w:rsidR="002854DA" w:rsidRDefault="002854DA">
            <w:pPr>
              <w:spacing w:after="0" w:line="240" w:lineRule="auto"/>
            </w:pPr>
          </w:p>
          <w:p w14:paraId="27A19895"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D676464" w14:textId="77777777" w:rsidR="009B3AE1" w:rsidRDefault="009B3AE1" w:rsidP="009B3AE1">
            <w:pPr>
              <w:spacing w:after="0" w:line="240" w:lineRule="auto"/>
              <w:rPr>
                <w:b/>
                <w:color w:val="519680"/>
              </w:rPr>
            </w:pPr>
          </w:p>
          <w:p w14:paraId="02834F7C"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028D04F8" w14:textId="77777777" w:rsidR="009B3AE1" w:rsidRDefault="009B3AE1" w:rsidP="009B3AE1">
            <w:pPr>
              <w:spacing w:after="0" w:line="240" w:lineRule="auto"/>
              <w:rPr>
                <w:b/>
                <w:color w:val="519680"/>
              </w:rPr>
            </w:pPr>
          </w:p>
          <w:p w14:paraId="7704450E" w14:textId="77777777" w:rsidR="002854DA" w:rsidRDefault="002854DA">
            <w:pPr>
              <w:spacing w:after="0" w:line="240" w:lineRule="auto"/>
              <w:rPr>
                <w:b/>
                <w:color w:val="519680"/>
              </w:rPr>
            </w:pPr>
          </w:p>
        </w:tc>
      </w:tr>
      <w:tr w:rsidR="002854DA" w14:paraId="7DC705EF" w14:textId="77777777" w:rsidTr="0072352E">
        <w:tc>
          <w:tcPr>
            <w:tcW w:w="6124"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1E29935" w14:textId="77FE66BC" w:rsidR="002854DA" w:rsidRDefault="00FC67FA">
            <w:pPr>
              <w:spacing w:after="0" w:line="240" w:lineRule="auto"/>
            </w:pPr>
            <w:r>
              <w:t xml:space="preserve">The pharmacy complies </w:t>
            </w:r>
            <w:r w:rsidR="00D7605C">
              <w:t xml:space="preserve">with the </w:t>
            </w:r>
            <w:r>
              <w:t>NHS Community Pharmacy Contractual Framework (CPCF) requirements.</w:t>
            </w:r>
          </w:p>
          <w:p w14:paraId="2D1C5D3F" w14:textId="77777777" w:rsidR="002854DA" w:rsidRDefault="002854DA">
            <w:pPr>
              <w:spacing w:after="0" w:line="240" w:lineRule="auto"/>
            </w:pPr>
          </w:p>
          <w:p w14:paraId="34320F4E" w14:textId="77777777" w:rsidR="002854DA" w:rsidRDefault="002854DA">
            <w:pPr>
              <w:spacing w:after="0" w:line="240" w:lineRule="auto"/>
            </w:pPr>
          </w:p>
          <w:p w14:paraId="7F81FFDE" w14:textId="77777777" w:rsidR="002854DA" w:rsidRDefault="002854DA">
            <w:pPr>
              <w:spacing w:after="0" w:line="240" w:lineRule="auto"/>
            </w:pPr>
          </w:p>
        </w:tc>
        <w:tc>
          <w:tcPr>
            <w:tcW w:w="4366"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41F45D" w14:textId="77777777" w:rsidR="009B3AE1" w:rsidRDefault="009B3AE1" w:rsidP="009B3AE1">
            <w:pPr>
              <w:spacing w:after="0" w:line="240" w:lineRule="auto"/>
              <w:rPr>
                <w:b/>
                <w:color w:val="519680"/>
              </w:rPr>
            </w:pPr>
          </w:p>
          <w:p w14:paraId="3248726C" w14:textId="77777777" w:rsidR="009B3AE1" w:rsidRDefault="009B3AE1" w:rsidP="009B3AE1">
            <w:pPr>
              <w:spacing w:after="0" w:line="240" w:lineRule="auto"/>
              <w:rPr>
                <w:b/>
                <w:color w:val="519680"/>
              </w:rPr>
            </w:pP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Yes</w:t>
            </w:r>
            <w:r>
              <w:rPr>
                <w:b/>
                <w:color w:val="519680"/>
              </w:rPr>
              <w:tab/>
            </w:r>
            <w:r>
              <w:rPr>
                <w:b/>
                <w:color w:val="519680"/>
              </w:rPr>
              <w:tab/>
            </w:r>
            <w:r>
              <w:rPr>
                <w:b/>
                <w:color w:val="519680"/>
              </w:rPr>
              <w:fldChar w:fldCharType="begin">
                <w:ffData>
                  <w:name w:val="Check1"/>
                  <w:enabled/>
                  <w:calcOnExit w:val="0"/>
                  <w:checkBox>
                    <w:sizeAuto/>
                    <w:default w:val="0"/>
                  </w:checkBox>
                </w:ffData>
              </w:fldChar>
            </w:r>
            <w:r>
              <w:rPr>
                <w:b/>
                <w:color w:val="519680"/>
              </w:rPr>
              <w:instrText xml:space="preserve"> FORMCHECKBOX </w:instrText>
            </w:r>
            <w:r w:rsidR="00AE7B83">
              <w:rPr>
                <w:b/>
                <w:color w:val="519680"/>
              </w:rPr>
            </w:r>
            <w:r w:rsidR="00AE7B83">
              <w:rPr>
                <w:b/>
                <w:color w:val="519680"/>
              </w:rPr>
              <w:fldChar w:fldCharType="separate"/>
            </w:r>
            <w:r>
              <w:rPr>
                <w:b/>
                <w:color w:val="519680"/>
              </w:rPr>
              <w:fldChar w:fldCharType="end"/>
            </w:r>
            <w:r>
              <w:rPr>
                <w:b/>
                <w:color w:val="519680"/>
              </w:rPr>
              <w:t xml:space="preserve"> No</w:t>
            </w:r>
          </w:p>
          <w:p w14:paraId="205A5C86" w14:textId="77777777" w:rsidR="009B3AE1" w:rsidRDefault="009B3AE1" w:rsidP="009B3AE1">
            <w:pPr>
              <w:spacing w:after="0" w:line="240" w:lineRule="auto"/>
              <w:rPr>
                <w:b/>
                <w:color w:val="519680"/>
              </w:rPr>
            </w:pPr>
          </w:p>
          <w:p w14:paraId="459C3880" w14:textId="77777777" w:rsidR="002854DA" w:rsidRDefault="002854DA">
            <w:pPr>
              <w:spacing w:after="0" w:line="240" w:lineRule="auto"/>
              <w:rPr>
                <w:b/>
                <w:color w:val="519680"/>
              </w:rPr>
            </w:pPr>
          </w:p>
          <w:p w14:paraId="15306CB5" w14:textId="77777777" w:rsidR="002854DA" w:rsidRDefault="002854DA">
            <w:pPr>
              <w:spacing w:after="0" w:line="240" w:lineRule="auto"/>
              <w:rPr>
                <w:b/>
                <w:color w:val="519680"/>
              </w:rPr>
            </w:pPr>
          </w:p>
        </w:tc>
      </w:tr>
    </w:tbl>
    <w:p w14:paraId="573BAC24" w14:textId="77777777" w:rsidR="002854DA" w:rsidRDefault="002854DA"/>
    <w:p w14:paraId="2747C6E8" w14:textId="77777777" w:rsidR="002854DA" w:rsidRDefault="002854DA">
      <w:pPr>
        <w:rPr>
          <w:b/>
          <w:color w:val="519680"/>
          <w:sz w:val="28"/>
        </w:rPr>
      </w:pPr>
    </w:p>
    <w:p w14:paraId="07A6865B" w14:textId="77777777" w:rsidR="002854DA" w:rsidRDefault="002854DA">
      <w:pPr>
        <w:rPr>
          <w:b/>
          <w:color w:val="519680"/>
          <w:sz w:val="28"/>
        </w:rPr>
      </w:pPr>
    </w:p>
    <w:p w14:paraId="1A7CFCE5" w14:textId="77777777" w:rsidR="002854DA" w:rsidRDefault="002854DA">
      <w:pPr>
        <w:rPr>
          <w:b/>
          <w:color w:val="519680"/>
          <w:sz w:val="28"/>
        </w:rPr>
      </w:pPr>
    </w:p>
    <w:p w14:paraId="47FE9AA2" w14:textId="77777777" w:rsidR="002854DA" w:rsidRDefault="002854DA">
      <w:pPr>
        <w:rPr>
          <w:b/>
          <w:color w:val="519680"/>
          <w:sz w:val="28"/>
        </w:rPr>
      </w:pPr>
    </w:p>
    <w:p w14:paraId="0D7F1099" w14:textId="77777777" w:rsidR="002854DA" w:rsidRDefault="002854DA" w:rsidP="0072352E">
      <w:pPr>
        <w:pageBreakBefore/>
        <w:spacing w:after="0"/>
        <w:rPr>
          <w:b/>
          <w:color w:val="519680"/>
          <w:sz w:val="28"/>
        </w:rPr>
      </w:pPr>
    </w:p>
    <w:p w14:paraId="5EAC6598" w14:textId="07D39C50" w:rsidR="002854DA" w:rsidRDefault="00FC67FA" w:rsidP="0072352E">
      <w:pPr>
        <w:spacing w:after="0"/>
        <w:rPr>
          <w:b/>
          <w:color w:val="519680"/>
          <w:sz w:val="28"/>
        </w:rPr>
      </w:pPr>
      <w:r>
        <w:rPr>
          <w:b/>
          <w:color w:val="519680"/>
          <w:sz w:val="28"/>
        </w:rPr>
        <w:t>Part 2</w:t>
      </w:r>
    </w:p>
    <w:p w14:paraId="5C2059C4" w14:textId="77777777" w:rsidR="0072352E" w:rsidRDefault="0072352E" w:rsidP="0072352E">
      <w:pPr>
        <w:spacing w:after="0"/>
        <w:rPr>
          <w:b/>
          <w:color w:val="519680"/>
          <w:sz w:val="28"/>
        </w:rPr>
      </w:pPr>
    </w:p>
    <w:p w14:paraId="16C251E9" w14:textId="77777777" w:rsidR="002854DA" w:rsidRDefault="00FC67FA" w:rsidP="0072352E">
      <w:pPr>
        <w:spacing w:after="0"/>
        <w:jc w:val="both"/>
      </w:pPr>
      <w:r>
        <w:t xml:space="preserve">This section of the framework asks you to think about what evidence you possess in the pharmacy, which you can use to demonstrate compliance with the requirements below. Evidence must be provided against all requirements.  </w:t>
      </w:r>
    </w:p>
    <w:p w14:paraId="37CD1B61" w14:textId="60209097" w:rsidR="002854DA" w:rsidRDefault="00D7605C" w:rsidP="0072352E">
      <w:pPr>
        <w:spacing w:after="0"/>
        <w:rPr>
          <w:rFonts w:cs="Helvetica"/>
          <w:color w:val="519680"/>
        </w:rPr>
      </w:pPr>
      <w:r>
        <w:t>An example completed f</w:t>
      </w:r>
      <w:r w:rsidR="00FC67FA">
        <w:t>o</w:t>
      </w:r>
      <w:r>
        <w:t>r</w:t>
      </w:r>
      <w:r w:rsidR="00FC67FA">
        <w:t xml:space="preserve">m can be found on page 14-15 of the </w:t>
      </w:r>
      <w:r w:rsidR="00FC67FA">
        <w:rPr>
          <w:rFonts w:cs="Helvetica"/>
        </w:rPr>
        <w:t xml:space="preserve">PHE </w:t>
      </w:r>
      <w:hyperlink r:id="rId7" w:history="1">
        <w:r w:rsidR="00FC67FA">
          <w:rPr>
            <w:rStyle w:val="Hyperlink"/>
            <w:rFonts w:cs="Helvetica"/>
            <w:color w:val="519680"/>
          </w:rPr>
          <w:t>self-assessment qual</w:t>
        </w:r>
        <w:bookmarkStart w:id="2" w:name="_Hlt476136705"/>
        <w:bookmarkStart w:id="3" w:name="_Hlt476136706"/>
        <w:bookmarkEnd w:id="2"/>
        <w:bookmarkEnd w:id="3"/>
        <w:r w:rsidR="00FC67FA">
          <w:rPr>
            <w:rStyle w:val="Hyperlink"/>
            <w:rFonts w:cs="Helvetica"/>
            <w:color w:val="519680"/>
          </w:rPr>
          <w:t>ity</w:t>
        </w:r>
        <w:bookmarkStart w:id="4" w:name="_Hlt476136641"/>
        <w:bookmarkStart w:id="5" w:name="_Hlt476136642"/>
        <w:bookmarkEnd w:id="4"/>
        <w:bookmarkEnd w:id="5"/>
        <w:r w:rsidR="00FC67FA">
          <w:rPr>
            <w:rStyle w:val="Hyperlink"/>
            <w:rFonts w:cs="Helvetica"/>
            <w:color w:val="519680"/>
          </w:rPr>
          <w:t xml:space="preserve"> criteria guide</w:t>
        </w:r>
      </w:hyperlink>
      <w:r w:rsidR="00FC67FA">
        <w:rPr>
          <w:rFonts w:cs="Helvetica"/>
          <w:color w:val="519680"/>
        </w:rPr>
        <w:t>.</w:t>
      </w:r>
    </w:p>
    <w:p w14:paraId="5C57C945" w14:textId="77777777" w:rsidR="0072352E" w:rsidRDefault="0072352E" w:rsidP="0072352E">
      <w:pPr>
        <w:spacing w:after="0"/>
      </w:pPr>
    </w:p>
    <w:tbl>
      <w:tblPr>
        <w:tblW w:w="10490" w:type="dxa"/>
        <w:tblInd w:w="108" w:type="dxa"/>
        <w:tblLayout w:type="fixed"/>
        <w:tblCellMar>
          <w:left w:w="10" w:type="dxa"/>
          <w:right w:w="10" w:type="dxa"/>
        </w:tblCellMar>
        <w:tblLook w:val="0000" w:firstRow="0" w:lastRow="0" w:firstColumn="0" w:lastColumn="0" w:noHBand="0" w:noVBand="0"/>
      </w:tblPr>
      <w:tblGrid>
        <w:gridCol w:w="4707"/>
        <w:gridCol w:w="5783"/>
      </w:tblGrid>
      <w:tr w:rsidR="002854DA" w14:paraId="081BA736"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2A039DE" w14:textId="77777777" w:rsidR="002854DA" w:rsidRDefault="00FC67FA">
            <w:pPr>
              <w:spacing w:after="0" w:line="240" w:lineRule="auto"/>
              <w:rPr>
                <w:b/>
                <w:color w:val="519680"/>
              </w:rPr>
            </w:pPr>
            <w:r>
              <w:rPr>
                <w:b/>
                <w:color w:val="519680"/>
              </w:rPr>
              <w:t>Requirement</w:t>
            </w: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7D8ED7C" w14:textId="77777777" w:rsidR="002854DA" w:rsidRDefault="00FC67FA">
            <w:pPr>
              <w:spacing w:after="0" w:line="240" w:lineRule="auto"/>
              <w:rPr>
                <w:b/>
                <w:color w:val="519680"/>
              </w:rPr>
            </w:pPr>
            <w:r>
              <w:rPr>
                <w:b/>
                <w:color w:val="519680"/>
              </w:rPr>
              <w:t>Brief description of evidence (Evidence can include photos, copies of leaflets and posters, policies and other documents, electronic data records, etc.)</w:t>
            </w:r>
          </w:p>
        </w:tc>
      </w:tr>
      <w:tr w:rsidR="002854DA" w14:paraId="07942FCB"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7EA6B15" w14:textId="77777777" w:rsidR="002854DA" w:rsidRDefault="00FC67FA">
            <w:pPr>
              <w:spacing w:after="0" w:line="240" w:lineRule="auto"/>
            </w:pPr>
            <w:r>
              <w:rPr>
                <w:b/>
                <w:color w:val="519680"/>
              </w:rPr>
              <w:t>Staff</w:t>
            </w:r>
          </w:p>
          <w:p w14:paraId="671ABB66" w14:textId="77777777" w:rsidR="002854DA" w:rsidRDefault="002854DA">
            <w:pPr>
              <w:spacing w:after="0" w:line="240" w:lineRule="auto"/>
              <w:rPr>
                <w:b/>
              </w:rPr>
            </w:pPr>
          </w:p>
        </w:tc>
      </w:tr>
      <w:tr w:rsidR="002854DA" w14:paraId="5F39B9E2"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AFA3C43" w14:textId="77777777" w:rsidR="002854DA" w:rsidRDefault="00FC67FA">
            <w:pPr>
              <w:spacing w:after="0" w:line="240" w:lineRule="auto"/>
            </w:pPr>
            <w:r>
              <w:t>Staff are aware of the local health needs through published documentation and through the results of the community pharmacy patient questionnaire and can demonstrate they act on this information, either through service delivery or signposting people to other relevant services.</w:t>
            </w:r>
          </w:p>
          <w:p w14:paraId="4CE6B50C"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9BC7DFA" w14:textId="518772F2" w:rsidR="002854DA" w:rsidRDefault="00D7605C">
            <w:pPr>
              <w:spacing w:after="0" w:line="240" w:lineRule="auto"/>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854DA" w14:paraId="51D6D12D"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49CF9AE" w14:textId="77777777" w:rsidR="002854DA" w:rsidRDefault="00FC67FA">
            <w:pPr>
              <w:spacing w:after="0" w:line="240" w:lineRule="auto"/>
            </w:pPr>
            <w:r>
              <w:t>The pharmacy has at least one staff member trained to Health Champion RSPH level 2.</w:t>
            </w:r>
          </w:p>
          <w:p w14:paraId="5523553C" w14:textId="77777777" w:rsidR="002854DA" w:rsidRDefault="002854DA">
            <w:pPr>
              <w:spacing w:after="0" w:line="240" w:lineRule="auto"/>
            </w:pPr>
          </w:p>
          <w:p w14:paraId="4789D482" w14:textId="77777777" w:rsidR="002854DA" w:rsidRDefault="002854DA">
            <w:pPr>
              <w:spacing w:after="0" w:line="240" w:lineRule="auto"/>
            </w:pPr>
          </w:p>
          <w:p w14:paraId="0DAA66C8" w14:textId="77777777" w:rsidR="002854DA" w:rsidRDefault="002854DA">
            <w:pPr>
              <w:spacing w:after="0" w:line="240" w:lineRule="auto"/>
            </w:pPr>
          </w:p>
          <w:p w14:paraId="5D35BB2E" w14:textId="77777777" w:rsidR="002854DA" w:rsidRDefault="002854DA">
            <w:pPr>
              <w:spacing w:after="0" w:line="240" w:lineRule="auto"/>
            </w:pPr>
          </w:p>
          <w:p w14:paraId="715ABA36"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0A6960A" w14:textId="19F5E199"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32E57F5"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23997E" w14:textId="77777777" w:rsidR="002854DA" w:rsidRDefault="00FC67FA">
            <w:pPr>
              <w:spacing w:after="0" w:line="240" w:lineRule="auto"/>
            </w:pPr>
            <w:r>
              <w:t xml:space="preserve">The pharmacy team is led by an effective leader, trained in leadership skills, who is pro-actively leading the team in attaining and maintaining provision of interventions to meet the HLP quality criteria. *PHE Health Profiles: The health profiles give a snapshot overview of health for each local authority in England.  </w:t>
            </w:r>
          </w:p>
          <w:p w14:paraId="25C45110" w14:textId="77777777" w:rsidR="002854DA" w:rsidRDefault="00FC67FA">
            <w:pPr>
              <w:spacing w:after="0" w:line="240" w:lineRule="auto"/>
            </w:pPr>
            <w:r>
              <w:t xml:space="preserve"> </w:t>
            </w:r>
          </w:p>
          <w:p w14:paraId="7766A7EE" w14:textId="77777777" w:rsidR="002854DA" w:rsidRDefault="00FC67FA">
            <w:pPr>
              <w:spacing w:after="0" w:line="240" w:lineRule="auto"/>
            </w:pPr>
            <w:r>
              <w:t xml:space="preserve">See </w:t>
            </w:r>
            <w:hyperlink r:id="rId8" w:history="1">
              <w:r>
                <w:rPr>
                  <w:rStyle w:val="Hyperlink"/>
                  <w:color w:val="519680"/>
                </w:rPr>
                <w:t>http://www.apho.org.uk/default.aspx?QN=P_HEALTH_PROFILES</w:t>
              </w:r>
            </w:hyperlink>
            <w:r>
              <w:t xml:space="preserve"> for more information.</w:t>
            </w: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8453C7D" w14:textId="08DC595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62917457"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3F135F6" w14:textId="42EF49F5" w:rsidR="002854DA" w:rsidRDefault="00FC67FA">
            <w:pPr>
              <w:spacing w:after="0" w:line="240" w:lineRule="auto"/>
            </w:pPr>
            <w:r>
              <w:t>Staff are able to provide advice on sensitive/difficult public health issues (e</w:t>
            </w:r>
            <w:r w:rsidR="00D7605C">
              <w:t>.</w:t>
            </w:r>
            <w:r>
              <w:t>g</w:t>
            </w:r>
            <w:r w:rsidR="00D7605C">
              <w:t>.</w:t>
            </w:r>
            <w:r>
              <w:t xml:space="preserve"> when providing advice on alcohol consumption, sexual health issues).  </w:t>
            </w:r>
          </w:p>
          <w:p w14:paraId="47AFDDAE" w14:textId="77777777" w:rsidR="002854DA" w:rsidRDefault="002854DA">
            <w:pPr>
              <w:spacing w:after="0" w:line="240" w:lineRule="auto"/>
            </w:pPr>
          </w:p>
          <w:p w14:paraId="40D848B5" w14:textId="77777777" w:rsidR="002854DA" w:rsidRDefault="002854DA">
            <w:pPr>
              <w:spacing w:after="0" w:line="240" w:lineRule="auto"/>
            </w:pPr>
          </w:p>
          <w:p w14:paraId="446A2231"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6AE94DB" w14:textId="085C1F46"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4CAC5FA"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1292532" w14:textId="77777777" w:rsidR="002854DA" w:rsidRDefault="00FC67FA">
            <w:pPr>
              <w:spacing w:after="0" w:line="240" w:lineRule="auto"/>
              <w:rPr>
                <w:b/>
                <w:color w:val="519680"/>
              </w:rPr>
            </w:pPr>
            <w:r>
              <w:rPr>
                <w:b/>
                <w:color w:val="519680"/>
              </w:rPr>
              <w:t>Engagement</w:t>
            </w:r>
          </w:p>
          <w:p w14:paraId="22849EBF" w14:textId="77777777" w:rsidR="002854DA" w:rsidRDefault="002854DA">
            <w:pPr>
              <w:spacing w:after="0" w:line="240" w:lineRule="auto"/>
              <w:rPr>
                <w:b/>
              </w:rPr>
            </w:pPr>
          </w:p>
        </w:tc>
      </w:tr>
      <w:tr w:rsidR="002854DA" w14:paraId="3C72E5D8" w14:textId="77777777" w:rsidTr="0072352E">
        <w:tc>
          <w:tcPr>
            <w:tcW w:w="4707"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219DCD5" w14:textId="77777777" w:rsidR="002854DA" w:rsidRDefault="00FC67FA">
            <w:pPr>
              <w:spacing w:after="0" w:line="240" w:lineRule="auto"/>
            </w:pPr>
            <w:r>
              <w:t>Staff proactively offer advice to their customers/patients and make relevant brief health advice or interventions. They are aware that people may need additional support for behavioural change.</w:t>
            </w:r>
          </w:p>
          <w:p w14:paraId="35397A72" w14:textId="77777777" w:rsidR="002854DA" w:rsidRDefault="002854DA">
            <w:pPr>
              <w:spacing w:after="0" w:line="240" w:lineRule="auto"/>
            </w:pPr>
          </w:p>
          <w:p w14:paraId="791B418D" w14:textId="77777777" w:rsidR="002854DA" w:rsidRDefault="002854DA">
            <w:pPr>
              <w:spacing w:after="0" w:line="240" w:lineRule="auto"/>
            </w:pPr>
          </w:p>
        </w:tc>
        <w:tc>
          <w:tcPr>
            <w:tcW w:w="5783"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25AEC2C6" w14:textId="51286A8A"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E866FD" w14:textId="77777777" w:rsidR="002854DA" w:rsidRDefault="002854DA"/>
    <w:p w14:paraId="54C3B161" w14:textId="77777777" w:rsidR="002854DA" w:rsidRDefault="002854DA"/>
    <w:tbl>
      <w:tblPr>
        <w:tblW w:w="10598"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CellMar>
          <w:left w:w="10" w:type="dxa"/>
          <w:right w:w="10" w:type="dxa"/>
        </w:tblCellMar>
        <w:tblLook w:val="0000" w:firstRow="0" w:lastRow="0" w:firstColumn="0" w:lastColumn="0" w:noHBand="0" w:noVBand="0"/>
      </w:tblPr>
      <w:tblGrid>
        <w:gridCol w:w="4815"/>
        <w:gridCol w:w="5783"/>
      </w:tblGrid>
      <w:tr w:rsidR="002854DA" w14:paraId="4A56FCD4" w14:textId="77777777" w:rsidTr="00210EB1">
        <w:tc>
          <w:tcPr>
            <w:tcW w:w="4815" w:type="dxa"/>
            <w:shd w:val="clear" w:color="auto" w:fill="auto"/>
            <w:tcMar>
              <w:top w:w="0" w:type="dxa"/>
              <w:left w:w="108" w:type="dxa"/>
              <w:bottom w:w="0" w:type="dxa"/>
              <w:right w:w="108" w:type="dxa"/>
            </w:tcMar>
          </w:tcPr>
          <w:p w14:paraId="7278BC4A" w14:textId="77777777" w:rsidR="002854DA" w:rsidRDefault="00FC67FA">
            <w:pPr>
              <w:spacing w:after="0" w:line="240" w:lineRule="auto"/>
              <w:rPr>
                <w:b/>
                <w:color w:val="519680"/>
              </w:rPr>
            </w:pPr>
            <w:bookmarkStart w:id="7" w:name="_GoBack" w:colFirst="2" w:colLast="2"/>
            <w:r>
              <w:rPr>
                <w:b/>
                <w:color w:val="519680"/>
              </w:rPr>
              <w:t>Requirement</w:t>
            </w:r>
          </w:p>
        </w:tc>
        <w:tc>
          <w:tcPr>
            <w:tcW w:w="5783" w:type="dxa"/>
            <w:shd w:val="clear" w:color="auto" w:fill="auto"/>
            <w:tcMar>
              <w:top w:w="0" w:type="dxa"/>
              <w:left w:w="108" w:type="dxa"/>
              <w:bottom w:w="0" w:type="dxa"/>
              <w:right w:w="108" w:type="dxa"/>
            </w:tcMar>
          </w:tcPr>
          <w:p w14:paraId="1CDC4BDC" w14:textId="77777777" w:rsidR="002854DA" w:rsidRDefault="00FC67FA">
            <w:pPr>
              <w:spacing w:after="0" w:line="240" w:lineRule="auto"/>
              <w:rPr>
                <w:b/>
                <w:color w:val="519680"/>
              </w:rPr>
            </w:pPr>
            <w:r>
              <w:rPr>
                <w:b/>
                <w:color w:val="519680"/>
              </w:rPr>
              <w:t>Brief description of evidence (Evidence can include photos, copies of leaflets and posters, policies and other documents, electronic data records, etc.)</w:t>
            </w:r>
          </w:p>
        </w:tc>
      </w:tr>
      <w:bookmarkEnd w:id="7"/>
      <w:tr w:rsidR="002854DA" w14:paraId="4D8E286B" w14:textId="77777777" w:rsidTr="00210EB1">
        <w:tc>
          <w:tcPr>
            <w:tcW w:w="4815" w:type="dxa"/>
            <w:shd w:val="clear" w:color="auto" w:fill="auto"/>
            <w:tcMar>
              <w:top w:w="0" w:type="dxa"/>
              <w:left w:w="108" w:type="dxa"/>
              <w:bottom w:w="0" w:type="dxa"/>
              <w:right w:w="108" w:type="dxa"/>
            </w:tcMar>
          </w:tcPr>
          <w:p w14:paraId="062E3CEB" w14:textId="77777777" w:rsidR="002854DA" w:rsidRDefault="00FC67FA">
            <w:pPr>
              <w:spacing w:after="0" w:line="240" w:lineRule="auto"/>
            </w:pPr>
            <w:r>
              <w:t>The pharmacy team engages with local GP practices and other providers of community, health and/or social services to ensure that there are referral pathways for health &amp; wellbeing services.</w:t>
            </w:r>
          </w:p>
          <w:p w14:paraId="36E3A610" w14:textId="77777777" w:rsidR="002854DA" w:rsidRDefault="002854DA">
            <w:pPr>
              <w:spacing w:after="0" w:line="240" w:lineRule="auto"/>
            </w:pPr>
          </w:p>
          <w:p w14:paraId="56669179"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37E7AABF" w14:textId="168C0D1F"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772C7C03" w14:textId="77777777" w:rsidTr="00210EB1">
        <w:tc>
          <w:tcPr>
            <w:tcW w:w="4815" w:type="dxa"/>
            <w:shd w:val="clear" w:color="auto" w:fill="auto"/>
            <w:tcMar>
              <w:top w:w="0" w:type="dxa"/>
              <w:left w:w="108" w:type="dxa"/>
              <w:bottom w:w="0" w:type="dxa"/>
              <w:right w:w="108" w:type="dxa"/>
            </w:tcMar>
          </w:tcPr>
          <w:p w14:paraId="61B17234" w14:textId="77777777" w:rsidR="002854DA" w:rsidRDefault="00FC67FA">
            <w:pPr>
              <w:spacing w:after="0" w:line="240" w:lineRule="auto"/>
            </w:pPr>
            <w:r>
              <w:t>The pharmacy is actively involved in 6 public health campaigns (as part of the CPCF).</w:t>
            </w:r>
          </w:p>
          <w:p w14:paraId="6F770CDB" w14:textId="77777777" w:rsidR="002854DA" w:rsidRDefault="002854DA">
            <w:pPr>
              <w:spacing w:after="0" w:line="240" w:lineRule="auto"/>
            </w:pPr>
          </w:p>
          <w:p w14:paraId="453510D7" w14:textId="77777777" w:rsidR="002854DA" w:rsidRDefault="002854DA">
            <w:pPr>
              <w:spacing w:after="0" w:line="240" w:lineRule="auto"/>
            </w:pPr>
          </w:p>
          <w:p w14:paraId="1FD3D582" w14:textId="77777777" w:rsidR="002854DA" w:rsidRDefault="002854DA">
            <w:pPr>
              <w:spacing w:after="0" w:line="240" w:lineRule="auto"/>
            </w:pPr>
          </w:p>
          <w:p w14:paraId="1CB2A80E" w14:textId="77777777" w:rsidR="002854DA" w:rsidRDefault="002854DA">
            <w:pPr>
              <w:spacing w:after="0" w:line="240" w:lineRule="auto"/>
            </w:pPr>
          </w:p>
          <w:p w14:paraId="0CE5F409"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6CCFB3AA" w14:textId="15E021B3"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62A8CC9" w14:textId="77777777" w:rsidTr="00210EB1">
        <w:tc>
          <w:tcPr>
            <w:tcW w:w="10598" w:type="dxa"/>
            <w:gridSpan w:val="2"/>
            <w:shd w:val="clear" w:color="auto" w:fill="auto"/>
            <w:tcMar>
              <w:top w:w="0" w:type="dxa"/>
              <w:left w:w="108" w:type="dxa"/>
              <w:bottom w:w="0" w:type="dxa"/>
              <w:right w:w="108" w:type="dxa"/>
            </w:tcMar>
          </w:tcPr>
          <w:p w14:paraId="009E77A7" w14:textId="77777777" w:rsidR="002854DA" w:rsidRDefault="00FC67FA">
            <w:pPr>
              <w:spacing w:after="0" w:line="240" w:lineRule="auto"/>
            </w:pPr>
            <w:r>
              <w:t xml:space="preserve"> </w:t>
            </w:r>
            <w:r>
              <w:rPr>
                <w:b/>
                <w:color w:val="519680"/>
              </w:rPr>
              <w:t>Environment</w:t>
            </w:r>
          </w:p>
          <w:p w14:paraId="5A60FF2F" w14:textId="77777777" w:rsidR="002854DA" w:rsidRDefault="002854DA">
            <w:pPr>
              <w:spacing w:after="0" w:line="240" w:lineRule="auto"/>
              <w:rPr>
                <w:b/>
              </w:rPr>
            </w:pPr>
          </w:p>
        </w:tc>
      </w:tr>
      <w:tr w:rsidR="002854DA" w14:paraId="168B3392" w14:textId="77777777" w:rsidTr="00210EB1">
        <w:tc>
          <w:tcPr>
            <w:tcW w:w="4815" w:type="dxa"/>
            <w:shd w:val="clear" w:color="auto" w:fill="auto"/>
            <w:tcMar>
              <w:top w:w="0" w:type="dxa"/>
              <w:left w:w="108" w:type="dxa"/>
              <w:bottom w:w="0" w:type="dxa"/>
              <w:right w:w="108" w:type="dxa"/>
            </w:tcMar>
          </w:tcPr>
          <w:p w14:paraId="3967D0BD" w14:textId="77777777" w:rsidR="002854DA" w:rsidRDefault="00FC67FA">
            <w:pPr>
              <w:spacing w:after="0" w:line="240" w:lineRule="auto"/>
            </w:pPr>
            <w:r>
              <w:t>The pharmacy consultation room is organised, tidy and functions efficiently with appropriate access to IT and paperwork.</w:t>
            </w:r>
          </w:p>
          <w:p w14:paraId="5EBFB4B5" w14:textId="77777777" w:rsidR="002854DA" w:rsidRDefault="002854DA">
            <w:pPr>
              <w:spacing w:after="0" w:line="240" w:lineRule="auto"/>
            </w:pPr>
          </w:p>
          <w:p w14:paraId="7B84599E" w14:textId="77777777" w:rsidR="002854DA" w:rsidRDefault="002854DA">
            <w:pPr>
              <w:spacing w:after="0" w:line="240" w:lineRule="auto"/>
            </w:pPr>
          </w:p>
          <w:p w14:paraId="1F6F08BF" w14:textId="77777777" w:rsidR="002854DA" w:rsidRDefault="002854DA">
            <w:pPr>
              <w:spacing w:after="0" w:line="240" w:lineRule="auto"/>
            </w:pPr>
          </w:p>
          <w:p w14:paraId="01AF5517"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0706B322" w14:textId="527995C9"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2C7E4" w14:textId="77777777" w:rsidR="002854DA" w:rsidRDefault="002854DA">
            <w:pPr>
              <w:spacing w:after="0" w:line="240" w:lineRule="auto"/>
            </w:pPr>
          </w:p>
        </w:tc>
      </w:tr>
      <w:tr w:rsidR="002854DA" w14:paraId="195984AE" w14:textId="77777777" w:rsidTr="00210EB1">
        <w:tc>
          <w:tcPr>
            <w:tcW w:w="4815" w:type="dxa"/>
            <w:shd w:val="clear" w:color="auto" w:fill="auto"/>
            <w:tcMar>
              <w:top w:w="0" w:type="dxa"/>
              <w:left w:w="108" w:type="dxa"/>
              <w:bottom w:w="0" w:type="dxa"/>
              <w:right w:w="108" w:type="dxa"/>
            </w:tcMar>
          </w:tcPr>
          <w:p w14:paraId="7546354A" w14:textId="77777777" w:rsidR="002854DA" w:rsidRDefault="00FC67FA">
            <w:pPr>
              <w:spacing w:after="0" w:line="240" w:lineRule="auto"/>
            </w:pPr>
            <w:r>
              <w:t>The pharmacy has a dedicated health promotion zone clearly marked and accessible to the public, which contains relevant and up to date resources, which are used by staff when discussing relevant health promoting interventions.</w:t>
            </w:r>
          </w:p>
          <w:p w14:paraId="21773C24" w14:textId="77777777" w:rsidR="002854DA" w:rsidRDefault="002854DA">
            <w:pPr>
              <w:spacing w:after="0" w:line="240" w:lineRule="auto"/>
            </w:pPr>
          </w:p>
          <w:p w14:paraId="764AE60D" w14:textId="77777777" w:rsidR="002854DA" w:rsidRDefault="002854DA">
            <w:pPr>
              <w:spacing w:after="0" w:line="240" w:lineRule="auto"/>
            </w:pPr>
          </w:p>
        </w:tc>
        <w:tc>
          <w:tcPr>
            <w:tcW w:w="5783" w:type="dxa"/>
            <w:shd w:val="clear" w:color="auto" w:fill="auto"/>
            <w:tcMar>
              <w:top w:w="0" w:type="dxa"/>
              <w:left w:w="108" w:type="dxa"/>
              <w:bottom w:w="0" w:type="dxa"/>
              <w:right w:w="108" w:type="dxa"/>
            </w:tcMar>
          </w:tcPr>
          <w:p w14:paraId="32686AAC" w14:textId="1D741DFB"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11C54" w14:textId="77777777" w:rsidR="002854DA" w:rsidRDefault="002854DA">
            <w:pPr>
              <w:spacing w:after="0" w:line="240" w:lineRule="auto"/>
            </w:pPr>
          </w:p>
          <w:p w14:paraId="7338A62B" w14:textId="77777777" w:rsidR="002854DA" w:rsidRDefault="002854DA">
            <w:pPr>
              <w:spacing w:after="0" w:line="240" w:lineRule="auto"/>
            </w:pPr>
          </w:p>
          <w:p w14:paraId="5F4BAFF0" w14:textId="77777777" w:rsidR="002854DA" w:rsidRDefault="002854DA">
            <w:pPr>
              <w:spacing w:after="0" w:line="240" w:lineRule="auto"/>
            </w:pPr>
          </w:p>
          <w:p w14:paraId="75A96ED0" w14:textId="77777777" w:rsidR="002854DA" w:rsidRDefault="002854DA">
            <w:pPr>
              <w:spacing w:after="0" w:line="240" w:lineRule="auto"/>
            </w:pPr>
          </w:p>
          <w:p w14:paraId="000D1F99" w14:textId="77777777" w:rsidR="002854DA" w:rsidRDefault="002854DA">
            <w:pPr>
              <w:spacing w:after="0" w:line="240" w:lineRule="auto"/>
            </w:pPr>
          </w:p>
          <w:p w14:paraId="1281D1C7" w14:textId="77777777" w:rsidR="002854DA" w:rsidRDefault="002854DA">
            <w:pPr>
              <w:spacing w:after="0" w:line="240" w:lineRule="auto"/>
            </w:pPr>
          </w:p>
        </w:tc>
      </w:tr>
    </w:tbl>
    <w:p w14:paraId="1A43CFFD" w14:textId="77777777" w:rsidR="002854DA" w:rsidRDefault="002854DA">
      <w:pPr>
        <w:rPr>
          <w:b/>
          <w:color w:val="519680"/>
          <w:sz w:val="28"/>
        </w:rPr>
      </w:pPr>
    </w:p>
    <w:p w14:paraId="368ED6D9" w14:textId="77777777" w:rsidR="002854DA" w:rsidRDefault="002854DA">
      <w:pPr>
        <w:pageBreakBefore/>
        <w:rPr>
          <w:b/>
          <w:color w:val="519680"/>
          <w:sz w:val="28"/>
        </w:rPr>
      </w:pPr>
    </w:p>
    <w:p w14:paraId="20D5247C" w14:textId="2D69B58D" w:rsidR="002854DA" w:rsidRDefault="00FC67FA" w:rsidP="0072352E">
      <w:pPr>
        <w:spacing w:after="0"/>
        <w:rPr>
          <w:b/>
          <w:color w:val="519680"/>
          <w:sz w:val="28"/>
        </w:rPr>
      </w:pPr>
      <w:r>
        <w:rPr>
          <w:b/>
          <w:color w:val="519680"/>
          <w:sz w:val="28"/>
        </w:rPr>
        <w:t xml:space="preserve">Part 3 </w:t>
      </w:r>
      <w:r w:rsidR="00844F89">
        <w:rPr>
          <w:b/>
          <w:color w:val="519680"/>
          <w:sz w:val="28"/>
        </w:rPr>
        <w:t>– Declaration of compliance</w:t>
      </w:r>
    </w:p>
    <w:p w14:paraId="544F63B9" w14:textId="77777777" w:rsidR="0072352E" w:rsidRDefault="0072352E" w:rsidP="0072352E">
      <w:pPr>
        <w:spacing w:after="0"/>
        <w:rPr>
          <w:b/>
          <w:color w:val="519680"/>
          <w:sz w:val="28"/>
        </w:rPr>
      </w:pPr>
    </w:p>
    <w:tbl>
      <w:tblPr>
        <w:tblW w:w="10490" w:type="dxa"/>
        <w:tblInd w:w="108" w:type="dxa"/>
        <w:tblCellMar>
          <w:left w:w="10" w:type="dxa"/>
          <w:right w:w="10" w:type="dxa"/>
        </w:tblCellMar>
        <w:tblLook w:val="0000" w:firstRow="0" w:lastRow="0" w:firstColumn="0" w:lastColumn="0" w:noHBand="0" w:noVBand="0"/>
      </w:tblPr>
      <w:tblGrid>
        <w:gridCol w:w="3998"/>
        <w:gridCol w:w="6492"/>
      </w:tblGrid>
      <w:tr w:rsidR="002854DA" w14:paraId="4A64446B"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BD2F30F" w14:textId="269B02EA" w:rsidR="002854DA" w:rsidRDefault="00FC67FA">
            <w:pPr>
              <w:spacing w:after="0" w:line="240" w:lineRule="auto"/>
            </w:pPr>
            <w:r>
              <w:t xml:space="preserve"> Pharmacist or Pharmacy Technician Name:</w:t>
            </w:r>
          </w:p>
          <w:p w14:paraId="06C339A1" w14:textId="77777777" w:rsidR="002854DA" w:rsidRDefault="002854DA">
            <w:pPr>
              <w:spacing w:after="0" w:line="240" w:lineRule="auto"/>
            </w:pPr>
          </w:p>
          <w:p w14:paraId="0A868B4A"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9A5964" w14:textId="0AAEF77C"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CA39348"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3A196B7" w14:textId="77777777" w:rsidR="002854DA" w:rsidRDefault="00FC67FA">
            <w:pPr>
              <w:spacing w:after="0" w:line="240" w:lineRule="auto"/>
            </w:pPr>
            <w:r>
              <w:t xml:space="preserve">Pharmacist or Pharmacy Technician GPhC number: </w:t>
            </w:r>
          </w:p>
          <w:p w14:paraId="691F95C9" w14:textId="77777777" w:rsidR="002854DA" w:rsidRDefault="002854DA">
            <w:pPr>
              <w:spacing w:after="0" w:line="240" w:lineRule="auto"/>
            </w:pPr>
          </w:p>
          <w:p w14:paraId="7BC23FC5"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155D27" w14:textId="7559069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04B3B457"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A562380" w14:textId="77777777" w:rsidR="002854DA" w:rsidRDefault="00FC67FA">
            <w:pPr>
              <w:spacing w:after="0" w:line="240" w:lineRule="auto"/>
              <w:rPr>
                <w:b/>
                <w:color w:val="519680"/>
              </w:rPr>
            </w:pPr>
            <w:r>
              <w:rPr>
                <w:b/>
                <w:color w:val="519680"/>
              </w:rPr>
              <w:t xml:space="preserve">I declare that </w:t>
            </w:r>
          </w:p>
          <w:p w14:paraId="259CA005" w14:textId="77777777" w:rsidR="002854DA" w:rsidRDefault="002854DA">
            <w:pPr>
              <w:spacing w:after="0" w:line="240" w:lineRule="auto"/>
              <w:rPr>
                <w:b/>
                <w:color w:val="519680"/>
              </w:rPr>
            </w:pPr>
          </w:p>
        </w:tc>
      </w:tr>
      <w:tr w:rsidR="002854DA" w14:paraId="54795AD4"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D1A1CE2" w14:textId="77777777" w:rsidR="002854DA" w:rsidRDefault="00FC67FA">
            <w:pPr>
              <w:spacing w:after="0" w:line="240" w:lineRule="auto"/>
            </w:pPr>
            <w:r>
              <w:t>Pharmacy Name:</w:t>
            </w:r>
          </w:p>
          <w:p w14:paraId="6DD2FB8A" w14:textId="77777777" w:rsidR="002854DA" w:rsidRDefault="002854DA">
            <w:pPr>
              <w:spacing w:after="0" w:line="240" w:lineRule="auto"/>
            </w:pPr>
          </w:p>
          <w:p w14:paraId="5208DDA2"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2B7D79" w14:textId="735ED80C"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1217E59D"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E9E68FB" w14:textId="77777777" w:rsidR="002854DA" w:rsidRDefault="00FC67FA">
            <w:pPr>
              <w:spacing w:after="0" w:line="240" w:lineRule="auto"/>
            </w:pPr>
            <w:r>
              <w:t>Pharmacy Address:</w:t>
            </w:r>
          </w:p>
          <w:p w14:paraId="2E2E4997" w14:textId="77777777" w:rsidR="002854DA" w:rsidRDefault="002854DA">
            <w:pPr>
              <w:spacing w:after="0" w:line="240" w:lineRule="auto"/>
            </w:pPr>
          </w:p>
          <w:p w14:paraId="40C9E89E" w14:textId="77777777" w:rsidR="002854DA" w:rsidRDefault="002854DA">
            <w:pPr>
              <w:spacing w:after="0" w:line="240" w:lineRule="auto"/>
            </w:pPr>
          </w:p>
          <w:p w14:paraId="1CEDC92C" w14:textId="77777777" w:rsidR="002854DA" w:rsidRDefault="002854DA">
            <w:pPr>
              <w:spacing w:after="0" w:line="240" w:lineRule="auto"/>
            </w:pPr>
          </w:p>
          <w:p w14:paraId="694B534E" w14:textId="77777777" w:rsidR="002854DA" w:rsidRDefault="002854DA">
            <w:pPr>
              <w:spacing w:after="0" w:line="240" w:lineRule="auto"/>
            </w:pPr>
          </w:p>
          <w:p w14:paraId="09C7CBA1"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036E0FE" w14:textId="77777777"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DABE7"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F5A986"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6A181"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2FD52" w14:textId="77777777"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B8F5E" w14:textId="61FD24C1" w:rsidR="00D7605C"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131C0AF5"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D0710E" w14:textId="77777777" w:rsidR="002854DA" w:rsidRDefault="00FC67FA">
            <w:pPr>
              <w:spacing w:after="0" w:line="240" w:lineRule="auto"/>
            </w:pPr>
            <w:r>
              <w:t xml:space="preserve">Pharmacy GPhC number: </w:t>
            </w:r>
          </w:p>
          <w:p w14:paraId="0C8E08B2" w14:textId="77777777" w:rsidR="002854DA" w:rsidRDefault="002854DA">
            <w:pPr>
              <w:spacing w:after="0" w:line="240" w:lineRule="auto"/>
            </w:pPr>
          </w:p>
          <w:p w14:paraId="3FF049A4"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045DC2B" w14:textId="4777E484" w:rsidR="002854DA" w:rsidRDefault="00D7605C">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4DA" w14:paraId="5A6597AE" w14:textId="77777777" w:rsidTr="0072352E">
        <w:tc>
          <w:tcPr>
            <w:tcW w:w="10490"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5DD085C" w14:textId="77777777" w:rsidR="002854DA" w:rsidRDefault="00FC67FA">
            <w:pPr>
              <w:spacing w:after="0" w:line="240" w:lineRule="auto"/>
              <w:rPr>
                <w:b/>
                <w:color w:val="519680"/>
              </w:rPr>
            </w:pPr>
            <w:r>
              <w:rPr>
                <w:b/>
                <w:color w:val="519680"/>
              </w:rPr>
              <w:t xml:space="preserve">Complies with the requirements set out in this document for attaining HLP level 1 status and possesses the evidence and items declared above. I understand that a false declaration may affect my GPhC registration. </w:t>
            </w:r>
          </w:p>
          <w:p w14:paraId="7B9691D5" w14:textId="77777777" w:rsidR="002854DA" w:rsidRDefault="002854DA">
            <w:pPr>
              <w:spacing w:after="0" w:line="240" w:lineRule="auto"/>
              <w:rPr>
                <w:b/>
                <w:color w:val="519680"/>
              </w:rPr>
            </w:pPr>
          </w:p>
        </w:tc>
      </w:tr>
      <w:tr w:rsidR="002854DA" w14:paraId="568C0B1E"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678DF6E" w14:textId="77777777" w:rsidR="002854DA" w:rsidRDefault="00FC67FA">
            <w:pPr>
              <w:spacing w:after="0" w:line="240" w:lineRule="auto"/>
            </w:pPr>
            <w:r>
              <w:t>Pharmacist or Pharmacy Technician Signature:</w:t>
            </w:r>
          </w:p>
          <w:p w14:paraId="6620440B"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7EDF45F7" w14:textId="77777777" w:rsidR="002854DA" w:rsidRDefault="002854DA">
            <w:pPr>
              <w:spacing w:after="0" w:line="240" w:lineRule="auto"/>
              <w:rPr>
                <w:b/>
                <w:color w:val="519680"/>
              </w:rPr>
            </w:pPr>
          </w:p>
        </w:tc>
      </w:tr>
      <w:tr w:rsidR="002854DA" w14:paraId="39889D86" w14:textId="77777777" w:rsidTr="0072352E">
        <w:tc>
          <w:tcPr>
            <w:tcW w:w="3998"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5935770" w14:textId="77777777" w:rsidR="002854DA" w:rsidRDefault="00FC67FA">
            <w:pPr>
              <w:spacing w:after="0" w:line="240" w:lineRule="auto"/>
            </w:pPr>
            <w:r>
              <w:t>Date:</w:t>
            </w:r>
          </w:p>
          <w:p w14:paraId="108E3FDA" w14:textId="77777777" w:rsidR="002854DA" w:rsidRDefault="002854DA">
            <w:pPr>
              <w:spacing w:after="0" w:line="240" w:lineRule="auto"/>
            </w:pPr>
          </w:p>
          <w:p w14:paraId="3C3451B5" w14:textId="77777777" w:rsidR="002854DA" w:rsidRDefault="002854DA">
            <w:pPr>
              <w:spacing w:after="0" w:line="240" w:lineRule="auto"/>
            </w:pPr>
          </w:p>
        </w:tc>
        <w:tc>
          <w:tcPr>
            <w:tcW w:w="6492"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E2F597B" w14:textId="5D868513" w:rsidR="002854DA" w:rsidRDefault="00D7605C">
            <w:pPr>
              <w:spacing w:after="0" w:line="240" w:lineRule="auto"/>
              <w:rPr>
                <w:b/>
                <w:color w:val="51968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0FEF5A" w14:textId="77777777" w:rsidR="002854DA" w:rsidRDefault="002854DA"/>
    <w:p w14:paraId="035E2917" w14:textId="77777777" w:rsidR="002854DA" w:rsidRDefault="00FC67FA">
      <w:r>
        <w:t>This declaration, once signed, must be retained securely in the pharmacy and should be available for inspection by:</w:t>
      </w:r>
    </w:p>
    <w:p w14:paraId="4E5AFF37" w14:textId="77777777" w:rsidR="002854DA" w:rsidRDefault="00FC67FA">
      <w:pPr>
        <w:pStyle w:val="ListParagraph"/>
        <w:numPr>
          <w:ilvl w:val="0"/>
          <w:numId w:val="1"/>
        </w:numPr>
      </w:pPr>
      <w:r>
        <w:t xml:space="preserve">The Pharmacy Owner </w:t>
      </w:r>
    </w:p>
    <w:p w14:paraId="13FDD319" w14:textId="77777777" w:rsidR="002854DA" w:rsidRDefault="00FC67FA">
      <w:pPr>
        <w:pStyle w:val="ListParagraph"/>
        <w:numPr>
          <w:ilvl w:val="0"/>
          <w:numId w:val="1"/>
        </w:numPr>
      </w:pPr>
      <w:r>
        <w:t xml:space="preserve">GPhC inspectors </w:t>
      </w:r>
    </w:p>
    <w:p w14:paraId="0B983210" w14:textId="77777777" w:rsidR="002854DA" w:rsidRDefault="00FC67FA">
      <w:pPr>
        <w:pStyle w:val="ListParagraph"/>
        <w:numPr>
          <w:ilvl w:val="0"/>
          <w:numId w:val="1"/>
        </w:numPr>
      </w:pPr>
      <w:r>
        <w:t xml:space="preserve">NHS England </w:t>
      </w:r>
    </w:p>
    <w:p w14:paraId="68C54A54" w14:textId="77777777" w:rsidR="002854DA" w:rsidRDefault="00FC67FA">
      <w:pPr>
        <w:pStyle w:val="ListParagraph"/>
        <w:numPr>
          <w:ilvl w:val="0"/>
          <w:numId w:val="1"/>
        </w:numPr>
      </w:pPr>
      <w:r>
        <w:t xml:space="preserve">Public Health England </w:t>
      </w:r>
    </w:p>
    <w:p w14:paraId="73C17365" w14:textId="77777777" w:rsidR="002854DA" w:rsidRDefault="00FC67FA">
      <w:pPr>
        <w:pStyle w:val="ListParagraph"/>
        <w:numPr>
          <w:ilvl w:val="0"/>
          <w:numId w:val="1"/>
        </w:numPr>
      </w:pPr>
      <w:r>
        <w:t xml:space="preserve">The Quality Assurance provider  </w:t>
      </w:r>
    </w:p>
    <w:p w14:paraId="5F74E5B2" w14:textId="77777777" w:rsidR="002854DA" w:rsidRDefault="00FC67FA">
      <w:r>
        <w:t xml:space="preserve"> </w:t>
      </w:r>
    </w:p>
    <w:p w14:paraId="229CCF2F" w14:textId="42FE5F0D" w:rsidR="002854DA" w:rsidRDefault="00FC67FA">
      <w:r>
        <w:t xml:space="preserve">Compliance against these requirements must be reassessed every 2 years. </w:t>
      </w:r>
    </w:p>
    <w:p w14:paraId="6727CA2F" w14:textId="77777777" w:rsidR="00E72930" w:rsidRDefault="00E72930" w:rsidP="0072352E">
      <w:pPr>
        <w:spacing w:after="0" w:line="240" w:lineRule="auto"/>
        <w:rPr>
          <w:b/>
          <w:color w:val="519680"/>
          <w:sz w:val="28"/>
        </w:rPr>
      </w:pPr>
      <w:r w:rsidRPr="00F95DA5">
        <w:rPr>
          <w:b/>
          <w:color w:val="519680"/>
          <w:sz w:val="28"/>
        </w:rPr>
        <w:t>Part 4</w:t>
      </w:r>
    </w:p>
    <w:p w14:paraId="7C84517A" w14:textId="77777777" w:rsidR="00E72930" w:rsidRPr="000D1BFF" w:rsidRDefault="00E72930" w:rsidP="00E72930">
      <w:pPr>
        <w:spacing w:after="0" w:line="240" w:lineRule="auto"/>
        <w:ind w:left="-709"/>
        <w:rPr>
          <w:b/>
          <w:color w:val="519680"/>
        </w:rPr>
      </w:pPr>
    </w:p>
    <w:p w14:paraId="7B369E71" w14:textId="77777777" w:rsidR="00E72930" w:rsidRPr="00F95DA5" w:rsidRDefault="00E72930" w:rsidP="0072352E">
      <w:pPr>
        <w:spacing w:after="0" w:line="240" w:lineRule="auto"/>
      </w:pPr>
      <w:r w:rsidRPr="00F95DA5">
        <w:t xml:space="preserve">You will need to contact the Quality Assurance provider for the HLP certificate (please note, this </w:t>
      </w:r>
      <w:r>
        <w:t xml:space="preserve">part </w:t>
      </w:r>
      <w:r w:rsidRPr="00F95DA5">
        <w:t xml:space="preserve">is just for </w:t>
      </w:r>
      <w:r w:rsidRPr="00F95DA5">
        <w:rPr>
          <w:rFonts w:asciiTheme="minorHAnsi" w:hAnsiTheme="minorHAnsi" w:cstheme="minorHAnsi"/>
        </w:rPr>
        <w:t xml:space="preserve">pharmacies </w:t>
      </w:r>
      <w:r>
        <w:rPr>
          <w:rFonts w:cstheme="minorHAnsi"/>
        </w:rPr>
        <w:t xml:space="preserve">who </w:t>
      </w:r>
      <w:r w:rsidRPr="00F95DA5">
        <w:rPr>
          <w:rFonts w:asciiTheme="minorHAnsi" w:hAnsiTheme="minorHAnsi" w:cstheme="minorHAnsi"/>
        </w:rPr>
        <w:t>have not been previously</w:t>
      </w:r>
      <w:r w:rsidRPr="00F95DA5">
        <w:rPr>
          <w:rFonts w:cstheme="minorHAnsi"/>
        </w:rPr>
        <w:t xml:space="preserve"> </w:t>
      </w:r>
      <w:r w:rsidRPr="00F95DA5">
        <w:rPr>
          <w:rFonts w:asciiTheme="minorHAnsi" w:hAnsiTheme="minorHAnsi" w:cstheme="minorHAnsi"/>
        </w:rPr>
        <w:t>accredited as HLPs</w:t>
      </w:r>
      <w:r w:rsidRPr="00F95DA5">
        <w:rPr>
          <w:rFonts w:cstheme="minorHAnsi"/>
        </w:rPr>
        <w:t>).</w:t>
      </w:r>
    </w:p>
    <w:p w14:paraId="33914599" w14:textId="77777777" w:rsidR="00E72930" w:rsidRDefault="00E72930"/>
    <w:sectPr w:rsidR="00E7293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734A" w14:textId="77777777" w:rsidR="00AE7B83" w:rsidRDefault="00AE7B83">
      <w:pPr>
        <w:spacing w:after="0" w:line="240" w:lineRule="auto"/>
      </w:pPr>
      <w:r>
        <w:separator/>
      </w:r>
    </w:p>
  </w:endnote>
  <w:endnote w:type="continuationSeparator" w:id="0">
    <w:p w14:paraId="3447A88A" w14:textId="77777777" w:rsidR="00AE7B83" w:rsidRDefault="00AE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BE3E" w14:textId="77777777" w:rsidR="00AE7B83" w:rsidRDefault="00AE7B83">
      <w:pPr>
        <w:spacing w:after="0" w:line="240" w:lineRule="auto"/>
      </w:pPr>
      <w:r>
        <w:rPr>
          <w:color w:val="000000"/>
        </w:rPr>
        <w:separator/>
      </w:r>
    </w:p>
  </w:footnote>
  <w:footnote w:type="continuationSeparator" w:id="0">
    <w:p w14:paraId="4D2A2EE9" w14:textId="77777777" w:rsidR="00AE7B83" w:rsidRDefault="00AE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7587"/>
    <w:multiLevelType w:val="multilevel"/>
    <w:tmpl w:val="F60E310E"/>
    <w:lvl w:ilvl="0">
      <w:numFmt w:val="bullet"/>
      <w:lvlText w:val=""/>
      <w:lvlJc w:val="left"/>
      <w:pPr>
        <w:ind w:left="720" w:hanging="360"/>
      </w:pPr>
      <w:rPr>
        <w:rFonts w:ascii="Symbol" w:hAnsi="Symbol"/>
        <w:color w:val="5196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854DA"/>
    <w:rsid w:val="001424E0"/>
    <w:rsid w:val="00210EB1"/>
    <w:rsid w:val="002854DA"/>
    <w:rsid w:val="00315690"/>
    <w:rsid w:val="006D7183"/>
    <w:rsid w:val="0072352E"/>
    <w:rsid w:val="00844F89"/>
    <w:rsid w:val="009B3AE1"/>
    <w:rsid w:val="00AB4700"/>
    <w:rsid w:val="00AE7B83"/>
    <w:rsid w:val="00D7605C"/>
    <w:rsid w:val="00DC714A"/>
    <w:rsid w:val="00E72930"/>
    <w:rsid w:val="00E859D9"/>
    <w:rsid w:val="00FC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4BF"/>
  <w15:docId w15:val="{FAD16A6F-DAA3-448B-B7BE-2D498133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D76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org.uk/default.aspx?QN=P_HEALTH_PROFILES" TargetMode="External"/><Relationship Id="rId3" Type="http://schemas.openxmlformats.org/officeDocument/2006/relationships/settings" Target="settings.xml"/><Relationship Id="rId7" Type="http://schemas.openxmlformats.org/officeDocument/2006/relationships/hyperlink" Target="https://www.gov.uk/government/publications/healthy-living-pharmacy-level-1-quality-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Rosie Taylor</cp:lastModifiedBy>
  <cp:revision>4</cp:revision>
  <cp:lastPrinted>2017-03-06T09:55:00Z</cp:lastPrinted>
  <dcterms:created xsi:type="dcterms:W3CDTF">2017-03-06T09:48:00Z</dcterms:created>
  <dcterms:modified xsi:type="dcterms:W3CDTF">2017-03-06T09:56:00Z</dcterms:modified>
</cp:coreProperties>
</file>