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C3" w:rsidRPr="003C7AC3" w:rsidRDefault="00D47E84" w:rsidP="003C7AC3">
      <w:pPr>
        <w:pStyle w:val="Heading1"/>
        <w:jc w:val="right"/>
        <w:rPr>
          <w:b w:val="0"/>
          <w:sz w:val="24"/>
          <w:szCs w:val="24"/>
        </w:rPr>
      </w:pPr>
      <w:r>
        <w:rPr>
          <w:b w:val="0"/>
          <w:sz w:val="24"/>
          <w:szCs w:val="24"/>
        </w:rPr>
        <w:t>V3.1</w:t>
      </w:r>
      <w:r w:rsidR="008261A2">
        <w:rPr>
          <w:b w:val="0"/>
          <w:sz w:val="24"/>
          <w:szCs w:val="24"/>
        </w:rPr>
        <w:t xml:space="preserve"> </w:t>
      </w:r>
      <w:r>
        <w:rPr>
          <w:b w:val="0"/>
          <w:sz w:val="24"/>
          <w:szCs w:val="24"/>
        </w:rPr>
        <w:t>June 2015</w:t>
      </w:r>
    </w:p>
    <w:p w:rsidR="00AA26AD" w:rsidRPr="00970924" w:rsidRDefault="008C1792" w:rsidP="008C1792">
      <w:pPr>
        <w:pStyle w:val="Heading1"/>
      </w:pPr>
      <w:r w:rsidRPr="00970924">
        <w:t xml:space="preserve">Building a </w:t>
      </w:r>
      <w:r w:rsidR="00301979" w:rsidRPr="00970924">
        <w:t xml:space="preserve">Business Case for </w:t>
      </w:r>
      <w:r w:rsidR="003C7AC3">
        <w:t xml:space="preserve">NHS commissioning of </w:t>
      </w:r>
      <w:r w:rsidR="00301979" w:rsidRPr="00970924">
        <w:t xml:space="preserve">Seasonal </w:t>
      </w:r>
      <w:r w:rsidR="005622DD">
        <w:t>‘</w:t>
      </w:r>
      <w:r w:rsidR="00301979" w:rsidRPr="00970924">
        <w:t>Flu</w:t>
      </w:r>
      <w:r w:rsidR="003C7AC3">
        <w:t xml:space="preserve"> Vaccination</w:t>
      </w:r>
    </w:p>
    <w:p w:rsidR="008C1792" w:rsidRPr="00970924" w:rsidRDefault="008C1792" w:rsidP="008C1792">
      <w:r w:rsidRPr="00970924">
        <w:t xml:space="preserve">Each year, </w:t>
      </w:r>
      <w:r w:rsidR="003C7AC3">
        <w:t xml:space="preserve">many </w:t>
      </w:r>
      <w:r w:rsidRPr="00970924">
        <w:t xml:space="preserve">LPCs across the country present a case </w:t>
      </w:r>
      <w:r w:rsidR="003C7AC3">
        <w:t xml:space="preserve">to their local NHS commissioners </w:t>
      </w:r>
      <w:r w:rsidRPr="00970924">
        <w:t xml:space="preserve">for using community pharmacy </w:t>
      </w:r>
      <w:r w:rsidR="003C7AC3">
        <w:t>to provide</w:t>
      </w:r>
      <w:r w:rsidRPr="00970924">
        <w:t xml:space="preserve"> seasonal ‘flu vaccinations. As the last four years have gone by, more and more </w:t>
      </w:r>
      <w:r w:rsidR="003C7AC3">
        <w:t xml:space="preserve">LPCs </w:t>
      </w:r>
      <w:r w:rsidRPr="00970924">
        <w:t>have been successful and some have gathered data on the delivery of the service.</w:t>
      </w:r>
    </w:p>
    <w:p w:rsidR="00825270" w:rsidRDefault="008C1792" w:rsidP="008C1792">
      <w:r w:rsidRPr="00970924">
        <w:t xml:space="preserve">Pinnacle Health has, in the past, managed both the data capture and vaccine supply for pharmacies on the </w:t>
      </w:r>
      <w:r w:rsidR="003C7AC3" w:rsidRPr="00970924">
        <w:t>Isl</w:t>
      </w:r>
      <w:r w:rsidR="003C7AC3">
        <w:t>e of Wight</w:t>
      </w:r>
      <w:r w:rsidR="003C7AC3" w:rsidRPr="00970924">
        <w:t xml:space="preserve"> </w:t>
      </w:r>
      <w:r w:rsidRPr="00970924">
        <w:t>and published the results for the benefit of community pharmacy generally</w:t>
      </w:r>
      <w:r w:rsidR="00510D9E">
        <w:rPr>
          <w:vertAlign w:val="superscript"/>
        </w:rPr>
        <w:fldChar w:fldCharType="begin"/>
      </w:r>
      <w:r w:rsidR="00510D9E">
        <w:rPr>
          <w:vertAlign w:val="superscript"/>
        </w:rPr>
        <w:instrText xml:space="preserve"> NOTEREF _Ref390060105 </w:instrText>
      </w:r>
      <w:r w:rsidR="00510D9E">
        <w:rPr>
          <w:vertAlign w:val="superscript"/>
        </w:rPr>
        <w:fldChar w:fldCharType="separate"/>
      </w:r>
      <w:r w:rsidR="00510D9E">
        <w:rPr>
          <w:vertAlign w:val="superscript"/>
        </w:rPr>
        <w:t>9</w:t>
      </w:r>
      <w:r w:rsidR="00510D9E">
        <w:rPr>
          <w:vertAlign w:val="superscript"/>
        </w:rPr>
        <w:fldChar w:fldCharType="end"/>
      </w:r>
      <w:proofErr w:type="gramStart"/>
      <w:r w:rsidR="00B63029">
        <w:rPr>
          <w:vertAlign w:val="superscript"/>
        </w:rPr>
        <w:t>,</w:t>
      </w:r>
      <w:proofErr w:type="gramEnd"/>
      <w:r w:rsidR="00B63029">
        <w:rPr>
          <w:vertAlign w:val="superscript"/>
        </w:rPr>
        <w:fldChar w:fldCharType="begin"/>
      </w:r>
      <w:r w:rsidR="00B63029">
        <w:rPr>
          <w:vertAlign w:val="superscript"/>
        </w:rPr>
        <w:instrText xml:space="preserve"> NOTEREF _Ref358740859 </w:instrText>
      </w:r>
      <w:r w:rsidR="00B63029">
        <w:rPr>
          <w:vertAlign w:val="superscript"/>
        </w:rPr>
        <w:fldChar w:fldCharType="separate"/>
      </w:r>
      <w:r w:rsidR="00283DDA">
        <w:rPr>
          <w:vertAlign w:val="superscript"/>
        </w:rPr>
        <w:t>14</w:t>
      </w:r>
      <w:r w:rsidR="00B63029">
        <w:rPr>
          <w:vertAlign w:val="superscript"/>
        </w:rPr>
        <w:fldChar w:fldCharType="end"/>
      </w:r>
      <w:r w:rsidRPr="00970924">
        <w:t>.</w:t>
      </w:r>
    </w:p>
    <w:p w:rsidR="00B63029" w:rsidRDefault="00B63029" w:rsidP="00B63029">
      <w:r>
        <w:t>Following the positive response to this business case from LPCs and</w:t>
      </w:r>
      <w:r w:rsidR="00834A68">
        <w:t xml:space="preserve"> commissioners alike in the 2014/15</w:t>
      </w:r>
      <w:r>
        <w:t xml:space="preserve"> season, we have updated the information based upon that feedback. Key changes include:</w:t>
      </w:r>
    </w:p>
    <w:p w:rsidR="00B63029" w:rsidRDefault="00B63029" w:rsidP="00B63029">
      <w:pPr>
        <w:pStyle w:val="ListParagraph"/>
        <w:numPr>
          <w:ilvl w:val="0"/>
          <w:numId w:val="10"/>
        </w:numPr>
      </w:pPr>
      <w:r>
        <w:t>An assessment of the economic impact of achieving full cohort immunisation;</w:t>
      </w:r>
    </w:p>
    <w:p w:rsidR="00B63029" w:rsidRDefault="00B63029" w:rsidP="00B63029">
      <w:pPr>
        <w:pStyle w:val="ListParagraph"/>
        <w:numPr>
          <w:ilvl w:val="0"/>
          <w:numId w:val="10"/>
        </w:numPr>
      </w:pPr>
      <w:r>
        <w:t>Introducing new evidence around the “missing cohort” of patients who actively choose private vaccination; and</w:t>
      </w:r>
    </w:p>
    <w:p w:rsidR="00B63029" w:rsidRDefault="00B63029" w:rsidP="00B63029">
      <w:pPr>
        <w:pStyle w:val="ListParagraph"/>
        <w:numPr>
          <w:ilvl w:val="0"/>
          <w:numId w:val="10"/>
        </w:numPr>
      </w:pPr>
      <w:r>
        <w:t>A second choice of uptake information, based upon Area Team geography.</w:t>
      </w:r>
    </w:p>
    <w:p w:rsidR="008C1792" w:rsidRPr="00970924" w:rsidRDefault="00B63029" w:rsidP="008C1792">
      <w:r>
        <w:t>Once again</w:t>
      </w:r>
      <w:r w:rsidR="008C1792" w:rsidRPr="00970924">
        <w:t xml:space="preserve">, it seemed the perfect time to bring together our understanding </w:t>
      </w:r>
      <w:r w:rsidR="00FD04AC" w:rsidRPr="00970924">
        <w:t xml:space="preserve">of this service </w:t>
      </w:r>
      <w:r w:rsidR="00825270">
        <w:t>and</w:t>
      </w:r>
      <w:r w:rsidR="008C1792" w:rsidRPr="00970924">
        <w:t xml:space="preserve"> the most recent PharmOutcom</w:t>
      </w:r>
      <w:r>
        <w:t>es® data to provide LPCs with a refreshed</w:t>
      </w:r>
      <w:r w:rsidR="008C1792" w:rsidRPr="00970924">
        <w:t xml:space="preserve"> exemplar business case</w:t>
      </w:r>
      <w:r w:rsidR="00825270">
        <w:t>. We have undertaken this work,</w:t>
      </w:r>
      <w:r w:rsidR="008C1792" w:rsidRPr="00970924">
        <w:t xml:space="preserve"> </w:t>
      </w:r>
      <w:r w:rsidR="00825270" w:rsidRPr="00970924">
        <w:t>along with our partners PSNC</w:t>
      </w:r>
      <w:r w:rsidR="00825270">
        <w:t>,</w:t>
      </w:r>
      <w:r w:rsidR="00825270" w:rsidRPr="00970924" w:rsidDel="003C7AC3">
        <w:t xml:space="preserve"> </w:t>
      </w:r>
      <w:r w:rsidR="008C1792" w:rsidRPr="00970924">
        <w:t>as part of our commitment as a social enterprise to encourage commissioning of community pharmacy</w:t>
      </w:r>
      <w:r w:rsidR="00243212">
        <w:t xml:space="preserve"> services</w:t>
      </w:r>
      <w:r w:rsidR="00171015" w:rsidRPr="00970924">
        <w:t>.</w:t>
      </w:r>
    </w:p>
    <w:p w:rsidR="00171015" w:rsidRPr="00970924" w:rsidRDefault="00171015" w:rsidP="008C1792">
      <w:r w:rsidRPr="00970924">
        <w:t>No matter how hard we might try, however, this will never be a service you can just lift off the shelf – it will require personalisation to meet your local needs. We have tried to simplify this by providing some of the national data sets in an easy to look up format. Similarly, this is not the only way to do this nor are we attempting to tell anyone how to do their job – it is a free resource that LPCs can choose to use that is intended to make their negotiations more efficient.</w:t>
      </w:r>
    </w:p>
    <w:p w:rsidR="00AA26AD" w:rsidRPr="00970924" w:rsidRDefault="00AA26AD" w:rsidP="008C1792">
      <w:pPr>
        <w:pStyle w:val="Heading2"/>
      </w:pPr>
      <w:r w:rsidRPr="00970924">
        <w:t>Building a Case</w:t>
      </w:r>
    </w:p>
    <w:p w:rsidR="00171015" w:rsidRPr="00970924" w:rsidRDefault="00171015" w:rsidP="00171015">
      <w:r w:rsidRPr="00970924">
        <w:t>First steps are assembling a picture of your local needs and resources.</w:t>
      </w:r>
    </w:p>
    <w:p w:rsidR="00AA26AD" w:rsidRPr="00970924" w:rsidRDefault="00826C76" w:rsidP="008C1792">
      <w:pPr>
        <w:pStyle w:val="Heading3"/>
      </w:pPr>
      <w:r w:rsidRPr="00970924">
        <w:t>Step 1: What is the current performance</w:t>
      </w:r>
      <w:r w:rsidR="003C7AC3">
        <w:t xml:space="preserve"> of the local service</w:t>
      </w:r>
      <w:r w:rsidRPr="00970924">
        <w:t>?</w:t>
      </w:r>
    </w:p>
    <w:p w:rsidR="00826C76" w:rsidRPr="00970924" w:rsidRDefault="00182AA1">
      <w:r w:rsidRPr="00970924">
        <w:t>If c</w:t>
      </w:r>
      <w:r w:rsidR="00826C76" w:rsidRPr="00970924">
        <w:t xml:space="preserve">ommissioners </w:t>
      </w:r>
      <w:r w:rsidR="00FD04AC" w:rsidRPr="00970924">
        <w:t xml:space="preserve">are </w:t>
      </w:r>
      <w:r w:rsidR="00826C76" w:rsidRPr="00970924">
        <w:t>meeting their current targets, the cost of system change and resistance from other providers means they will be unlikely to make changes to a system that is working, even for improvements above current performance.</w:t>
      </w:r>
      <w:r w:rsidR="009441BA">
        <w:t xml:space="preserve"> However in 2012-13, just over 100 practices </w:t>
      </w:r>
      <w:r w:rsidR="00243212">
        <w:t xml:space="preserve">out of 11,077 across the country </w:t>
      </w:r>
      <w:r w:rsidR="009441BA">
        <w:t>managed to reach coverage of 75% or above in at-risk groups.</w:t>
      </w:r>
    </w:p>
    <w:p w:rsidR="00B63029" w:rsidRDefault="00826C76">
      <w:r w:rsidRPr="00970924">
        <w:lastRenderedPageBreak/>
        <w:t>The</w:t>
      </w:r>
      <w:r w:rsidR="00182AA1" w:rsidRPr="00970924">
        <w:t xml:space="preserve"> data for previous performance wa</w:t>
      </w:r>
      <w:r w:rsidRPr="00970924">
        <w:t xml:space="preserve">s available from the </w:t>
      </w:r>
      <w:r w:rsidR="00182AA1" w:rsidRPr="00970924">
        <w:t xml:space="preserve">NHS Information Centre and the Health Protection Agency. However, now these </w:t>
      </w:r>
      <w:r w:rsidR="00176725">
        <w:t xml:space="preserve">organisations </w:t>
      </w:r>
      <w:r w:rsidR="00182AA1" w:rsidRPr="00970924">
        <w:t xml:space="preserve">have become </w:t>
      </w:r>
      <w:r w:rsidR="003C7AC3">
        <w:t xml:space="preserve">the </w:t>
      </w:r>
      <w:r w:rsidRPr="00970924">
        <w:t xml:space="preserve">Health and Social Care Information Centre and </w:t>
      </w:r>
      <w:r w:rsidR="00182AA1" w:rsidRPr="00970924">
        <w:t>Public Health England</w:t>
      </w:r>
      <w:r w:rsidR="00176725">
        <w:t xml:space="preserve"> respectively</w:t>
      </w:r>
      <w:r w:rsidR="00182AA1" w:rsidRPr="00970924">
        <w:t>, some of the files have been lost from the archived versions</w:t>
      </w:r>
      <w:r w:rsidR="003C7AC3">
        <w:t xml:space="preserve"> of the organisations’ websites</w:t>
      </w:r>
      <w:r w:rsidRPr="00970924">
        <w:t>.</w:t>
      </w:r>
    </w:p>
    <w:p w:rsidR="00B63029" w:rsidRDefault="00182AA1">
      <w:r w:rsidRPr="00970924">
        <w:t>To make this process easier for LPC</w:t>
      </w:r>
      <w:r w:rsidR="00B63029">
        <w:t>s, we have collated the last seven</w:t>
      </w:r>
      <w:r w:rsidRPr="00970924">
        <w:t xml:space="preserve"> years activity in </w:t>
      </w:r>
      <w:r w:rsidR="00B63029">
        <w:t>Appendices 1 and 2</w:t>
      </w:r>
      <w:r w:rsidRPr="00970924">
        <w:t xml:space="preserve"> at the end of this</w:t>
      </w:r>
      <w:r w:rsidR="00176725">
        <w:t xml:space="preserve"> document</w:t>
      </w:r>
      <w:r w:rsidR="00B63029">
        <w:t>:</w:t>
      </w:r>
    </w:p>
    <w:p w:rsidR="00B63029" w:rsidRDefault="00B63029" w:rsidP="00B63029">
      <w:pPr>
        <w:pStyle w:val="ListParagraph"/>
        <w:numPr>
          <w:ilvl w:val="0"/>
          <w:numId w:val="11"/>
        </w:numPr>
      </w:pPr>
      <w:r>
        <w:t>Appendix 1 contains data from PCTs and will be useful if you are comparing CCG activity, although there is no direct mapping since they are not coterminous in many cases; and</w:t>
      </w:r>
    </w:p>
    <w:p w:rsidR="00B63029" w:rsidRDefault="00B63029" w:rsidP="00B63029">
      <w:pPr>
        <w:pStyle w:val="ListParagraph"/>
        <w:numPr>
          <w:ilvl w:val="0"/>
          <w:numId w:val="11"/>
        </w:numPr>
      </w:pPr>
      <w:r>
        <w:t xml:space="preserve">Appendix 2 contains data from Area Teams. This uses the previous PCT data and </w:t>
      </w:r>
      <w:r w:rsidR="00510D9E">
        <w:t>we have</w:t>
      </w:r>
      <w:r>
        <w:t xml:space="preserve"> mapped it </w:t>
      </w:r>
      <w:r w:rsidR="008B1F90">
        <w:t xml:space="preserve">to the </w:t>
      </w:r>
      <w:r w:rsidR="00510D9E">
        <w:t xml:space="preserve">new </w:t>
      </w:r>
      <w:r w:rsidR="008B1F90">
        <w:t>Area Team</w:t>
      </w:r>
      <w:r w:rsidR="00510D9E">
        <w:t xml:space="preserve"> stru</w:t>
      </w:r>
      <w:r w:rsidR="00A065CC">
        <w:t>c</w:t>
      </w:r>
      <w:r w:rsidR="00510D9E">
        <w:t>ture</w:t>
      </w:r>
      <w:r w:rsidR="008B1F90">
        <w:t>. This includes the Public Health England data for the most recent season</w:t>
      </w:r>
      <w:r w:rsidR="00D47E84">
        <w:rPr>
          <w:rStyle w:val="FootnoteReference"/>
        </w:rPr>
        <w:footnoteReference w:id="1"/>
      </w:r>
      <w:r w:rsidR="008B1F90">
        <w:t>.</w:t>
      </w:r>
    </w:p>
    <w:p w:rsidR="005F2997" w:rsidRPr="00970924" w:rsidRDefault="005F2997" w:rsidP="005F2997">
      <w:r>
        <w:t xml:space="preserve">The </w:t>
      </w:r>
      <w:hyperlink r:id="rId9" w:history="1">
        <w:r w:rsidRPr="00967EAA">
          <w:rPr>
            <w:rStyle w:val="Hyperlink"/>
          </w:rPr>
          <w:t>information for individual CCGs</w:t>
        </w:r>
      </w:hyperlink>
      <w:r>
        <w:t xml:space="preserve"> is available from the </w:t>
      </w:r>
      <w:hyperlink r:id="rId10" w:history="1">
        <w:r w:rsidRPr="00967EAA">
          <w:rPr>
            <w:rStyle w:val="Hyperlink"/>
          </w:rPr>
          <w:t>Public Health England website</w:t>
        </w:r>
      </w:hyperlink>
      <w:r>
        <w:t xml:space="preserve"> if you need to make the comparison noted above</w:t>
      </w:r>
      <w:r w:rsidR="00967EAA">
        <w:t xml:space="preserve"> on a CCG basis on pages 4 to 6 inclusive</w:t>
      </w:r>
      <w:r>
        <w:t>.</w:t>
      </w:r>
    </w:p>
    <w:p w:rsidR="00826C76" w:rsidRPr="00970924" w:rsidRDefault="00826C76" w:rsidP="00171015">
      <w:pPr>
        <w:pStyle w:val="Heading4"/>
      </w:pPr>
      <w:r w:rsidRPr="00970924">
        <w:t>Step 1a: Graph previous achievements</w:t>
      </w:r>
    </w:p>
    <w:p w:rsidR="00826C76" w:rsidRPr="00970924" w:rsidRDefault="00826C76">
      <w:r w:rsidRPr="00970924">
        <w:t xml:space="preserve">Providing a visual representation of gain or loss can provide a powerful message that the currently commissioned process is either not achieving what is required or will be unable to </w:t>
      </w:r>
      <w:r w:rsidR="00B24127" w:rsidRPr="00970924">
        <w:t>adapt</w:t>
      </w:r>
      <w:r w:rsidRPr="00970924">
        <w:t xml:space="preserve"> to the stretched targets. To create this graph, right click the graph </w:t>
      </w:r>
      <w:r w:rsidR="00182AA1" w:rsidRPr="00970924">
        <w:t xml:space="preserve">in the Business Case </w:t>
      </w:r>
      <w:r w:rsidRPr="00970924">
        <w:t xml:space="preserve">and choose “Edit Data”. In that spreadsheet, replace the numbers with those obtained from the </w:t>
      </w:r>
      <w:r w:rsidR="00182AA1" w:rsidRPr="00970924">
        <w:t>listing in the appendix.</w:t>
      </w:r>
    </w:p>
    <w:p w:rsidR="00826C76" w:rsidRPr="00970924" w:rsidRDefault="00826C76" w:rsidP="00171015">
      <w:pPr>
        <w:pStyle w:val="Heading4"/>
      </w:pPr>
      <w:r w:rsidRPr="00970924">
        <w:t>Step 1b:</w:t>
      </w:r>
      <w:r w:rsidR="0058442A" w:rsidRPr="00970924">
        <w:t xml:space="preserve"> Local Comparison Figures</w:t>
      </w:r>
    </w:p>
    <w:p w:rsidR="0058442A" w:rsidRPr="00970924" w:rsidRDefault="0058442A">
      <w:r w:rsidRPr="00970924">
        <w:t xml:space="preserve">The table in Commissioning Background in the Business Case has two </w:t>
      </w:r>
      <w:r w:rsidR="00FD04AC" w:rsidRPr="00970924">
        <w:t>columns</w:t>
      </w:r>
      <w:r w:rsidRPr="00970924">
        <w:t xml:space="preserve"> for your latest figures marked [1]</w:t>
      </w:r>
      <w:r w:rsidR="00182AA1" w:rsidRPr="00970924">
        <w:t>,</w:t>
      </w:r>
      <w:r w:rsidRPr="00970924">
        <w:t xml:space="preserve"> [2]</w:t>
      </w:r>
      <w:r w:rsidR="00FD04AC" w:rsidRPr="00970924">
        <w:t xml:space="preserve">, </w:t>
      </w:r>
      <w:r w:rsidR="00182AA1" w:rsidRPr="00970924">
        <w:t>[3]</w:t>
      </w:r>
      <w:r w:rsidR="00FD04AC" w:rsidRPr="00970924">
        <w:t xml:space="preserve"> and [A], [B] and [C]</w:t>
      </w:r>
      <w:r w:rsidRPr="00970924">
        <w:t xml:space="preserve"> – you should populate these from the figures you can get from the </w:t>
      </w:r>
      <w:r w:rsidR="00182AA1" w:rsidRPr="00970924">
        <w:t>2012/13 columns in the appendix</w:t>
      </w:r>
      <w:r w:rsidR="00FD04AC" w:rsidRPr="00970924">
        <w:t>, marked with the same annotations</w:t>
      </w:r>
      <w:r w:rsidR="00182AA1" w:rsidRPr="00970924">
        <w:t>.</w:t>
      </w:r>
    </w:p>
    <w:p w:rsidR="00E25078" w:rsidRPr="00970924" w:rsidRDefault="00E25078">
      <w:r w:rsidRPr="00970924">
        <w:t>Throughout the document, there are other paragraphs in square brackets [], intended to highlight points that may be key for local discussion.</w:t>
      </w:r>
    </w:p>
    <w:p w:rsidR="00826C76" w:rsidRPr="00970924" w:rsidRDefault="00826C76" w:rsidP="00B24127">
      <w:pPr>
        <w:pStyle w:val="Heading3"/>
      </w:pPr>
      <w:r w:rsidRPr="00970924">
        <w:t>Step 2: Do you have the</w:t>
      </w:r>
      <w:r w:rsidR="00176725">
        <w:t xml:space="preserve"> commissioners</w:t>
      </w:r>
      <w:r w:rsidR="00243212">
        <w:t>’</w:t>
      </w:r>
      <w:r w:rsidRPr="00970924">
        <w:t xml:space="preserve"> attention?</w:t>
      </w:r>
    </w:p>
    <w:p w:rsidR="00826C76" w:rsidRPr="00970924" w:rsidRDefault="00826C76">
      <w:r w:rsidRPr="00970924">
        <w:t xml:space="preserve">If the area is performing adequately, then there will be little scope for commissioning – but that is no reason to give up. Stating your case will be useful for future years as the targets get progressively more difficult </w:t>
      </w:r>
      <w:r w:rsidR="0058442A" w:rsidRPr="00970924">
        <w:t>to achieve and there will be areas, undoubtedly, that community pharmacy can reach that others find difficult where a more bespoke, limited service might be achievable to meet those local needs specifically such as a pregnant cohort where a premium might be available.</w:t>
      </w:r>
    </w:p>
    <w:p w:rsidR="00826C76" w:rsidRPr="00970924" w:rsidRDefault="00826C76">
      <w:r w:rsidRPr="00970924">
        <w:t xml:space="preserve">If you have demonstrated there is a gap between performance and </w:t>
      </w:r>
      <w:r w:rsidR="0058442A" w:rsidRPr="00970924">
        <w:t>achievement, the exemplar Business Case has a series of arguments that you can use to build your case. However, nothing is more effective than local experience and being able to relate that to commissioners.</w:t>
      </w:r>
      <w:r w:rsidR="006128E5" w:rsidRPr="00970924">
        <w:t xml:space="preserve"> We have calculated the additional number of patients, based upon </w:t>
      </w:r>
      <w:r w:rsidR="00834A68">
        <w:t>the registered patients for 2014/15</w:t>
      </w:r>
      <w:r w:rsidR="006128E5" w:rsidRPr="00970924">
        <w:t>, in the appendix and these should be put in the business case where it is marked [A], [B] and [C].</w:t>
      </w:r>
    </w:p>
    <w:p w:rsidR="0058442A" w:rsidRPr="00970924" w:rsidRDefault="0058442A">
      <w:r w:rsidRPr="00970924">
        <w:lastRenderedPageBreak/>
        <w:t>The evidence that some GP surgeries are providing less of the total cohort than others is not available directly that we have been able to find as the Health Protection Agency stated</w:t>
      </w:r>
      <w:r w:rsidR="000B6C87">
        <w:t xml:space="preserve"> that the data returned via </w:t>
      </w:r>
      <w:proofErr w:type="spellStart"/>
      <w:r w:rsidR="000B6C87">
        <w:t>ImmF</w:t>
      </w:r>
      <w:r w:rsidRPr="00970924">
        <w:t>orm</w:t>
      </w:r>
      <w:proofErr w:type="spellEnd"/>
      <w:r w:rsidRPr="00970924">
        <w:t xml:space="preserve"> belonged to the PCT, with the HPA only receiving aggregated totals. However, we have been successful in a Freedom of Information request from our </w:t>
      </w:r>
      <w:r w:rsidR="00176725">
        <w:t xml:space="preserve">former </w:t>
      </w:r>
      <w:r w:rsidRPr="00970924">
        <w:t>PCT in the past and this has been used to develop some of the arguments in the business case. You may consider an FOI</w:t>
      </w:r>
      <w:r w:rsidR="006B20FA" w:rsidRPr="00970924">
        <w:t xml:space="preserve"> request</w:t>
      </w:r>
      <w:r w:rsidRPr="00970924">
        <w:t xml:space="preserve"> to your Area Team but do consider that this may create a barrier to your approaches in due course and that you may in a better position to request that information when in discussion w</w:t>
      </w:r>
      <w:r w:rsidR="006B20FA" w:rsidRPr="00970924">
        <w:t>ith your commissioners directly – an FOI request might be seen as onerous and even aggressive. We’ve put our results in the business case to help you discuss your local situation.</w:t>
      </w:r>
    </w:p>
    <w:p w:rsidR="006B20FA" w:rsidRPr="00970924" w:rsidRDefault="006B20FA" w:rsidP="00B24127">
      <w:pPr>
        <w:pStyle w:val="Heading3"/>
      </w:pPr>
      <w:r w:rsidRPr="00970924">
        <w:t>Step 3: Proving Pharmacy Can Deliver</w:t>
      </w:r>
    </w:p>
    <w:p w:rsidR="006B20FA" w:rsidRPr="00970924" w:rsidRDefault="006B20FA">
      <w:r w:rsidRPr="00970924">
        <w:t xml:space="preserve">This is a simple truth – pharmacists and pharmacy teams see the required cohorts more frequently than any other health professional. However, local experience of the delivery of other enhanced services will undoubtedly colour the expectations of commissioners. If you have delivered seasonal influenza in the past, </w:t>
      </w:r>
      <w:r w:rsidR="003C7AC3">
        <w:t xml:space="preserve">as a private or NHS commissioned service, </w:t>
      </w:r>
      <w:r w:rsidRPr="00970924">
        <w:t>ensure you consider what the results were – ask for the data if it hasn’</w:t>
      </w:r>
      <w:r w:rsidR="00182AA1" w:rsidRPr="00970924">
        <w:t>t been provided in the past.</w:t>
      </w:r>
    </w:p>
    <w:p w:rsidR="007C0099" w:rsidRPr="00970924" w:rsidRDefault="00182AA1">
      <w:r w:rsidRPr="00970924">
        <w:t xml:space="preserve">The Business Case provides both PharmOutcomes data and peer-reviewed articles that demonstrate that pharmacy can make a marked change in the delivery of seasonal </w:t>
      </w:r>
      <w:r w:rsidR="005622DD">
        <w:t>‘</w:t>
      </w:r>
      <w:r w:rsidRPr="00970924">
        <w:t>flu vaccination coverage.</w:t>
      </w:r>
    </w:p>
    <w:p w:rsidR="00B24127" w:rsidRPr="00970924" w:rsidRDefault="00B24127" w:rsidP="00B24127">
      <w:pPr>
        <w:pStyle w:val="Heading3"/>
      </w:pPr>
      <w:r w:rsidRPr="00970924">
        <w:t>Step 4: Provide Feedback</w:t>
      </w:r>
    </w:p>
    <w:p w:rsidR="00B24127" w:rsidRPr="00970924" w:rsidRDefault="00B24127">
      <w:r w:rsidRPr="00970924">
        <w:t>This will remain a live document so we’d like to know what you think, what worked, what worked when you changed it and, ultimately, if you were successful – you can get us at the email address info@phpartnership.com. If you don’t manage to do that, please ensure you make the entry in the Service Database a</w:t>
      </w:r>
      <w:r w:rsidR="00176725">
        <w:t>t</w:t>
      </w:r>
      <w:r w:rsidRPr="00970924">
        <w:t xml:space="preserve"> www.psnc.org.uk</w:t>
      </w:r>
      <w:r w:rsidR="00176725">
        <w:t>/database</w:t>
      </w:r>
      <w:r w:rsidRPr="00970924">
        <w:t xml:space="preserve"> to make sure that others can build on your success.</w:t>
      </w:r>
    </w:p>
    <w:p w:rsidR="008C1792" w:rsidRPr="00970924" w:rsidRDefault="008C1792"/>
    <w:p w:rsidR="008C1792" w:rsidRPr="00970924" w:rsidRDefault="008C1792">
      <w:pPr>
        <w:sectPr w:rsidR="008C1792" w:rsidRPr="00970924" w:rsidSect="00171015">
          <w:headerReference w:type="first" r:id="rId11"/>
          <w:footerReference w:type="first" r:id="rId12"/>
          <w:pgSz w:w="11906" w:h="16838"/>
          <w:pgMar w:top="1440" w:right="1440" w:bottom="1440" w:left="1440" w:header="720" w:footer="720" w:gutter="0"/>
          <w:cols w:space="720"/>
          <w:titlePg/>
          <w:docGrid w:linePitch="360"/>
        </w:sectPr>
      </w:pPr>
    </w:p>
    <w:p w:rsidR="00B24127" w:rsidRPr="00970924" w:rsidRDefault="00B24127" w:rsidP="00B24127">
      <w:pPr>
        <w:pStyle w:val="Heading1"/>
      </w:pPr>
      <w:r w:rsidRPr="00970924">
        <w:lastRenderedPageBreak/>
        <w:t xml:space="preserve">Commissioning Seasonal </w:t>
      </w:r>
      <w:r w:rsidR="005622DD">
        <w:t>‘</w:t>
      </w:r>
      <w:r w:rsidRPr="00970924">
        <w:t>Flu Vaccination</w:t>
      </w:r>
    </w:p>
    <w:p w:rsidR="00301979" w:rsidRPr="00970924" w:rsidRDefault="00301979" w:rsidP="00B24127">
      <w:pPr>
        <w:pStyle w:val="Heading2"/>
      </w:pPr>
      <w:bookmarkStart w:id="0" w:name="_GoBack"/>
      <w:bookmarkEnd w:id="0"/>
      <w:r w:rsidRPr="00970924">
        <w:t>Commissioning Background</w:t>
      </w:r>
    </w:p>
    <w:p w:rsidR="00301979" w:rsidRPr="00970924" w:rsidRDefault="00C62062">
      <w:r w:rsidRPr="00970924">
        <w:t>There is an agreement in place</w:t>
      </w:r>
      <w:r w:rsidRPr="00970924">
        <w:rPr>
          <w:rStyle w:val="FootnoteReference"/>
        </w:rPr>
        <w:footnoteReference w:id="2"/>
      </w:r>
      <w:r w:rsidRPr="00970924">
        <w:t xml:space="preserve"> under Section 7A of the National Health Service Act 2006 that is a shared commitment to protect and improve the public’s health, in line with the Government’s strategies for the National Health Service and the public health system. In this agreement, NHS England will commission certain public health services, in addition to those commissioned by Public Health England.</w:t>
      </w:r>
    </w:p>
    <w:p w:rsidR="00C62062" w:rsidRPr="00970924" w:rsidRDefault="00C62062">
      <w:r w:rsidRPr="00970924">
        <w:t>One of these is the provision of a Seasonal Influenza vaccination service. The targets for this service have been set</w:t>
      </w:r>
      <w:r w:rsidRPr="00970924">
        <w:rPr>
          <w:rStyle w:val="FootnoteReference"/>
        </w:rPr>
        <w:footnoteReference w:id="3"/>
      </w:r>
      <w:r w:rsidR="00B24127" w:rsidRPr="00970924">
        <w:rPr>
          <w:rStyle w:val="FootnoteReference"/>
        </w:rPr>
        <w:t>,</w:t>
      </w:r>
      <w:r w:rsidR="00B24127" w:rsidRPr="00970924">
        <w:rPr>
          <w:rStyle w:val="FootnoteReference"/>
        </w:rPr>
        <w:footnoteReference w:id="4"/>
      </w:r>
      <w:r w:rsidRPr="00970924">
        <w:t xml:space="preserve"> and </w:t>
      </w:r>
      <w:r w:rsidR="00510D9E">
        <w:t xml:space="preserve">continue to </w:t>
      </w:r>
      <w:r w:rsidRPr="00970924">
        <w:t xml:space="preserve">stretch previous </w:t>
      </w:r>
      <w:r w:rsidR="00510D9E">
        <w:t>performance</w:t>
      </w:r>
      <w:r w:rsidR="00B24127" w:rsidRPr="00970924">
        <w:t xml:space="preserve"> significantly</w:t>
      </w:r>
      <w:r w:rsidRPr="00970924">
        <w:t>:</w:t>
      </w:r>
    </w:p>
    <w:tbl>
      <w:tblPr>
        <w:tblStyle w:val="LightShading"/>
        <w:tblW w:w="9464" w:type="dxa"/>
        <w:tblLook w:val="0420" w:firstRow="1" w:lastRow="0" w:firstColumn="0" w:lastColumn="0" w:noHBand="0" w:noVBand="1"/>
      </w:tblPr>
      <w:tblGrid>
        <w:gridCol w:w="3227"/>
        <w:gridCol w:w="1843"/>
        <w:gridCol w:w="1559"/>
        <w:gridCol w:w="2835"/>
      </w:tblGrid>
      <w:tr w:rsidR="00041A40" w:rsidRPr="00970924" w:rsidTr="00041A40">
        <w:trPr>
          <w:cnfStyle w:val="100000000000" w:firstRow="1" w:lastRow="0" w:firstColumn="0" w:lastColumn="0" w:oddVBand="0" w:evenVBand="0" w:oddHBand="0" w:evenHBand="0" w:firstRowFirstColumn="0" w:firstRowLastColumn="0" w:lastRowFirstColumn="0" w:lastRowLastColumn="0"/>
        </w:trPr>
        <w:tc>
          <w:tcPr>
            <w:tcW w:w="3227" w:type="dxa"/>
          </w:tcPr>
          <w:p w:rsidR="00041A40" w:rsidRPr="00970924" w:rsidRDefault="00041A40" w:rsidP="00535497"/>
        </w:tc>
        <w:tc>
          <w:tcPr>
            <w:tcW w:w="1843" w:type="dxa"/>
          </w:tcPr>
          <w:p w:rsidR="00041A40" w:rsidRPr="00970924" w:rsidRDefault="00041A40" w:rsidP="00AA26AD">
            <w:pPr>
              <w:jc w:val="center"/>
            </w:pPr>
            <w:r w:rsidRPr="00970924">
              <w:t>Last Year’s</w:t>
            </w:r>
            <w:r w:rsidRPr="00970924">
              <w:br/>
              <w:t>Achievement</w:t>
            </w:r>
          </w:p>
        </w:tc>
        <w:tc>
          <w:tcPr>
            <w:tcW w:w="1559" w:type="dxa"/>
          </w:tcPr>
          <w:p w:rsidR="00041A40" w:rsidRPr="00970924" w:rsidRDefault="00041A40" w:rsidP="00E603A8">
            <w:pPr>
              <w:jc w:val="center"/>
            </w:pPr>
            <w:r w:rsidRPr="00970924">
              <w:t>This Year’s</w:t>
            </w:r>
            <w:r w:rsidRPr="00970924">
              <w:br/>
              <w:t>Target</w:t>
            </w:r>
          </w:p>
        </w:tc>
        <w:tc>
          <w:tcPr>
            <w:tcW w:w="2835" w:type="dxa"/>
          </w:tcPr>
          <w:p w:rsidR="00041A40" w:rsidRPr="00970924" w:rsidRDefault="00041A40" w:rsidP="00AA26AD">
            <w:pPr>
              <w:jc w:val="center"/>
            </w:pPr>
            <w:r w:rsidRPr="00970924">
              <w:t>Additional Patients</w:t>
            </w:r>
            <w:r w:rsidRPr="00970924">
              <w:br/>
              <w:t>Required This Year</w:t>
            </w:r>
          </w:p>
        </w:tc>
      </w:tr>
      <w:tr w:rsidR="00041A40" w:rsidRPr="00970924" w:rsidTr="00041A40">
        <w:trPr>
          <w:cnfStyle w:val="000000100000" w:firstRow="0" w:lastRow="0" w:firstColumn="0" w:lastColumn="0" w:oddVBand="0" w:evenVBand="0" w:oddHBand="1" w:evenHBand="0" w:firstRowFirstColumn="0" w:firstRowLastColumn="0" w:lastRowFirstColumn="0" w:lastRowLastColumn="0"/>
        </w:trPr>
        <w:tc>
          <w:tcPr>
            <w:tcW w:w="3227" w:type="dxa"/>
          </w:tcPr>
          <w:p w:rsidR="00041A40" w:rsidRPr="00970924" w:rsidRDefault="00041A40" w:rsidP="00AA26AD">
            <w:pPr>
              <w:jc w:val="right"/>
            </w:pPr>
            <w:r w:rsidRPr="00970924">
              <w:t>Flu vaccination coverage for those aged over 65 years</w:t>
            </w:r>
          </w:p>
        </w:tc>
        <w:tc>
          <w:tcPr>
            <w:tcW w:w="1843" w:type="dxa"/>
            <w:vAlign w:val="center"/>
          </w:tcPr>
          <w:p w:rsidR="00041A40" w:rsidRPr="00970924" w:rsidRDefault="00041A40" w:rsidP="00041A40">
            <w:pPr>
              <w:jc w:val="center"/>
            </w:pPr>
            <w:r w:rsidRPr="00970924">
              <w:t>[1]%</w:t>
            </w:r>
          </w:p>
        </w:tc>
        <w:tc>
          <w:tcPr>
            <w:tcW w:w="1559" w:type="dxa"/>
            <w:vAlign w:val="center"/>
          </w:tcPr>
          <w:p w:rsidR="00041A40" w:rsidRPr="00970924" w:rsidRDefault="00041A40" w:rsidP="00041A40">
            <w:pPr>
              <w:jc w:val="center"/>
            </w:pPr>
            <w:r w:rsidRPr="00970924">
              <w:t>75%</w:t>
            </w:r>
          </w:p>
        </w:tc>
        <w:tc>
          <w:tcPr>
            <w:tcW w:w="2835" w:type="dxa"/>
            <w:vAlign w:val="center"/>
          </w:tcPr>
          <w:p w:rsidR="00041A40" w:rsidRPr="00970924" w:rsidRDefault="00041A40" w:rsidP="00041A40">
            <w:pPr>
              <w:jc w:val="center"/>
            </w:pPr>
            <w:r w:rsidRPr="00970924">
              <w:t>[A]</w:t>
            </w:r>
          </w:p>
        </w:tc>
      </w:tr>
      <w:tr w:rsidR="00041A40" w:rsidRPr="00970924" w:rsidTr="00041A40">
        <w:tc>
          <w:tcPr>
            <w:tcW w:w="3227" w:type="dxa"/>
          </w:tcPr>
          <w:p w:rsidR="00041A40" w:rsidRPr="00970924" w:rsidRDefault="00041A40" w:rsidP="00AA26AD">
            <w:pPr>
              <w:jc w:val="right"/>
            </w:pPr>
            <w:r w:rsidRPr="00970924">
              <w:t>Flu vaccination coverage for at risk individuals under 65 years</w:t>
            </w:r>
          </w:p>
        </w:tc>
        <w:tc>
          <w:tcPr>
            <w:tcW w:w="1843" w:type="dxa"/>
            <w:vAlign w:val="center"/>
          </w:tcPr>
          <w:p w:rsidR="00041A40" w:rsidRPr="00970924" w:rsidRDefault="00041A40" w:rsidP="00041A40">
            <w:pPr>
              <w:jc w:val="center"/>
            </w:pPr>
            <w:r w:rsidRPr="00970924">
              <w:t>[2]%</w:t>
            </w:r>
          </w:p>
        </w:tc>
        <w:tc>
          <w:tcPr>
            <w:tcW w:w="1559" w:type="dxa"/>
            <w:vAlign w:val="center"/>
          </w:tcPr>
          <w:p w:rsidR="00041A40" w:rsidRPr="00970924" w:rsidRDefault="00041A40" w:rsidP="00041A40">
            <w:pPr>
              <w:jc w:val="center"/>
            </w:pPr>
            <w:r w:rsidRPr="00970924">
              <w:t>75%</w:t>
            </w:r>
          </w:p>
        </w:tc>
        <w:tc>
          <w:tcPr>
            <w:tcW w:w="2835" w:type="dxa"/>
            <w:vAlign w:val="center"/>
          </w:tcPr>
          <w:p w:rsidR="00041A40" w:rsidRPr="00970924" w:rsidRDefault="00041A40" w:rsidP="00041A40">
            <w:pPr>
              <w:jc w:val="center"/>
            </w:pPr>
            <w:r w:rsidRPr="00970924">
              <w:t>[B]</w:t>
            </w:r>
          </w:p>
        </w:tc>
      </w:tr>
      <w:tr w:rsidR="00041A40" w:rsidRPr="00970924" w:rsidTr="00041A40">
        <w:trPr>
          <w:cnfStyle w:val="000000100000" w:firstRow="0" w:lastRow="0" w:firstColumn="0" w:lastColumn="0" w:oddVBand="0" w:evenVBand="0" w:oddHBand="1" w:evenHBand="0" w:firstRowFirstColumn="0" w:firstRowLastColumn="0" w:lastRowFirstColumn="0" w:lastRowLastColumn="0"/>
        </w:trPr>
        <w:tc>
          <w:tcPr>
            <w:tcW w:w="3227" w:type="dxa"/>
          </w:tcPr>
          <w:p w:rsidR="00041A40" w:rsidRPr="00970924" w:rsidRDefault="00041A40" w:rsidP="00AA26AD">
            <w:pPr>
              <w:jc w:val="right"/>
            </w:pPr>
            <w:r w:rsidRPr="00970924">
              <w:t>Flu vaccination coverage for pregnant women</w:t>
            </w:r>
          </w:p>
        </w:tc>
        <w:tc>
          <w:tcPr>
            <w:tcW w:w="1843" w:type="dxa"/>
            <w:vAlign w:val="center"/>
          </w:tcPr>
          <w:p w:rsidR="00041A40" w:rsidRPr="00970924" w:rsidRDefault="00041A40" w:rsidP="00041A40">
            <w:pPr>
              <w:jc w:val="center"/>
            </w:pPr>
            <w:r w:rsidRPr="00970924">
              <w:t>[3]%</w:t>
            </w:r>
          </w:p>
        </w:tc>
        <w:tc>
          <w:tcPr>
            <w:tcW w:w="1559" w:type="dxa"/>
            <w:vAlign w:val="center"/>
          </w:tcPr>
          <w:p w:rsidR="00041A40" w:rsidRPr="00970924" w:rsidRDefault="00041A40" w:rsidP="001D4DCF">
            <w:pPr>
              <w:jc w:val="center"/>
            </w:pPr>
          </w:p>
        </w:tc>
        <w:tc>
          <w:tcPr>
            <w:tcW w:w="2835" w:type="dxa"/>
            <w:vAlign w:val="center"/>
          </w:tcPr>
          <w:p w:rsidR="00041A40" w:rsidRPr="00970924" w:rsidRDefault="00041A40" w:rsidP="00041A40">
            <w:pPr>
              <w:jc w:val="center"/>
            </w:pPr>
            <w:r w:rsidRPr="00970924">
              <w:t>[C]</w:t>
            </w:r>
            <w:r w:rsidR="001D4DCF">
              <w:rPr>
                <w:rStyle w:val="FootnoteReference"/>
              </w:rPr>
              <w:footnoteReference w:id="5"/>
            </w:r>
          </w:p>
        </w:tc>
      </w:tr>
    </w:tbl>
    <w:p w:rsidR="008174BA" w:rsidRPr="00970924" w:rsidRDefault="008174BA"/>
    <w:p w:rsidR="00E25078" w:rsidRPr="00970924" w:rsidRDefault="00E25078">
      <w:r w:rsidRPr="00970924">
        <w:t xml:space="preserve">The historic local performance has [improved/decreased/remained static] over recent years, </w:t>
      </w:r>
      <w:r w:rsidR="00970924" w:rsidRPr="00970924">
        <w:t>[and/</w:t>
      </w:r>
      <w:r w:rsidRPr="00970924">
        <w:t>but</w:t>
      </w:r>
      <w:r w:rsidR="00970924" w:rsidRPr="00970924">
        <w:t>]</w:t>
      </w:r>
      <w:r w:rsidRPr="00970924">
        <w:t xml:space="preserve"> the new target, highlighted in red in the graph below, </w:t>
      </w:r>
      <w:r w:rsidR="00970924" w:rsidRPr="00970924">
        <w:t>remains a significant distance</w:t>
      </w:r>
      <w:r w:rsidRPr="00970924">
        <w:t xml:space="preserve"> away without service redesign.</w:t>
      </w:r>
    </w:p>
    <w:p w:rsidR="00E25078" w:rsidRPr="00970924" w:rsidRDefault="00E25078">
      <w:r w:rsidRPr="00970924">
        <w:rPr>
          <w:noProof/>
          <w:lang w:eastAsia="en-GB"/>
        </w:rPr>
        <w:drawing>
          <wp:inline distT="0" distB="0" distL="0" distR="0" wp14:anchorId="42EE944E" wp14:editId="55BC5A2A">
            <wp:extent cx="5917721" cy="3200400"/>
            <wp:effectExtent l="0" t="0" r="2603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2062" w:rsidRPr="00970924" w:rsidRDefault="00AA527D">
      <w:r w:rsidRPr="00970924">
        <w:lastRenderedPageBreak/>
        <w:t xml:space="preserve">The </w:t>
      </w:r>
      <w:r w:rsidR="00275B57">
        <w:t>letter</w:t>
      </w:r>
      <w:bookmarkStart w:id="1" w:name="_Ref390274844"/>
      <w:r w:rsidR="00275B57">
        <w:rPr>
          <w:rStyle w:val="FootnoteReference"/>
        </w:rPr>
        <w:footnoteReference w:id="6"/>
      </w:r>
      <w:bookmarkEnd w:id="1"/>
      <w:r w:rsidRPr="00970924">
        <w:t xml:space="preserve"> dated </w:t>
      </w:r>
      <w:r w:rsidR="00C213B6">
        <w:t>28</w:t>
      </w:r>
      <w:r w:rsidR="00C213B6" w:rsidRPr="00275B57">
        <w:t>th</w:t>
      </w:r>
      <w:r w:rsidR="00C213B6">
        <w:t xml:space="preserve"> April 2014</w:t>
      </w:r>
      <w:r w:rsidRPr="00970924">
        <w:t xml:space="preserve"> from the Department of Health, Public Health England and NHS England states:</w:t>
      </w:r>
    </w:p>
    <w:p w:rsidR="00AA527D" w:rsidRPr="00970924" w:rsidRDefault="00AA527D" w:rsidP="00AA527D">
      <w:pPr>
        <w:jc w:val="center"/>
        <w:rPr>
          <w:rStyle w:val="SubtleEmphasis"/>
        </w:rPr>
      </w:pPr>
      <w:r w:rsidRPr="00970924">
        <w:rPr>
          <w:rStyle w:val="SubtleEmphasis"/>
        </w:rPr>
        <w:t>“</w:t>
      </w:r>
      <w:r w:rsidR="00C213B6" w:rsidRPr="00C213B6">
        <w:rPr>
          <w:i/>
          <w:iCs/>
          <w:color w:val="808080" w:themeColor="text1" w:themeTint="7F"/>
        </w:rPr>
        <w:t>NHS England may enter into arrangements with any other local provider, for example Alternative Providers of Medical Services and community pharmacies, to provide a flu immunisation service for all risk groups.</w:t>
      </w:r>
      <w:r w:rsidRPr="00970924">
        <w:rPr>
          <w:rStyle w:val="SubtleEmphasis"/>
        </w:rPr>
        <w:t>”</w:t>
      </w:r>
    </w:p>
    <w:p w:rsidR="00AA26AD" w:rsidRPr="00970924" w:rsidRDefault="00AA527D" w:rsidP="00AA527D">
      <w:pPr>
        <w:pStyle w:val="Heading2"/>
      </w:pPr>
      <w:r w:rsidRPr="00970924">
        <w:t>Defining the Need for Vaccination Activity Locally</w:t>
      </w:r>
    </w:p>
    <w:p w:rsidR="00AA527D" w:rsidRPr="00970924" w:rsidRDefault="00510D9E" w:rsidP="00AA527D">
      <w:r>
        <w:t>L</w:t>
      </w:r>
      <w:r w:rsidR="00AA527D" w:rsidRPr="00970924">
        <w:t xml:space="preserve">ocally the achievement in previous years has fallen short in key areas and the targets this year </w:t>
      </w:r>
      <w:r>
        <w:t xml:space="preserve">continue to </w:t>
      </w:r>
      <w:r w:rsidR="00AA527D" w:rsidRPr="00970924">
        <w:t xml:space="preserve">present </w:t>
      </w:r>
      <w:r>
        <w:t>a significant</w:t>
      </w:r>
      <w:r w:rsidR="00AA527D" w:rsidRPr="00970924">
        <w:t xml:space="preserve"> challenge.</w:t>
      </w:r>
    </w:p>
    <w:p w:rsidR="00AA527D" w:rsidRPr="00970924" w:rsidRDefault="00AA527D" w:rsidP="00AA527D">
      <w:pPr>
        <w:pStyle w:val="Heading3"/>
      </w:pPr>
      <w:r w:rsidRPr="00970924">
        <w:t>Over 65 Cohort</w:t>
      </w:r>
    </w:p>
    <w:p w:rsidR="00AA527D" w:rsidRPr="00970924" w:rsidRDefault="00AA527D" w:rsidP="00AA527D">
      <w:r w:rsidRPr="00970924">
        <w:t>The target for the 201</w:t>
      </w:r>
      <w:r w:rsidR="00834A68">
        <w:t>4</w:t>
      </w:r>
      <w:r w:rsidRPr="00970924">
        <w:t>/1</w:t>
      </w:r>
      <w:r w:rsidR="00834A68">
        <w:t>5</w:t>
      </w:r>
      <w:r w:rsidR="00275B57">
        <w:t xml:space="preserve"> season was 75</w:t>
      </w:r>
      <w:r w:rsidRPr="00970924">
        <w:t>% for this cohort and locally we achieve [1</w:t>
      </w:r>
      <w:proofErr w:type="gramStart"/>
      <w:r w:rsidRPr="00970924">
        <w:t>]%</w:t>
      </w:r>
      <w:proofErr w:type="gramEnd"/>
      <w:r w:rsidRPr="00970924">
        <w:t>. [Add local commentary depending upon result].</w:t>
      </w:r>
      <w:r w:rsidR="00275B57">
        <w:t xml:space="preserve"> To achieve this year’s target of</w:t>
      </w:r>
      <w:r w:rsidRPr="00970924">
        <w:t xml:space="preserve"> 75% </w:t>
      </w:r>
      <w:r w:rsidR="006128E5" w:rsidRPr="00970924">
        <w:t>would require an additional [A] patients to be vaccinated based upon registered population of last year. [Add local commentary depending upon result].</w:t>
      </w:r>
    </w:p>
    <w:p w:rsidR="006128E5" w:rsidRPr="00970924" w:rsidRDefault="006128E5" w:rsidP="006128E5">
      <w:pPr>
        <w:pStyle w:val="Heading3"/>
      </w:pPr>
      <w:r w:rsidRPr="00970924">
        <w:t>Under 65 ‘At Risk’ Cohort</w:t>
      </w:r>
    </w:p>
    <w:p w:rsidR="006128E5" w:rsidRPr="00970924" w:rsidRDefault="00834A68" w:rsidP="006128E5">
      <w:r>
        <w:t>The target for the 2014/15</w:t>
      </w:r>
      <w:r w:rsidR="00275B57">
        <w:t xml:space="preserve"> season was 75</w:t>
      </w:r>
      <w:r w:rsidR="006128E5" w:rsidRPr="00970924">
        <w:t>% for this cohort and locally we achieve [2</w:t>
      </w:r>
      <w:proofErr w:type="gramStart"/>
      <w:r w:rsidR="006128E5" w:rsidRPr="00970924">
        <w:t>]%</w:t>
      </w:r>
      <w:proofErr w:type="gramEnd"/>
      <w:r w:rsidR="006128E5" w:rsidRPr="00970924">
        <w:t xml:space="preserve">. [Add local commentary depending upon result]. </w:t>
      </w:r>
      <w:r w:rsidR="00275B57">
        <w:t>To achieve this year’s target of</w:t>
      </w:r>
      <w:r w:rsidR="006128E5" w:rsidRPr="00970924">
        <w:t xml:space="preserve"> 75% will require </w:t>
      </w:r>
      <w:proofErr w:type="gramStart"/>
      <w:r w:rsidR="006128E5" w:rsidRPr="00970924">
        <w:t>an additional [B] patients</w:t>
      </w:r>
      <w:proofErr w:type="gramEnd"/>
      <w:r w:rsidR="006128E5" w:rsidRPr="00970924">
        <w:t xml:space="preserve"> to be vaccinated based upon registered population of last year. Public Health England noted that only 100 GP practices in the whole of England achieved this </w:t>
      </w:r>
      <w:r w:rsidR="00275B57">
        <w:t>in the 2012/13 season</w:t>
      </w:r>
      <w:r w:rsidR="006128E5" w:rsidRPr="00970924">
        <w:t xml:space="preserve"> and this is a challenging target to achieve.</w:t>
      </w:r>
    </w:p>
    <w:p w:rsidR="006128E5" w:rsidRPr="00970924" w:rsidRDefault="006128E5" w:rsidP="006128E5">
      <w:pPr>
        <w:pStyle w:val="Heading3"/>
      </w:pPr>
      <w:r w:rsidRPr="00970924">
        <w:t>Pregnant Women</w:t>
      </w:r>
    </w:p>
    <w:p w:rsidR="006128E5" w:rsidRDefault="006128E5" w:rsidP="006128E5">
      <w:r w:rsidRPr="00970924">
        <w:t xml:space="preserve">Traditionally one of the hardest cohorts to vaccinate effectively, </w:t>
      </w:r>
      <w:r w:rsidR="00510D9E">
        <w:t>t</w:t>
      </w:r>
      <w:r w:rsidR="001D4DCF">
        <w:t>he target concer</w:t>
      </w:r>
      <w:r w:rsidR="00510D9E">
        <w:t>ning pregnant women this year remains</w:t>
      </w:r>
      <w:r w:rsidR="001D4DCF">
        <w:t xml:space="preserve"> that they are i</w:t>
      </w:r>
      <w:r w:rsidR="00510D9E">
        <w:t>ncluded in the ‘At Risk’ cohort. T</w:t>
      </w:r>
      <w:r w:rsidR="001D4DCF">
        <w:t>o reduce pressure on this target, the aim should be the same for the pregnant cohort as for the other ‘At Risk’ cohort at a notional 75%</w:t>
      </w:r>
      <w:r w:rsidR="00510D9E">
        <w:t>. This</w:t>
      </w:r>
      <w:r w:rsidRPr="00970924">
        <w:t xml:space="preserve"> will require an additional [C] patients to be vaccinated based upon registered population of last year</w:t>
      </w:r>
      <w:r w:rsidR="00510D9E">
        <w:t xml:space="preserve">, compared to last year’s </w:t>
      </w:r>
      <w:r w:rsidR="00510D9E" w:rsidRPr="00970924">
        <w:t xml:space="preserve">local achievement </w:t>
      </w:r>
      <w:r w:rsidR="00510D9E">
        <w:t>of [3]%</w:t>
      </w:r>
      <w:r w:rsidRPr="00970924">
        <w:t>. Evidently, the population for this cohort is constantly changing but this remains a very challenging target to achieve.</w:t>
      </w:r>
    </w:p>
    <w:p w:rsidR="00396E9B" w:rsidRDefault="00680888" w:rsidP="00396E9B">
      <w:pPr>
        <w:pStyle w:val="Heading3"/>
      </w:pPr>
      <w:r>
        <w:t>Patients</w:t>
      </w:r>
      <w:r w:rsidR="00396E9B">
        <w:t xml:space="preserve"> Unwilling to us</w:t>
      </w:r>
      <w:r>
        <w:t>e</w:t>
      </w:r>
      <w:r w:rsidR="00396E9B">
        <w:t xml:space="preserve"> GP Practices</w:t>
      </w:r>
    </w:p>
    <w:p w:rsidR="00396E9B" w:rsidRPr="00970924" w:rsidRDefault="00396E9B" w:rsidP="006128E5">
      <w:r w:rsidRPr="00396E9B">
        <w:t xml:space="preserve">While people at risk can access flu vaccinations free via the NHS, some choose to pay privately because they perceive that community pharmacy access is easier. </w:t>
      </w:r>
      <w:r>
        <w:t>In areas where there is limited or no commissioning of NHS ‘flu vaccination from community pharmacy, 22% of patients who choose to pay privately are eligible to get their flu vaccination for free</w:t>
      </w:r>
      <w:r>
        <w:rPr>
          <w:rStyle w:val="FootnoteReference"/>
        </w:rPr>
        <w:footnoteReference w:id="7"/>
      </w:r>
      <w:r w:rsidR="00680888">
        <w:t>. By commissioning community pharmacy, both these patients</w:t>
      </w:r>
      <w:r w:rsidR="00680888" w:rsidRPr="00680888">
        <w:rPr>
          <w:rStyle w:val="FootnoteReference"/>
        </w:rPr>
        <w:fldChar w:fldCharType="begin"/>
      </w:r>
      <w:r w:rsidR="00680888" w:rsidRPr="00680888">
        <w:rPr>
          <w:rStyle w:val="FootnoteReference"/>
        </w:rPr>
        <w:instrText xml:space="preserve"> NOTEREF _Ref390056254 </w:instrText>
      </w:r>
      <w:r w:rsidR="00680888">
        <w:rPr>
          <w:rStyle w:val="FootnoteReference"/>
        </w:rPr>
        <w:instrText xml:space="preserve"> \* MERGEFORMAT </w:instrText>
      </w:r>
      <w:r w:rsidR="00680888" w:rsidRPr="00680888">
        <w:rPr>
          <w:rStyle w:val="FootnoteReference"/>
        </w:rPr>
        <w:fldChar w:fldCharType="separate"/>
      </w:r>
      <w:r w:rsidR="00283DDA">
        <w:rPr>
          <w:rStyle w:val="FootnoteReference"/>
        </w:rPr>
        <w:t>19</w:t>
      </w:r>
      <w:r w:rsidR="00680888" w:rsidRPr="00680888">
        <w:rPr>
          <w:rStyle w:val="FootnoteReference"/>
        </w:rPr>
        <w:fldChar w:fldCharType="end"/>
      </w:r>
      <w:r w:rsidR="00680888">
        <w:t xml:space="preserve"> and those who do not receive immunisation through an unwillingness to attend GP practices, for reasons such as risk of cross-infection</w:t>
      </w:r>
      <w:r w:rsidR="00B63029" w:rsidRPr="00B63029">
        <w:rPr>
          <w:rStyle w:val="FootnoteReference"/>
        </w:rPr>
        <w:fldChar w:fldCharType="begin"/>
      </w:r>
      <w:r w:rsidR="00B63029" w:rsidRPr="00B63029">
        <w:rPr>
          <w:rStyle w:val="FootnoteReference"/>
        </w:rPr>
        <w:instrText xml:space="preserve"> NOTEREF _Ref390060105 </w:instrText>
      </w:r>
      <w:r w:rsidR="00B63029">
        <w:rPr>
          <w:rStyle w:val="FootnoteReference"/>
        </w:rPr>
        <w:instrText xml:space="preserve"> \* MERGEFORMAT </w:instrText>
      </w:r>
      <w:r w:rsidR="00B63029" w:rsidRPr="00B63029">
        <w:rPr>
          <w:rStyle w:val="FootnoteReference"/>
        </w:rPr>
        <w:fldChar w:fldCharType="separate"/>
      </w:r>
      <w:r w:rsidR="00283DDA">
        <w:rPr>
          <w:rStyle w:val="FootnoteReference"/>
        </w:rPr>
        <w:t>9</w:t>
      </w:r>
      <w:r w:rsidR="00B63029" w:rsidRPr="00B63029">
        <w:rPr>
          <w:rStyle w:val="FootnoteReference"/>
        </w:rPr>
        <w:fldChar w:fldCharType="end"/>
      </w:r>
      <w:r w:rsidR="00B63029" w:rsidRPr="00B63029">
        <w:rPr>
          <w:rStyle w:val="FootnoteReference"/>
        </w:rPr>
        <w:t>,</w:t>
      </w:r>
      <w:r w:rsidR="00680888" w:rsidRPr="00680888">
        <w:rPr>
          <w:rStyle w:val="FootnoteReference"/>
        </w:rPr>
        <w:fldChar w:fldCharType="begin"/>
      </w:r>
      <w:r w:rsidR="00680888" w:rsidRPr="00680888">
        <w:rPr>
          <w:rStyle w:val="FootnoteReference"/>
        </w:rPr>
        <w:instrText xml:space="preserve"> NOTEREF _Ref358740859 </w:instrText>
      </w:r>
      <w:r w:rsidR="00680888">
        <w:rPr>
          <w:rStyle w:val="FootnoteReference"/>
        </w:rPr>
        <w:instrText xml:space="preserve"> \* MERGEFORMAT </w:instrText>
      </w:r>
      <w:r w:rsidR="00680888" w:rsidRPr="00680888">
        <w:rPr>
          <w:rStyle w:val="FootnoteReference"/>
        </w:rPr>
        <w:fldChar w:fldCharType="separate"/>
      </w:r>
      <w:r w:rsidR="00283DDA">
        <w:rPr>
          <w:rStyle w:val="FootnoteReference"/>
        </w:rPr>
        <w:t>14</w:t>
      </w:r>
      <w:r w:rsidR="00680888" w:rsidRPr="00680888">
        <w:rPr>
          <w:rStyle w:val="FootnoteReference"/>
        </w:rPr>
        <w:fldChar w:fldCharType="end"/>
      </w:r>
      <w:r w:rsidR="00680888">
        <w:t xml:space="preserve">, will be included in the vaccination cohort reported to </w:t>
      </w:r>
      <w:proofErr w:type="spellStart"/>
      <w:r w:rsidR="00680888">
        <w:t>ImmForm</w:t>
      </w:r>
      <w:proofErr w:type="spellEnd"/>
      <w:r w:rsidR="00680888">
        <w:t>.</w:t>
      </w:r>
    </w:p>
    <w:p w:rsidR="008D64EB" w:rsidRDefault="008D64EB" w:rsidP="007C0099">
      <w:pPr>
        <w:pStyle w:val="Heading2"/>
      </w:pPr>
      <w:r>
        <w:lastRenderedPageBreak/>
        <w:t>Impact of Reaching Full Cohort Vaccination</w:t>
      </w:r>
    </w:p>
    <w:p w:rsidR="008D64EB" w:rsidRDefault="008D64EB" w:rsidP="00EC0C85">
      <w:r>
        <w:t xml:space="preserve">The </w:t>
      </w:r>
      <w:r w:rsidR="00EC0C85">
        <w:t xml:space="preserve">social cost to society of influenza is significant, with over 8000 deaths per year attributable to seasonal influenza. Although the impact of vaccination on health care use due to influenza varies widely between scenarios, vaccination is still estimated to prevent a substantial number of cases, and therefore result in large Quality Adjusted Life Years (QALY) gains from </w:t>
      </w:r>
      <w:r w:rsidR="00664E9B">
        <w:t xml:space="preserve">avoided </w:t>
      </w:r>
      <w:r w:rsidR="00EC0C85">
        <w:t xml:space="preserve">morbidity. </w:t>
      </w:r>
      <w:r w:rsidR="00EC0C85" w:rsidRPr="00EC0C85">
        <w:t>A well-matched vaccine may reduce the incidence of laboratory-confirmed influenza illness from 8.2% to 5.9%, with 56–73% of this due to indirect protectio</w:t>
      </w:r>
      <w:r w:rsidR="00EC0C85">
        <w:t>n</w:t>
      </w:r>
      <w:bookmarkStart w:id="2" w:name="_Ref390059129"/>
      <w:r w:rsidR="00664E9B">
        <w:rPr>
          <w:rStyle w:val="FootnoteReference"/>
        </w:rPr>
        <w:footnoteReference w:id="8"/>
      </w:r>
      <w:bookmarkEnd w:id="2"/>
      <w:r w:rsidR="00EC0C85">
        <w:t>.</w:t>
      </w:r>
    </w:p>
    <w:p w:rsidR="00EC0C85" w:rsidRDefault="00EC0C85" w:rsidP="00EC0C85">
      <w:r>
        <w:t xml:space="preserve">There is, of course, a cost of treating </w:t>
      </w:r>
      <w:r w:rsidR="00664E9B">
        <w:t xml:space="preserve">those that fall ill, typically through hospitalisation. Although there is a concomitant cost of GP and nurse management of the condition, this is not an increased cost to the NHS. </w:t>
      </w:r>
      <w:r w:rsidR="00E40D82">
        <w:t>With a clinical attack rate of around 7% and an effectiveness of vaccination estimated at around 66%</w:t>
      </w:r>
      <w:r w:rsidR="00A97E1C">
        <w:t>, t</w:t>
      </w:r>
      <w:r w:rsidR="00E40D82">
        <w:t>he me</w:t>
      </w:r>
      <w:r w:rsidR="00A97E1C">
        <w:t>an admission period</w:t>
      </w:r>
      <w:r w:rsidR="00E40D82">
        <w:t xml:space="preserve"> for Influenza-Like Illness is </w:t>
      </w:r>
      <w:r w:rsidR="00A97E1C">
        <w:t>5 days in adults, at a typically estimated cost of £840 per day</w:t>
      </w:r>
      <w:r w:rsidR="00A97E1C" w:rsidRPr="00181835">
        <w:rPr>
          <w:vertAlign w:val="superscript"/>
        </w:rPr>
        <w:fldChar w:fldCharType="begin"/>
      </w:r>
      <w:r w:rsidR="00A97E1C" w:rsidRPr="00181835">
        <w:rPr>
          <w:vertAlign w:val="superscript"/>
        </w:rPr>
        <w:instrText xml:space="preserve"> NOTEREF _Ref390059129 </w:instrText>
      </w:r>
      <w:r w:rsidR="00713EDE">
        <w:rPr>
          <w:vertAlign w:val="superscript"/>
        </w:rPr>
        <w:instrText xml:space="preserve"> \* MERGEFORMAT </w:instrText>
      </w:r>
      <w:r w:rsidR="00A97E1C" w:rsidRPr="00181835">
        <w:rPr>
          <w:vertAlign w:val="superscript"/>
        </w:rPr>
        <w:fldChar w:fldCharType="separate"/>
      </w:r>
      <w:r w:rsidR="00283DDA">
        <w:rPr>
          <w:vertAlign w:val="superscript"/>
        </w:rPr>
        <w:t>7</w:t>
      </w:r>
      <w:r w:rsidR="00A97E1C" w:rsidRPr="00181835">
        <w:rPr>
          <w:vertAlign w:val="superscript"/>
        </w:rPr>
        <w:fldChar w:fldCharType="end"/>
      </w:r>
      <w:r w:rsidR="00A97E1C" w:rsidRPr="00181835">
        <w:rPr>
          <w:vertAlign w:val="superscript"/>
        </w:rPr>
        <w:t>,</w:t>
      </w:r>
      <w:r w:rsidR="00A97E1C">
        <w:rPr>
          <w:rStyle w:val="FootnoteReference"/>
        </w:rPr>
        <w:footnoteReference w:id="9"/>
      </w:r>
      <w:r w:rsidR="00A97E1C">
        <w:t>.</w:t>
      </w:r>
    </w:p>
    <w:p w:rsidR="00A97E1C" w:rsidRPr="008D64EB" w:rsidRDefault="00A97E1C" w:rsidP="00EC0C85">
      <w:r>
        <w:t xml:space="preserve">An oversimplified economic model would therefore suggest that for every at-risk individual vaccinated, there is a </w:t>
      </w:r>
      <w:r w:rsidR="00805EC5">
        <w:t xml:space="preserve">counterfactual </w:t>
      </w:r>
      <w:r>
        <w:t>saving in hospital costs of £194. This means that if the national target was achieved locally, of an additional [A]+[B] patients receiving vaccination, then [0.0462 x ([A]+[B])] patients would avoid a hospital admission and CCGs would avoid hospital costs of £[194 x ([A]+[B])].</w:t>
      </w:r>
    </w:p>
    <w:p w:rsidR="000505E9" w:rsidRPr="00970924" w:rsidRDefault="007C0099" w:rsidP="007C0099">
      <w:pPr>
        <w:pStyle w:val="Heading2"/>
      </w:pPr>
      <w:r w:rsidRPr="00970924">
        <w:t>Increasing Cohort Penetration</w:t>
      </w:r>
    </w:p>
    <w:p w:rsidR="007C0099" w:rsidRPr="00970924" w:rsidRDefault="007C0099" w:rsidP="006128E5">
      <w:r w:rsidRPr="00970924">
        <w:t>To achieve this year’s ch</w:t>
      </w:r>
      <w:r w:rsidR="00FD04AC" w:rsidRPr="00970924">
        <w:t>allenging targets will require [</w:t>
      </w:r>
      <w:r w:rsidRPr="00970924">
        <w:t xml:space="preserve">a change in the methodology of delivery, as well as] a step-change in </w:t>
      </w:r>
      <w:r w:rsidR="00C23CC6">
        <w:t xml:space="preserve">the raising of </w:t>
      </w:r>
      <w:r w:rsidRPr="00970924">
        <w:t>awareness.</w:t>
      </w:r>
    </w:p>
    <w:p w:rsidR="001C028D" w:rsidRPr="00970924" w:rsidRDefault="001C028D" w:rsidP="001C028D">
      <w:pPr>
        <w:pStyle w:val="Heading3"/>
      </w:pPr>
      <w:r w:rsidRPr="00970924">
        <w:t>Public Health Campaign</w:t>
      </w:r>
    </w:p>
    <w:p w:rsidR="007C0099" w:rsidRDefault="007C0099" w:rsidP="006128E5">
      <w:r w:rsidRPr="00970924">
        <w:t>The awareness of vaccination as a life-saving intervention has been highlighted in publicity in the media concerning MMR uptake and</w:t>
      </w:r>
      <w:r w:rsidR="00A84C4B">
        <w:t xml:space="preserve"> the recent increase in incidence of measles</w:t>
      </w:r>
      <w:r w:rsidRPr="00970924">
        <w:t xml:space="preserve">. However, recent mild winters have potentially reduced the public’s awareness of the risk of seasonal </w:t>
      </w:r>
      <w:r w:rsidR="005622DD">
        <w:t>‘</w:t>
      </w:r>
      <w:r w:rsidRPr="00970924">
        <w:t>flu to those over 65 as well as those classified as ‘at risk’. The Area Team have the ability to target a Public Health campaign as part of the community pharmacy contractual framework to meet this need.</w:t>
      </w:r>
    </w:p>
    <w:p w:rsidR="001C028D" w:rsidRPr="00970924" w:rsidRDefault="001C028D" w:rsidP="001C028D">
      <w:pPr>
        <w:pStyle w:val="Heading3"/>
      </w:pPr>
      <w:r w:rsidRPr="00970924">
        <w:t>Increasing Provider Availability</w:t>
      </w:r>
    </w:p>
    <w:p w:rsidR="007C0099" w:rsidRPr="00970924" w:rsidRDefault="007C0099" w:rsidP="006128E5">
      <w:r w:rsidRPr="00970924">
        <w:t>There is clear evidence from around the country</w:t>
      </w:r>
      <w:r w:rsidR="007D3433" w:rsidRPr="00970924">
        <w:t xml:space="preserve"> and beyond</w:t>
      </w:r>
      <w:r w:rsidRPr="00970924">
        <w:t xml:space="preserve"> that providing vaccination</w:t>
      </w:r>
      <w:r w:rsidR="001C028D" w:rsidRPr="00970924">
        <w:t xml:space="preserve"> through additional providers increases the overall vaccination rates, especially in those cohorts with the most challenging targets</w:t>
      </w:r>
      <w:r w:rsidR="00233C33" w:rsidRPr="00970924">
        <w:t>:</w:t>
      </w:r>
    </w:p>
    <w:p w:rsidR="00233C33" w:rsidRPr="00970924" w:rsidRDefault="00EF24AE" w:rsidP="001C028D">
      <w:pPr>
        <w:pStyle w:val="ListParagraph"/>
        <w:numPr>
          <w:ilvl w:val="0"/>
          <w:numId w:val="2"/>
        </w:numPr>
      </w:pPr>
      <w:r w:rsidRPr="00970924">
        <w:t>Peer-reviewed evidence indicates that c</w:t>
      </w:r>
      <w:r w:rsidR="00233C33" w:rsidRPr="00970924">
        <w:t>ommunity pharmacies increase the number of patients vaccinated in the following cohorts</w:t>
      </w:r>
      <w:bookmarkStart w:id="3" w:name="_Ref390060105"/>
      <w:r w:rsidR="00233C33" w:rsidRPr="00970924">
        <w:rPr>
          <w:rStyle w:val="FootnoteReference"/>
        </w:rPr>
        <w:footnoteReference w:id="10"/>
      </w:r>
      <w:bookmarkEnd w:id="3"/>
      <w:r w:rsidR="00233C33" w:rsidRPr="00970924">
        <w:t>:</w:t>
      </w:r>
    </w:p>
    <w:p w:rsidR="00233C33" w:rsidRPr="00970924" w:rsidRDefault="00233C33" w:rsidP="00233C33">
      <w:pPr>
        <w:pStyle w:val="ListParagraph"/>
        <w:numPr>
          <w:ilvl w:val="1"/>
          <w:numId w:val="2"/>
        </w:numPr>
      </w:pPr>
      <w:r w:rsidRPr="00970924">
        <w:t>First-time vaccinations where they had been eligible previously;</w:t>
      </w:r>
    </w:p>
    <w:p w:rsidR="00233C33" w:rsidRPr="00970924" w:rsidRDefault="00233C33" w:rsidP="00233C33">
      <w:pPr>
        <w:pStyle w:val="ListParagraph"/>
        <w:numPr>
          <w:ilvl w:val="1"/>
          <w:numId w:val="2"/>
        </w:numPr>
      </w:pPr>
      <w:r w:rsidRPr="00970924">
        <w:t>Over 65 years of age;</w:t>
      </w:r>
    </w:p>
    <w:p w:rsidR="00233C33" w:rsidRPr="00970924" w:rsidRDefault="00233C33" w:rsidP="00233C33">
      <w:pPr>
        <w:pStyle w:val="ListParagraph"/>
        <w:numPr>
          <w:ilvl w:val="1"/>
          <w:numId w:val="2"/>
        </w:numPr>
      </w:pPr>
      <w:r w:rsidRPr="00970924">
        <w:t>Under 65 years of age and at risk; and</w:t>
      </w:r>
    </w:p>
    <w:p w:rsidR="00233C33" w:rsidRPr="00970924" w:rsidRDefault="00233C33" w:rsidP="00233C33">
      <w:pPr>
        <w:pStyle w:val="ListParagraph"/>
        <w:numPr>
          <w:ilvl w:val="1"/>
          <w:numId w:val="2"/>
        </w:numPr>
      </w:pPr>
      <w:r w:rsidRPr="00970924">
        <w:t>Carers and frontline healthcare workers.</w:t>
      </w:r>
    </w:p>
    <w:p w:rsidR="00EF24AE" w:rsidRPr="00970924" w:rsidRDefault="00EF24AE" w:rsidP="00EF24AE">
      <w:pPr>
        <w:pStyle w:val="ListParagraph"/>
        <w:numPr>
          <w:ilvl w:val="0"/>
          <w:numId w:val="2"/>
        </w:numPr>
      </w:pPr>
      <w:r w:rsidRPr="00970924">
        <w:lastRenderedPageBreak/>
        <w:t>Over three years, one PCT raised their vaccination levels in the over 65 cohort from 59% overall to 76% in the over 65 year olds and 67% in others consider ‘at risk’ by the introduction of a community pharmacy service</w:t>
      </w:r>
      <w:bookmarkStart w:id="4" w:name="_Ref358739622"/>
      <w:r w:rsidRPr="00970924">
        <w:rPr>
          <w:rStyle w:val="FootnoteReference"/>
        </w:rPr>
        <w:footnoteReference w:id="11"/>
      </w:r>
      <w:bookmarkEnd w:id="4"/>
      <w:r w:rsidRPr="00970924">
        <w:t>.</w:t>
      </w:r>
    </w:p>
    <w:p w:rsidR="001C028D" w:rsidRPr="00970924" w:rsidRDefault="001C028D" w:rsidP="001C028D">
      <w:pPr>
        <w:pStyle w:val="ListParagraph"/>
        <w:numPr>
          <w:ilvl w:val="0"/>
          <w:numId w:val="2"/>
        </w:numPr>
      </w:pPr>
      <w:r w:rsidRPr="00970924">
        <w:t>PharmOutcomes data fo</w:t>
      </w:r>
      <w:r w:rsidR="00233C33" w:rsidRPr="00970924">
        <w:t>r one PCT indicated that over 13</w:t>
      </w:r>
      <w:r w:rsidRPr="00970924">
        <w:t>% of the</w:t>
      </w:r>
      <w:r w:rsidR="00233C33" w:rsidRPr="00970924">
        <w:t>ir</w:t>
      </w:r>
      <w:r w:rsidRPr="00970924">
        <w:t xml:space="preserve"> ‘at risk’ </w:t>
      </w:r>
      <w:r w:rsidR="00EF24AE" w:rsidRPr="00970924">
        <w:t>cohort vaccinated by pharmacies was</w:t>
      </w:r>
      <w:r w:rsidRPr="00970924">
        <w:t xml:space="preserve"> </w:t>
      </w:r>
      <w:r w:rsidR="00233C33" w:rsidRPr="00970924">
        <w:t>pregnant women</w:t>
      </w:r>
      <w:r w:rsidR="00233C33" w:rsidRPr="00970924">
        <w:rPr>
          <w:rStyle w:val="FootnoteReference"/>
        </w:rPr>
        <w:footnoteReference w:id="12"/>
      </w:r>
      <w:r w:rsidR="00233C33" w:rsidRPr="00970924">
        <w:t>. The providers had offered the vaccine immediately to all those signing the appropriate “pregnant” exemption on their prescription after checking they were pre-partum.</w:t>
      </w:r>
    </w:p>
    <w:p w:rsidR="001C7955" w:rsidRDefault="001C7955" w:rsidP="001C7955">
      <w:pPr>
        <w:pStyle w:val="ListParagraph"/>
        <w:numPr>
          <w:ilvl w:val="0"/>
          <w:numId w:val="2"/>
        </w:numPr>
      </w:pPr>
      <w:r w:rsidRPr="00970924">
        <w:t>A USA report on the integration of non-traditional immunisation program</w:t>
      </w:r>
      <w:r w:rsidR="00A84C4B">
        <w:t>me</w:t>
      </w:r>
      <w:r w:rsidRPr="00970924">
        <w:t>s (including pharmacy) within an existing healthcare infrastructure concluded that the provision of immunisations outside the traditional places could increase vaccine coverage rates and decrease vaccine-preventable diseases among adults</w:t>
      </w:r>
      <w:r w:rsidRPr="00970924">
        <w:rPr>
          <w:rStyle w:val="FootnoteReference"/>
        </w:rPr>
        <w:footnoteReference w:id="13"/>
      </w:r>
      <w:r w:rsidRPr="00970924">
        <w:t>.</w:t>
      </w:r>
    </w:p>
    <w:p w:rsidR="00C23CC6" w:rsidRDefault="00C23CC6" w:rsidP="001C7955">
      <w:pPr>
        <w:pStyle w:val="ListParagraph"/>
        <w:numPr>
          <w:ilvl w:val="0"/>
          <w:numId w:val="2"/>
        </w:numPr>
      </w:pPr>
      <w:r>
        <w:t>Novartis Vaccines have presented evidence to the Parliamentary Health Committee</w:t>
      </w:r>
      <w:r w:rsidR="00922C60">
        <w:rPr>
          <w:rStyle w:val="FootnoteReference"/>
        </w:rPr>
        <w:footnoteReference w:id="14"/>
      </w:r>
      <w:r>
        <w:t xml:space="preserve"> that of those </w:t>
      </w:r>
      <w:r w:rsidR="00A84C4B">
        <w:t xml:space="preserve">people </w:t>
      </w:r>
      <w:r>
        <w:t>responding to a survey of the 500,000 vaccinated through their scheme in community pharmacies, 37% would not have had the vaccination if it had not been offered by the pharmacy.</w:t>
      </w:r>
    </w:p>
    <w:p w:rsidR="00C23CC6" w:rsidRPr="00970924" w:rsidRDefault="00C23CC6" w:rsidP="00C23CC6">
      <w:r>
        <w:t xml:space="preserve">The current local prescribing cycle means that </w:t>
      </w:r>
      <w:r w:rsidR="00A84C4B">
        <w:t xml:space="preserve">most </w:t>
      </w:r>
      <w:r>
        <w:t xml:space="preserve">patients will attend a pharmacy [up to five times] within the ‘flu season for a prescription and </w:t>
      </w:r>
      <w:r w:rsidR="00A84C4B">
        <w:t xml:space="preserve">this </w:t>
      </w:r>
      <w:r>
        <w:t>provides an excellent opportunity for engagement, in addition to the substantial numbers</w:t>
      </w:r>
      <w:r w:rsidR="00A84C4B">
        <w:t xml:space="preserve"> of people</w:t>
      </w:r>
      <w:r>
        <w:t xml:space="preserve"> visiting pharmacies for advice and purchases</w:t>
      </w:r>
      <w:r w:rsidR="00922C60">
        <w:t xml:space="preserve"> without a prescription</w:t>
      </w:r>
      <w:r>
        <w:t>.</w:t>
      </w:r>
    </w:p>
    <w:p w:rsidR="007C0099" w:rsidRPr="00970924" w:rsidRDefault="001C028D" w:rsidP="001C028D">
      <w:pPr>
        <w:pStyle w:val="Heading3"/>
      </w:pPr>
      <w:r w:rsidRPr="00970924">
        <w:t>Current Provider Sustainability</w:t>
      </w:r>
    </w:p>
    <w:p w:rsidR="001C028D" w:rsidRPr="00970924" w:rsidRDefault="001C028D" w:rsidP="001C028D">
      <w:r w:rsidRPr="00970924">
        <w:t>The evidence from other areas has been that introducing alternative providers has a number of effects upon current providers:</w:t>
      </w:r>
    </w:p>
    <w:p w:rsidR="001C028D" w:rsidRPr="00970924" w:rsidRDefault="001C028D" w:rsidP="001C028D">
      <w:pPr>
        <w:pStyle w:val="ListParagraph"/>
        <w:numPr>
          <w:ilvl w:val="0"/>
          <w:numId w:val="1"/>
        </w:numPr>
      </w:pPr>
      <w:r w:rsidRPr="00970924">
        <w:t>Raises their awareness of the need to deliver the service effectively</w:t>
      </w:r>
      <w:bookmarkStart w:id="5" w:name="_Ref358740859"/>
      <w:r w:rsidR="007D3433" w:rsidRPr="00970924">
        <w:rPr>
          <w:rStyle w:val="FootnoteReference"/>
        </w:rPr>
        <w:footnoteReference w:id="15"/>
      </w:r>
      <w:bookmarkEnd w:id="5"/>
    </w:p>
    <w:p w:rsidR="001C028D" w:rsidRPr="00970924" w:rsidRDefault="001C028D" w:rsidP="001C028D">
      <w:pPr>
        <w:pStyle w:val="ListParagraph"/>
        <w:numPr>
          <w:ilvl w:val="0"/>
          <w:numId w:val="1"/>
        </w:numPr>
      </w:pPr>
      <w:r w:rsidRPr="00970924">
        <w:t>Does not significantly impact upon their income or ability to provide clinic-based services</w:t>
      </w:r>
      <w:bookmarkStart w:id="6" w:name="_Ref358737626"/>
      <w:r w:rsidR="007D3433" w:rsidRPr="00970924">
        <w:rPr>
          <w:rStyle w:val="FootnoteReference"/>
        </w:rPr>
        <w:footnoteReference w:id="16"/>
      </w:r>
      <w:bookmarkEnd w:id="6"/>
    </w:p>
    <w:p w:rsidR="006C5134" w:rsidRPr="00970924" w:rsidRDefault="00922C60" w:rsidP="001C028D">
      <w:pPr>
        <w:pStyle w:val="ListParagraph"/>
        <w:numPr>
          <w:ilvl w:val="0"/>
          <w:numId w:val="1"/>
        </w:numPr>
      </w:pPr>
      <w:r>
        <w:t>Additional vaccination</w:t>
      </w:r>
      <w:r w:rsidR="00601BE4">
        <w:t>s</w:t>
      </w:r>
      <w:r>
        <w:t xml:space="preserve"> count towards the increased</w:t>
      </w:r>
      <w:r w:rsidR="006C5134" w:rsidRPr="00970924">
        <w:t xml:space="preserve"> QOF Thresholds (q.v.)</w:t>
      </w:r>
    </w:p>
    <w:p w:rsidR="001C7955" w:rsidRPr="00970924" w:rsidRDefault="007D3433" w:rsidP="001C7955">
      <w:r w:rsidRPr="00970924">
        <w:t>Whilst</w:t>
      </w:r>
      <w:r w:rsidR="001C7955" w:rsidRPr="00970924">
        <w:t xml:space="preserve"> there is </w:t>
      </w:r>
      <w:r w:rsidRPr="00970924">
        <w:t>no evidence of</w:t>
      </w:r>
      <w:r w:rsidR="001C7955" w:rsidRPr="00970924">
        <w:t xml:space="preserve"> a destabilising reduction in overal</w:t>
      </w:r>
      <w:r w:rsidRPr="00970924">
        <w:t>l income for those providers, there is evidence</w:t>
      </w:r>
      <w:r w:rsidR="004C56A2" w:rsidRPr="00970924">
        <w:rPr>
          <w:vertAlign w:val="superscript"/>
        </w:rPr>
        <w:fldChar w:fldCharType="begin"/>
      </w:r>
      <w:r w:rsidR="004C56A2" w:rsidRPr="00970924">
        <w:rPr>
          <w:vertAlign w:val="superscript"/>
        </w:rPr>
        <w:instrText xml:space="preserve"> NOTEREF _Ref358737626 \h  \* MERGEFORMAT </w:instrText>
      </w:r>
      <w:r w:rsidR="004C56A2" w:rsidRPr="00970924">
        <w:rPr>
          <w:vertAlign w:val="superscript"/>
        </w:rPr>
      </w:r>
      <w:r w:rsidR="004C56A2" w:rsidRPr="00970924">
        <w:rPr>
          <w:vertAlign w:val="superscript"/>
        </w:rPr>
        <w:fldChar w:fldCharType="separate"/>
      </w:r>
      <w:r w:rsidR="00283DDA">
        <w:rPr>
          <w:vertAlign w:val="superscript"/>
        </w:rPr>
        <w:t>15</w:t>
      </w:r>
      <w:r w:rsidR="004C56A2" w:rsidRPr="00970924">
        <w:rPr>
          <w:vertAlign w:val="superscript"/>
        </w:rPr>
        <w:fldChar w:fldCharType="end"/>
      </w:r>
      <w:r w:rsidRPr="00970924">
        <w:t xml:space="preserve"> that alternative providers can “fill in the gaps”</w:t>
      </w:r>
      <w:r w:rsidR="004C56A2" w:rsidRPr="00970924">
        <w:t xml:space="preserve"> </w:t>
      </w:r>
      <w:r w:rsidR="00041A40" w:rsidRPr="00970924">
        <w:t xml:space="preserve">where </w:t>
      </w:r>
      <w:r w:rsidR="00601BE4">
        <w:t xml:space="preserve">general </w:t>
      </w:r>
      <w:r w:rsidR="00041A40" w:rsidRPr="00970924">
        <w:t xml:space="preserve">practices are not able to meet their targets. </w:t>
      </w:r>
      <w:r w:rsidR="00601BE4">
        <w:t>General p</w:t>
      </w:r>
      <w:r w:rsidR="00041A40" w:rsidRPr="00970924">
        <w:t>ractices that have performed well in the past continue to perform well.</w:t>
      </w:r>
    </w:p>
    <w:p w:rsidR="00EF24AE" w:rsidRPr="00970924" w:rsidRDefault="00EF24AE" w:rsidP="00EF24AE">
      <w:pPr>
        <w:pStyle w:val="Heading3"/>
      </w:pPr>
      <w:r w:rsidRPr="00970924">
        <w:t>Patient Acceptability</w:t>
      </w:r>
    </w:p>
    <w:p w:rsidR="00EF24AE" w:rsidRPr="00970924" w:rsidRDefault="00041A40" w:rsidP="00EF24AE">
      <w:r w:rsidRPr="00970924">
        <w:t>The evidence is that patients strongly welcome the additional choice that alternative providers allow them</w:t>
      </w:r>
      <w:r w:rsidRPr="00970924">
        <w:rPr>
          <w:vertAlign w:val="superscript"/>
        </w:rPr>
        <w:fldChar w:fldCharType="begin"/>
      </w:r>
      <w:r w:rsidRPr="00970924">
        <w:rPr>
          <w:vertAlign w:val="superscript"/>
        </w:rPr>
        <w:instrText xml:space="preserve"> NOTEREF _Ref358739622 \h  \* MERGEFORMAT </w:instrText>
      </w:r>
      <w:r w:rsidRPr="00970924">
        <w:rPr>
          <w:vertAlign w:val="superscript"/>
        </w:rPr>
      </w:r>
      <w:r w:rsidRPr="00970924">
        <w:rPr>
          <w:vertAlign w:val="superscript"/>
        </w:rPr>
        <w:fldChar w:fldCharType="separate"/>
      </w:r>
      <w:r w:rsidR="00283DDA">
        <w:rPr>
          <w:vertAlign w:val="superscript"/>
        </w:rPr>
        <w:t>10</w:t>
      </w:r>
      <w:r w:rsidRPr="00970924">
        <w:rPr>
          <w:vertAlign w:val="superscript"/>
        </w:rPr>
        <w:fldChar w:fldCharType="end"/>
      </w:r>
      <w:proofErr w:type="gramStart"/>
      <w:r w:rsidRPr="00970924">
        <w:rPr>
          <w:vertAlign w:val="superscript"/>
        </w:rPr>
        <w:t>,</w:t>
      </w:r>
      <w:r w:rsidRPr="00970924">
        <w:rPr>
          <w:rStyle w:val="FootnoteReference"/>
        </w:rPr>
        <w:footnoteReference w:id="17"/>
      </w:r>
      <w:r w:rsidRPr="00970924">
        <w:rPr>
          <w:vertAlign w:val="superscript"/>
        </w:rPr>
        <w:t>,</w:t>
      </w:r>
      <w:r w:rsidRPr="00970924">
        <w:rPr>
          <w:rStyle w:val="FootnoteReference"/>
        </w:rPr>
        <w:footnoteReference w:id="18"/>
      </w:r>
      <w:r w:rsidRPr="00970924">
        <w:t>.</w:t>
      </w:r>
      <w:proofErr w:type="gramEnd"/>
      <w:r w:rsidRPr="00970924">
        <w:t xml:space="preserve"> </w:t>
      </w:r>
      <w:r w:rsidR="00E603A8" w:rsidRPr="00970924">
        <w:t>From the literature, patients consider pharmacists and pharmacies as suitable places for vaccination because they had perceptions that they were:</w:t>
      </w:r>
    </w:p>
    <w:p w:rsidR="00E603A8" w:rsidRPr="00970924" w:rsidRDefault="00E603A8" w:rsidP="00E603A8">
      <w:pPr>
        <w:pStyle w:val="ListParagraph"/>
        <w:numPr>
          <w:ilvl w:val="0"/>
          <w:numId w:val="4"/>
        </w:numPr>
      </w:pPr>
      <w:r w:rsidRPr="00970924">
        <w:lastRenderedPageBreak/>
        <w:t>Professional and appropriate;</w:t>
      </w:r>
    </w:p>
    <w:p w:rsidR="00E603A8" w:rsidRPr="00970924" w:rsidRDefault="00E603A8" w:rsidP="00E603A8">
      <w:pPr>
        <w:pStyle w:val="ListParagraph"/>
        <w:numPr>
          <w:ilvl w:val="0"/>
          <w:numId w:val="4"/>
        </w:numPr>
      </w:pPr>
      <w:r w:rsidRPr="00970924">
        <w:t>Able to deliver the vaccination well; and</w:t>
      </w:r>
    </w:p>
    <w:p w:rsidR="00E603A8" w:rsidRPr="00970924" w:rsidRDefault="00E603A8" w:rsidP="00E603A8">
      <w:pPr>
        <w:pStyle w:val="ListParagraph"/>
        <w:numPr>
          <w:ilvl w:val="0"/>
          <w:numId w:val="4"/>
        </w:numPr>
      </w:pPr>
      <w:r w:rsidRPr="00970924">
        <w:t>That the site was accessible both in terms of time and place, avoiding time off work.</w:t>
      </w:r>
    </w:p>
    <w:p w:rsidR="00E603A8" w:rsidRPr="00970924" w:rsidRDefault="00E603A8" w:rsidP="00E603A8">
      <w:r w:rsidRPr="00970924">
        <w:t>In a separate study</w:t>
      </w:r>
      <w:r w:rsidR="005F64E7" w:rsidRPr="00970924">
        <w:rPr>
          <w:vertAlign w:val="superscript"/>
        </w:rPr>
        <w:fldChar w:fldCharType="begin"/>
      </w:r>
      <w:r w:rsidR="005F64E7" w:rsidRPr="00970924">
        <w:rPr>
          <w:vertAlign w:val="superscript"/>
        </w:rPr>
        <w:instrText xml:space="preserve"> NOTEREF _Ref358740859 \h  \* MERGEFORMAT </w:instrText>
      </w:r>
      <w:r w:rsidR="005F64E7" w:rsidRPr="00970924">
        <w:rPr>
          <w:vertAlign w:val="superscript"/>
        </w:rPr>
      </w:r>
      <w:r w:rsidR="005F64E7" w:rsidRPr="00970924">
        <w:rPr>
          <w:vertAlign w:val="superscript"/>
        </w:rPr>
        <w:fldChar w:fldCharType="separate"/>
      </w:r>
      <w:r w:rsidR="00283DDA">
        <w:rPr>
          <w:vertAlign w:val="superscript"/>
        </w:rPr>
        <w:t>14</w:t>
      </w:r>
      <w:r w:rsidR="005F64E7" w:rsidRPr="00970924">
        <w:rPr>
          <w:vertAlign w:val="superscript"/>
        </w:rPr>
        <w:fldChar w:fldCharType="end"/>
      </w:r>
      <w:r w:rsidR="005F64E7" w:rsidRPr="00970924">
        <w:t>, where over 2000 patients responded to a post-service survey administered by post, 99.6% rated the service OK or Excellent, 92.8% indicated that they found the service more accessible than the traditional service and 98.4% said that they would use community pharmacy again. The key qualitative findings where:</w:t>
      </w:r>
    </w:p>
    <w:p w:rsidR="005F64E7" w:rsidRPr="00970924" w:rsidRDefault="005F64E7" w:rsidP="005F64E7">
      <w:pPr>
        <w:pStyle w:val="ListParagraph"/>
        <w:numPr>
          <w:ilvl w:val="0"/>
          <w:numId w:val="5"/>
        </w:numPr>
      </w:pPr>
      <w:r w:rsidRPr="00970924">
        <w:t>A strong perception that a “clinic” setting increased the risk of cross-infection;</w:t>
      </w:r>
    </w:p>
    <w:p w:rsidR="005F64E7" w:rsidRPr="00970924" w:rsidRDefault="005F64E7" w:rsidP="005F64E7">
      <w:pPr>
        <w:pStyle w:val="ListParagraph"/>
        <w:numPr>
          <w:ilvl w:val="0"/>
          <w:numId w:val="5"/>
        </w:numPr>
      </w:pPr>
      <w:r w:rsidRPr="00970924">
        <w:t>Transport and mobility issues were a barrier to vaccination elsewhere; and</w:t>
      </w:r>
    </w:p>
    <w:p w:rsidR="005F64E7" w:rsidRPr="00970924" w:rsidRDefault="005F64E7" w:rsidP="005F64E7">
      <w:pPr>
        <w:pStyle w:val="ListParagraph"/>
        <w:numPr>
          <w:ilvl w:val="0"/>
          <w:numId w:val="5"/>
        </w:numPr>
      </w:pPr>
      <w:r w:rsidRPr="00970924">
        <w:t>Work commitments for those under 65 were a significant barrier</w:t>
      </w:r>
      <w:r w:rsidR="00704310" w:rsidRPr="00970924">
        <w:t>.</w:t>
      </w:r>
    </w:p>
    <w:p w:rsidR="00704310" w:rsidRPr="00970924" w:rsidRDefault="00704310" w:rsidP="00704310">
      <w:r w:rsidRPr="00970924">
        <w:t>It is unlikely that one route of public health service delivery will meet the needs of a diverse population and so plurality of providers at different times and locations will maximise outcomes and benefits for patients. Community pharmacy as a p</w:t>
      </w:r>
      <w:r w:rsidR="00E060F6" w:rsidRPr="00970924">
        <w:t>rovider meets these unmet needs in the context of a plurality of providers where there currently exists a gap in provision and success at reaching these cohorts.</w:t>
      </w:r>
    </w:p>
    <w:p w:rsidR="001C028D" w:rsidRPr="00970924" w:rsidRDefault="001C028D" w:rsidP="001C028D">
      <w:pPr>
        <w:pStyle w:val="Heading2"/>
      </w:pPr>
      <w:r w:rsidRPr="00970924">
        <w:t>Achieving Financial Parity</w:t>
      </w:r>
    </w:p>
    <w:p w:rsidR="001C028D" w:rsidRPr="00970924" w:rsidRDefault="001C028D" w:rsidP="001C028D">
      <w:r w:rsidRPr="00970924">
        <w:t xml:space="preserve">Although there is a clear need for change to meet the targets, this will have to be contained within a cost envelope that produces no additional unit cost per vaccination provided. </w:t>
      </w:r>
      <w:r w:rsidR="005C7089">
        <w:t xml:space="preserve">For the 2014/15 season, </w:t>
      </w:r>
      <w:r w:rsidR="005C7089" w:rsidRPr="005C7089">
        <w:t>NHS England has developed a new national specification for delivering an influenza and pneumococcal immunisation scheme by GMS &amp; PMS providers.</w:t>
      </w:r>
      <w:r w:rsidR="005C7089">
        <w:t xml:space="preserve"> The enhanced service </w:t>
      </w:r>
      <w:r w:rsidR="005C7089" w:rsidRPr="005C7089">
        <w:t>includes a new national price agreed with the General Practitioners Committee of the BMA (£7.64 per dose).</w:t>
      </w:r>
      <w:r w:rsidR="000939D0" w:rsidRPr="00181835">
        <w:rPr>
          <w:vertAlign w:val="superscript"/>
        </w:rPr>
        <w:fldChar w:fldCharType="begin"/>
      </w:r>
      <w:r w:rsidR="000939D0" w:rsidRPr="00181835">
        <w:rPr>
          <w:vertAlign w:val="superscript"/>
        </w:rPr>
        <w:instrText xml:space="preserve"> NOTEREF _Ref390178871 \h </w:instrText>
      </w:r>
      <w:r w:rsidR="000939D0">
        <w:rPr>
          <w:vertAlign w:val="superscript"/>
        </w:rPr>
        <w:instrText xml:space="preserve"> \* MERGEFORMAT </w:instrText>
      </w:r>
      <w:r w:rsidR="000939D0" w:rsidRPr="00181835">
        <w:rPr>
          <w:vertAlign w:val="superscript"/>
        </w:rPr>
      </w:r>
      <w:r w:rsidR="000939D0" w:rsidRPr="00181835">
        <w:rPr>
          <w:vertAlign w:val="superscript"/>
        </w:rPr>
        <w:fldChar w:fldCharType="separate"/>
      </w:r>
      <w:r w:rsidR="000B6C87">
        <w:rPr>
          <w:b/>
          <w:bCs/>
          <w:vertAlign w:val="superscript"/>
          <w:lang w:val="en-US"/>
        </w:rPr>
        <w:fldChar w:fldCharType="begin"/>
      </w:r>
      <w:r w:rsidR="000B6C87">
        <w:rPr>
          <w:b/>
          <w:bCs/>
          <w:vertAlign w:val="superscript"/>
          <w:lang w:val="en-US"/>
        </w:rPr>
        <w:instrText xml:space="preserve"> NOTEREF _Ref390274844 </w:instrText>
      </w:r>
      <w:r w:rsidR="000B6C87">
        <w:rPr>
          <w:b/>
          <w:bCs/>
          <w:vertAlign w:val="superscript"/>
          <w:lang w:val="en-US"/>
        </w:rPr>
        <w:fldChar w:fldCharType="separate"/>
      </w:r>
      <w:r w:rsidR="000B6C87">
        <w:rPr>
          <w:b/>
          <w:bCs/>
          <w:vertAlign w:val="superscript"/>
          <w:lang w:val="en-US"/>
        </w:rPr>
        <w:t>5</w:t>
      </w:r>
      <w:r w:rsidR="000B6C87">
        <w:rPr>
          <w:b/>
          <w:bCs/>
          <w:vertAlign w:val="superscript"/>
          <w:lang w:val="en-US"/>
        </w:rPr>
        <w:fldChar w:fldCharType="end"/>
      </w:r>
      <w:r w:rsidR="000939D0" w:rsidRPr="00181835">
        <w:rPr>
          <w:vertAlign w:val="superscript"/>
        </w:rPr>
        <w:fldChar w:fldCharType="end"/>
      </w:r>
      <w:r w:rsidR="005C7089">
        <w:t xml:space="preserve"> </w:t>
      </w:r>
      <w:r w:rsidR="000939D0">
        <w:t xml:space="preserve">In 2013 </w:t>
      </w:r>
      <w:r w:rsidR="000939D0" w:rsidRPr="000939D0">
        <w:t>NHS England and PSNC agree</w:t>
      </w:r>
      <w:r w:rsidR="000939D0">
        <w:t>d</w:t>
      </w:r>
      <w:r w:rsidR="000939D0" w:rsidRPr="000939D0">
        <w:t xml:space="preserve"> that community pharmacies should receive the same vaccination fee as GP practices for administration to at risk groups with reimbu</w:t>
      </w:r>
      <w:r w:rsidR="000939D0">
        <w:t>rsement of vaccine costs + VAT.</w:t>
      </w:r>
      <w:r w:rsidR="000939D0">
        <w:rPr>
          <w:rStyle w:val="FootnoteReference"/>
        </w:rPr>
        <w:footnoteReference w:id="19"/>
      </w:r>
    </w:p>
    <w:p w:rsidR="00E060F6" w:rsidRPr="00970924" w:rsidRDefault="00E060F6" w:rsidP="001C028D">
      <w:r w:rsidRPr="00970924">
        <w:t xml:space="preserve">The </w:t>
      </w:r>
      <w:r w:rsidR="000939D0">
        <w:t>‘</w:t>
      </w:r>
      <w:r w:rsidRPr="00970924">
        <w:t>additional</w:t>
      </w:r>
      <w:r w:rsidR="000939D0">
        <w:t>’</w:t>
      </w:r>
      <w:r w:rsidRPr="00970924">
        <w:t xml:space="preserve"> cost of VAT through alterna</w:t>
      </w:r>
      <w:r w:rsidR="000B6C87">
        <w:t>tive providers is not an issue because</w:t>
      </w:r>
      <w:r w:rsidRPr="00970924">
        <w:t xml:space="preserve"> the current payments to GP</w:t>
      </w:r>
      <w:r w:rsidR="006853B0">
        <w:t>s</w:t>
      </w:r>
      <w:r w:rsidRPr="00970924">
        <w:t xml:space="preserve"> include a payment </w:t>
      </w:r>
      <w:r w:rsidR="00376B16">
        <w:t xml:space="preserve">which recompense them for </w:t>
      </w:r>
      <w:r w:rsidRPr="00970924">
        <w:t xml:space="preserve">the VAT </w:t>
      </w:r>
      <w:r w:rsidR="00376B16">
        <w:t xml:space="preserve">they will have been charged when purchasing </w:t>
      </w:r>
      <w:r w:rsidR="00E25078" w:rsidRPr="00970924">
        <w:t>the vaccine</w:t>
      </w:r>
      <w:r w:rsidRPr="00970924">
        <w:t>.</w:t>
      </w:r>
    </w:p>
    <w:p w:rsidR="00E060F6" w:rsidRPr="00970924" w:rsidRDefault="00E25078" w:rsidP="001C028D">
      <w:r w:rsidRPr="00970924">
        <w:t>[</w:t>
      </w:r>
      <w:r w:rsidR="00E060F6" w:rsidRPr="00970924">
        <w:t>The additional dispensing fee, in the Statement of Financial Entitlements Section 23.2(b) and, in particular, Section 23.3(b) and Part 3 of Annex G, should also be allowable to other dispensing contractors. However, as that is in a range of £2.29 to £2.04, this would be a matter for discussion.</w:t>
      </w:r>
      <w:r w:rsidRPr="00970924">
        <w:t>]</w:t>
      </w:r>
    </w:p>
    <w:p w:rsidR="006128E5" w:rsidRPr="00970924" w:rsidRDefault="001C028D" w:rsidP="00AA527D">
      <w:proofErr w:type="gramStart"/>
      <w:r w:rsidRPr="00970924">
        <w:t>[Where available, central purchasing of vaccines for community pharmacies through a sub-contracting body can provide savings on vaccine costs together with a management framework which can improve delivery performance.</w:t>
      </w:r>
      <w:proofErr w:type="gramEnd"/>
      <w:r w:rsidRPr="00970924">
        <w:t xml:space="preserve"> If you need details of how we did it in the past, please contact Pinnacle Health directly]</w:t>
      </w:r>
    </w:p>
    <w:p w:rsidR="00AA527D" w:rsidRPr="00970924" w:rsidRDefault="000B6C87" w:rsidP="006C5134">
      <w:pPr>
        <w:pStyle w:val="Heading2"/>
      </w:pPr>
      <w:r>
        <w:lastRenderedPageBreak/>
        <w:t xml:space="preserve">Assuring </w:t>
      </w:r>
      <w:proofErr w:type="spellStart"/>
      <w:r>
        <w:t>ImmF</w:t>
      </w:r>
      <w:r w:rsidR="006C5134" w:rsidRPr="00970924">
        <w:t>orm</w:t>
      </w:r>
      <w:proofErr w:type="spellEnd"/>
    </w:p>
    <w:p w:rsidR="00233C33" w:rsidRPr="00970924" w:rsidRDefault="006C5134" w:rsidP="00AA527D">
      <w:r w:rsidRPr="00970924">
        <w:t xml:space="preserve">The measurement of success against target is solely through the information collected from GP records using the </w:t>
      </w:r>
      <w:proofErr w:type="spellStart"/>
      <w:r w:rsidRPr="00970924">
        <w:t>MIQuest</w:t>
      </w:r>
      <w:proofErr w:type="spellEnd"/>
      <w:r w:rsidRPr="00970924">
        <w:t xml:space="preserve"> software. It is vital, therefore, that the information about vaccination is returned to GP practices in a timely manner both to prevent the risk of “double jabs”</w:t>
      </w:r>
      <w:r w:rsidR="00FD04AC" w:rsidRPr="00970924">
        <w:t xml:space="preserve"> (although there is no evidence that this is a problem)</w:t>
      </w:r>
      <w:r w:rsidRPr="00970924">
        <w:t xml:space="preserve"> and to ensure that all </w:t>
      </w:r>
      <w:r w:rsidR="00233C33" w:rsidRPr="00970924">
        <w:t>vaccines provided are recorded. To achieve this, the details required by the practice should be minimised to reduce keying.</w:t>
      </w:r>
    </w:p>
    <w:p w:rsidR="00233C33" w:rsidRPr="00970924" w:rsidRDefault="006C5134" w:rsidP="00AA527D">
      <w:r w:rsidRPr="00970924">
        <w:t xml:space="preserve">This </w:t>
      </w:r>
      <w:r w:rsidR="00233C33" w:rsidRPr="00970924">
        <w:t xml:space="preserve">also </w:t>
      </w:r>
      <w:r w:rsidRPr="00970924">
        <w:t>gives the opportunity for those patients who elect to have a ‘flu vaccination at their own expense, for whatever reason, to be counted towards the NHS targets</w:t>
      </w:r>
      <w:bookmarkStart w:id="7" w:name="_Ref390056254"/>
      <w:r w:rsidRPr="00970924">
        <w:rPr>
          <w:rStyle w:val="FootnoteReference"/>
        </w:rPr>
        <w:footnoteReference w:id="20"/>
      </w:r>
      <w:bookmarkEnd w:id="7"/>
      <w:r w:rsidR="00FD04AC" w:rsidRPr="00970924">
        <w:t>, where eligible</w:t>
      </w:r>
      <w:r w:rsidRPr="00970924">
        <w:t>.</w:t>
      </w:r>
    </w:p>
    <w:p w:rsidR="006C5134" w:rsidRDefault="006C5134" w:rsidP="00AA527D">
      <w:r w:rsidRPr="00970924">
        <w:t>Records of all vaccinations done at alternative providers that are entered on the GP systems will count towards achievement of the practice’s CHD00</w:t>
      </w:r>
      <w:r w:rsidR="000939D0">
        <w:t>7</w:t>
      </w:r>
      <w:r w:rsidRPr="00970924">
        <w:t>, STIA00</w:t>
      </w:r>
      <w:r w:rsidR="000939D0">
        <w:t>9</w:t>
      </w:r>
      <w:r w:rsidRPr="00970924">
        <w:t>, DM01</w:t>
      </w:r>
      <w:r w:rsidR="00CD473F">
        <w:t>8</w:t>
      </w:r>
      <w:r w:rsidRPr="00970924">
        <w:t xml:space="preserve"> and COPD00</w:t>
      </w:r>
      <w:r w:rsidR="00CD473F">
        <w:t>7</w:t>
      </w:r>
      <w:r w:rsidR="00181835">
        <w:t xml:space="preserve"> QOF indicators for 2014</w:t>
      </w:r>
      <w:r w:rsidRPr="00970924">
        <w:t>/1</w:t>
      </w:r>
      <w:r w:rsidR="00181835">
        <w:t>5</w:t>
      </w:r>
      <w:r w:rsidR="00233C33" w:rsidRPr="00970924">
        <w:rPr>
          <w:rStyle w:val="FootnoteReference"/>
        </w:rPr>
        <w:footnoteReference w:id="21"/>
      </w:r>
      <w:r w:rsidRPr="00970924">
        <w:t>.</w:t>
      </w:r>
    </w:p>
    <w:p w:rsidR="003A3728" w:rsidRDefault="003A3728" w:rsidP="003A3728">
      <w:pPr>
        <w:pStyle w:val="Heading2"/>
      </w:pPr>
      <w:r>
        <w:t>Mobilisation Planning</w:t>
      </w:r>
    </w:p>
    <w:p w:rsidR="003A3728" w:rsidRDefault="003A3728" w:rsidP="00AA527D">
      <w:r>
        <w:t>A small number of steps would need to be taken to fully utilise community pharmacy in delivering quantities of ‘flu vaccination that would make a significant difference in achieving this year’s targets.</w:t>
      </w:r>
    </w:p>
    <w:p w:rsidR="003A3728" w:rsidRDefault="003A3728" w:rsidP="003A3728">
      <w:pPr>
        <w:pStyle w:val="Heading3"/>
      </w:pPr>
      <w:r>
        <w:t>Public Health Campaign</w:t>
      </w:r>
    </w:p>
    <w:p w:rsidR="003A3728" w:rsidRDefault="003A3728" w:rsidP="003A3728">
      <w:r>
        <w:t xml:space="preserve">Consideration of a suitable Public Health campaign through community pharmacy should be done early in the planning process to ensure </w:t>
      </w:r>
      <w:r w:rsidR="004E6557">
        <w:t>that maximum impact is achieved for the whole health economy in the local area.</w:t>
      </w:r>
    </w:p>
    <w:p w:rsidR="00F36441" w:rsidRDefault="00F36441" w:rsidP="00F36441">
      <w:pPr>
        <w:pStyle w:val="Heading3"/>
      </w:pPr>
      <w:r>
        <w:t>Financial Budgeting and Performance Controls</w:t>
      </w:r>
    </w:p>
    <w:p w:rsidR="0043636E" w:rsidRDefault="00F36441" w:rsidP="0043636E">
      <w:r>
        <w:t>As there would be parity between fee structures for differing providers, there is no financial reason to restrict cohorts to particular providers</w:t>
      </w:r>
      <w:r w:rsidR="0043636E">
        <w:t xml:space="preserve"> and there would be no additional costs to the commissioner other than those sought and budgeted for by </w:t>
      </w:r>
      <w:r w:rsidR="000939D0">
        <w:t xml:space="preserve">an </w:t>
      </w:r>
      <w:r w:rsidR="0043636E">
        <w:t>increase in vaccination activity towards the targets of 75% for all cohorts.</w:t>
      </w:r>
    </w:p>
    <w:p w:rsidR="00F36441" w:rsidRDefault="000B6C87" w:rsidP="00F36441">
      <w:r>
        <w:t xml:space="preserve">The regular returns via </w:t>
      </w:r>
      <w:proofErr w:type="spellStart"/>
      <w:r>
        <w:t>ImmF</w:t>
      </w:r>
      <w:r w:rsidR="00F36441">
        <w:t>orm</w:t>
      </w:r>
      <w:proofErr w:type="spellEnd"/>
      <w:r w:rsidR="00F36441">
        <w:t xml:space="preserve"> provide a management tool to calculate the ongoing cost of service delivery but may be tardy for commissioners needs, lagging two months behind delivery. The regular return of financial claims can provide a timelier asset in judging achievement of target levels of vaccination, although it does not provide the differentials between patient cohorts. [As the [LA/CCG/LPC] currently licences PharmOutcomes, there would be no additional cost for the commissioner to utilise the platform to capture the data</w:t>
      </w:r>
      <w:r w:rsidR="006853B0">
        <w:t xml:space="preserve"> </w:t>
      </w:r>
      <w:r w:rsidR="0043636E">
        <w:t>[, given suitable permissions being granted]</w:t>
      </w:r>
      <w:r w:rsidR="00F36441">
        <w:t>. This will have the additional advantage that pharmacies can return the vaccination details directly to the GP via secure email or print out a notification form to send directly to the practice.]</w:t>
      </w:r>
    </w:p>
    <w:p w:rsidR="00F36441" w:rsidRDefault="00F36441" w:rsidP="00F36441">
      <w:r>
        <w:t xml:space="preserve">Post-payment verification can be </w:t>
      </w:r>
      <w:r w:rsidR="006853B0">
        <w:t xml:space="preserve">undertaken </w:t>
      </w:r>
      <w:r>
        <w:t>through the evidence of returns to GPs and anonymised records in the pharmacy.</w:t>
      </w:r>
    </w:p>
    <w:p w:rsidR="003A3728" w:rsidRDefault="003A3728" w:rsidP="003A3728">
      <w:pPr>
        <w:pStyle w:val="Heading3"/>
      </w:pPr>
      <w:r>
        <w:t>Legal Frameworks</w:t>
      </w:r>
    </w:p>
    <w:p w:rsidR="003A3728" w:rsidRDefault="003A3728" w:rsidP="003A3728">
      <w:r>
        <w:t xml:space="preserve">Arrangements for a Patient Group Direction or a Patient Specific Direction </w:t>
      </w:r>
      <w:r w:rsidR="00CD473F">
        <w:t>were</w:t>
      </w:r>
      <w:r>
        <w:t xml:space="preserve"> published</w:t>
      </w:r>
      <w:r w:rsidR="00CD473F">
        <w:t xml:space="preserve"> in 2013</w:t>
      </w:r>
      <w:r>
        <w:rPr>
          <w:rStyle w:val="FootnoteReference"/>
        </w:rPr>
        <w:footnoteReference w:id="22"/>
      </w:r>
      <w:r>
        <w:t xml:space="preserve"> and a strongly highlighted statement in that letter is that “under no circumstances should issues </w:t>
      </w:r>
      <w:r>
        <w:lastRenderedPageBreak/>
        <w:t>related to PGDs and their authorisation stand in the way of patients receiving their immunisations. Where PGDs have expired or are not current, alternatives such as a Patient Specific Direction should be used.”</w:t>
      </w:r>
    </w:p>
    <w:p w:rsidR="004E6557" w:rsidRDefault="004E6557" w:rsidP="004E6557">
      <w:r>
        <w:t>[PGDs written by former Primary Care Trusts (PCTs) and still in date and relevant for immunisation and vaccination schedules (i.e. not part of the recent changes to the schedule) can continue to be used until their expiry date.</w:t>
      </w:r>
    </w:p>
    <w:p w:rsidR="004E6557" w:rsidRDefault="004E6557" w:rsidP="004E6557">
      <w:r>
        <w:t>PGDs can be developed by a CCG or CSU</w:t>
      </w:r>
      <w:r w:rsidR="006853B0">
        <w:t xml:space="preserve"> </w:t>
      </w:r>
      <w:r>
        <w:t>with pharmaceutical and medical expertise</w:t>
      </w:r>
      <w:r w:rsidR="000A6B23">
        <w:t xml:space="preserve"> (however a CSU cannot authorise a PGD for use)</w:t>
      </w:r>
      <w:r>
        <w:t>. A senior doctor and senior pharmacist, who have been involved in the development of the PGD will sign off the PGD as being clinically safe to use and accurate. This is a requirement of both the legislation and good practice.</w:t>
      </w:r>
      <w:r w:rsidR="00372510">
        <w:t xml:space="preserve"> Examples of PGDs us</w:t>
      </w:r>
      <w:r w:rsidR="00834A68">
        <w:t>ed by Area Teams during the 2014/15</w:t>
      </w:r>
      <w:r w:rsidR="00372510">
        <w:t xml:space="preserve"> season are </w:t>
      </w:r>
      <w:r w:rsidR="00181835">
        <w:t>available</w:t>
      </w:r>
      <w:r w:rsidR="00372510">
        <w:t xml:space="preserve"> </w:t>
      </w:r>
      <w:hyperlink r:id="rId14" w:history="1">
        <w:r w:rsidR="00181835">
          <w:rPr>
            <w:rStyle w:val="Hyperlink"/>
          </w:rPr>
          <w:t>online from the PSNC website</w:t>
        </w:r>
      </w:hyperlink>
      <w:r w:rsidR="00372510">
        <w:t>.</w:t>
      </w:r>
    </w:p>
    <w:p w:rsidR="003A3728" w:rsidRDefault="004E6557" w:rsidP="004E6557">
      <w:r>
        <w:t>The LPC would recommend the use of a Competency Framework to ascertain whether a pharmacist is suitable skilled to meet the needs of a PGD</w:t>
      </w:r>
      <w:r w:rsidR="00CD473F">
        <w:t>; NICE has published suitable competency frameworks</w:t>
      </w:r>
      <w:r>
        <w:t>.</w:t>
      </w:r>
      <w:r w:rsidR="00CD473F">
        <w:rPr>
          <w:rStyle w:val="FootnoteReference"/>
        </w:rPr>
        <w:footnoteReference w:id="23"/>
      </w:r>
      <w:r>
        <w:t xml:space="preserve"> </w:t>
      </w:r>
      <w:r w:rsidR="00181835">
        <w:t xml:space="preserve">For those pharmacists who are able to demonstrate ongoing competency, a suitable declaration endorsed by the Royal Pharmaceutical Society is available </w:t>
      </w:r>
      <w:hyperlink r:id="rId15" w:history="1">
        <w:r w:rsidR="00181835" w:rsidRPr="00181835">
          <w:rPr>
            <w:rStyle w:val="Hyperlink"/>
          </w:rPr>
          <w:t>online from the PSNC website</w:t>
        </w:r>
      </w:hyperlink>
      <w:r w:rsidR="00181835">
        <w:t>.</w:t>
      </w:r>
    </w:p>
    <w:p w:rsidR="003A3728" w:rsidRDefault="003A3728" w:rsidP="003A3728">
      <w:pPr>
        <w:pStyle w:val="Heading3"/>
      </w:pPr>
      <w:r>
        <w:t>Service Specification</w:t>
      </w:r>
    </w:p>
    <w:p w:rsidR="004E6557" w:rsidRDefault="003A3728" w:rsidP="00AA527D">
      <w:r>
        <w:t xml:space="preserve">The </w:t>
      </w:r>
      <w:r w:rsidRPr="003A3728">
        <w:t xml:space="preserve">Seasonal Flu service specification </w:t>
      </w:r>
      <w:r>
        <w:t>(</w:t>
      </w:r>
      <w:r w:rsidRPr="003A3728">
        <w:t>No 13</w:t>
      </w:r>
      <w:r>
        <w:t>)</w:t>
      </w:r>
      <w:r w:rsidRPr="003A3728">
        <w:t xml:space="preserve"> </w:t>
      </w:r>
      <w:r>
        <w:t xml:space="preserve">has been </w:t>
      </w:r>
      <w:r w:rsidRPr="003A3728">
        <w:t>published by NHS England and Public Health England</w:t>
      </w:r>
      <w:r>
        <w:t xml:space="preserve"> and </w:t>
      </w:r>
      <w:r w:rsidR="00372510">
        <w:t xml:space="preserve">NHS England has developed a </w:t>
      </w:r>
      <w:r w:rsidR="00372510" w:rsidRPr="005C7089">
        <w:t>new national specification for delivering an influenza and  immunisation s</w:t>
      </w:r>
      <w:r w:rsidR="00372510">
        <w:t>ervice which may also be used for commissioning a service from community pharmacies</w:t>
      </w:r>
      <w:r>
        <w:t>.</w:t>
      </w:r>
      <w:r w:rsidR="000B6C87">
        <w:rPr>
          <w:vertAlign w:val="superscript"/>
        </w:rPr>
        <w:fldChar w:fldCharType="begin"/>
      </w:r>
      <w:r w:rsidR="000B6C87">
        <w:rPr>
          <w:vertAlign w:val="superscript"/>
        </w:rPr>
        <w:instrText xml:space="preserve"> NOTEREF _Ref390274844 </w:instrText>
      </w:r>
      <w:r w:rsidR="000B6C87">
        <w:rPr>
          <w:vertAlign w:val="superscript"/>
        </w:rPr>
        <w:fldChar w:fldCharType="separate"/>
      </w:r>
      <w:r w:rsidR="000B6C87">
        <w:rPr>
          <w:vertAlign w:val="superscript"/>
        </w:rPr>
        <w:t>5</w:t>
      </w:r>
      <w:r w:rsidR="000B6C87">
        <w:rPr>
          <w:vertAlign w:val="superscript"/>
        </w:rPr>
        <w:fldChar w:fldCharType="end"/>
      </w:r>
      <w:r>
        <w:t xml:space="preserve"> However, evidence has shown that </w:t>
      </w:r>
      <w:r w:rsidR="004E6557">
        <w:t>pharmacies respond well when a number of other items are in place:</w:t>
      </w:r>
    </w:p>
    <w:p w:rsidR="004E6557" w:rsidRDefault="004E6557" w:rsidP="004E6557">
      <w:pPr>
        <w:pStyle w:val="ListParagraph"/>
        <w:numPr>
          <w:ilvl w:val="0"/>
          <w:numId w:val="7"/>
        </w:numPr>
      </w:pPr>
      <w:r>
        <w:t>Encouragement to utilise the information at their disposal to actively engage patients</w:t>
      </w:r>
      <w:r w:rsidR="000A6B23">
        <w:t>,</w:t>
      </w:r>
      <w:r>
        <w:br/>
        <w:t xml:space="preserve">e.g. </w:t>
      </w:r>
      <w:r w:rsidR="000A6B23">
        <w:t>i</w:t>
      </w:r>
      <w:r>
        <w:t>dentifying pregnancy through exemption category, respiratory disease through prescription items and Princip</w:t>
      </w:r>
      <w:r w:rsidR="00372510">
        <w:t>a</w:t>
      </w:r>
      <w:r>
        <w:t>l Carer status when collecting items for others; and</w:t>
      </w:r>
    </w:p>
    <w:p w:rsidR="004E6557" w:rsidRDefault="004E6557" w:rsidP="004E6557">
      <w:pPr>
        <w:pStyle w:val="ListParagraph"/>
        <w:numPr>
          <w:ilvl w:val="0"/>
          <w:numId w:val="7"/>
        </w:numPr>
      </w:pPr>
      <w:r>
        <w:t xml:space="preserve">Regular “league tables” of performance encourage </w:t>
      </w:r>
      <w:r w:rsidR="000A6B23">
        <w:t xml:space="preserve">constructive </w:t>
      </w:r>
      <w:r>
        <w:t>collaboration and competition.</w:t>
      </w:r>
    </w:p>
    <w:p w:rsidR="002858E6" w:rsidRDefault="002858E6" w:rsidP="004E6557">
      <w:r>
        <w:t>The cohorts should also be the same as for other providers. Differential commissioning could lead to a reduced achievement of target as:</w:t>
      </w:r>
    </w:p>
    <w:p w:rsidR="002858E6" w:rsidRDefault="002858E6" w:rsidP="002858E6">
      <w:pPr>
        <w:pStyle w:val="ListParagraph"/>
        <w:numPr>
          <w:ilvl w:val="0"/>
          <w:numId w:val="9"/>
        </w:numPr>
      </w:pPr>
      <w:r>
        <w:t>Not all current cohort members utilise the current providers, for reasons cited in the literature such as perceptions of cross-infection in clinic settings;</w:t>
      </w:r>
    </w:p>
    <w:p w:rsidR="002858E6" w:rsidRDefault="002858E6" w:rsidP="002858E6">
      <w:pPr>
        <w:pStyle w:val="ListParagraph"/>
        <w:numPr>
          <w:ilvl w:val="0"/>
          <w:numId w:val="9"/>
        </w:numPr>
      </w:pPr>
      <w:r>
        <w:t>The service should provide equal access to all without differentiation to reduce the possibility of patients being lost to the system; and</w:t>
      </w:r>
    </w:p>
    <w:p w:rsidR="002858E6" w:rsidRDefault="002858E6" w:rsidP="002858E6">
      <w:pPr>
        <w:pStyle w:val="ListParagraph"/>
        <w:numPr>
          <w:ilvl w:val="0"/>
          <w:numId w:val="9"/>
        </w:numPr>
      </w:pPr>
      <w:r>
        <w:t>By being a key focus for pharmacy teams across all cohorts, the service can maximise the capacity and capability of the community pharmacy network to achieve the targets set.</w:t>
      </w:r>
    </w:p>
    <w:p w:rsidR="00535497" w:rsidRDefault="00535497" w:rsidP="00AA527D"/>
    <w:p w:rsidR="00FC66C7" w:rsidRPr="00970924" w:rsidRDefault="00FC66C7" w:rsidP="00AA527D">
      <w:pPr>
        <w:sectPr w:rsidR="00FC66C7" w:rsidRPr="00970924">
          <w:pgSz w:w="11906" w:h="16838"/>
          <w:pgMar w:top="1440" w:right="1440" w:bottom="1440" w:left="1440" w:header="720" w:footer="720" w:gutter="0"/>
          <w:cols w:space="720"/>
          <w:docGrid w:linePitch="360"/>
        </w:sectPr>
      </w:pPr>
    </w:p>
    <w:p w:rsidR="00E60D59" w:rsidRPr="00970924" w:rsidRDefault="00E60D59" w:rsidP="00E60D59">
      <w:pPr>
        <w:pStyle w:val="Heading1"/>
      </w:pPr>
      <w:r w:rsidRPr="00970924">
        <w:lastRenderedPageBreak/>
        <w:t xml:space="preserve">Appendix </w:t>
      </w:r>
      <w:r w:rsidR="00B63029">
        <w:t xml:space="preserve">1 </w:t>
      </w:r>
      <w:r w:rsidRPr="00970924">
        <w:t>– Performance by PCT and Targets for 2013/14</w:t>
      </w:r>
    </w:p>
    <w:p w:rsidR="00E60D59" w:rsidRPr="00970924" w:rsidRDefault="00E60D59" w:rsidP="00E60D59">
      <w:pPr>
        <w:pStyle w:val="Heading3"/>
      </w:pPr>
      <w:r w:rsidRPr="00970924">
        <w:t>Over 65</w:t>
      </w:r>
    </w:p>
    <w:tbl>
      <w:tblPr>
        <w:tblStyle w:val="LightShading"/>
        <w:tblW w:w="9076" w:type="dxa"/>
        <w:tblLook w:val="04A0" w:firstRow="1" w:lastRow="0" w:firstColumn="1" w:lastColumn="0" w:noHBand="0" w:noVBand="1"/>
      </w:tblPr>
      <w:tblGrid>
        <w:gridCol w:w="2900"/>
        <w:gridCol w:w="772"/>
        <w:gridCol w:w="772"/>
        <w:gridCol w:w="772"/>
        <w:gridCol w:w="772"/>
        <w:gridCol w:w="772"/>
        <w:gridCol w:w="772"/>
        <w:gridCol w:w="772"/>
        <w:gridCol w:w="772"/>
      </w:tblGrid>
      <w:tr w:rsidR="00E60D59" w:rsidRPr="00970924" w:rsidTr="00E60D59">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hideMark/>
          </w:tcPr>
          <w:p w:rsidR="00E60D59" w:rsidRPr="00970924" w:rsidRDefault="00E60D59" w:rsidP="00E60D59">
            <w:pPr>
              <w:rPr>
                <w:rFonts w:ascii="Calibri" w:eastAsia="Times New Roman" w:hAnsi="Calibri" w:cs="Arial"/>
                <w:color w:val="000000"/>
                <w:sz w:val="16"/>
                <w:szCs w:val="16"/>
                <w:lang w:eastAsia="en-GB"/>
              </w:rPr>
            </w:pPr>
          </w:p>
        </w:tc>
        <w:tc>
          <w:tcPr>
            <w:tcW w:w="772" w:type="dxa"/>
            <w:noWrap/>
            <w:hideMark/>
          </w:tcPr>
          <w:p w:rsidR="00E60D59" w:rsidRPr="00970924" w:rsidRDefault="00E60D59" w:rsidP="00E60D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br/>
              <w:t>2006/07</w:t>
            </w:r>
            <w:r w:rsidRPr="00970924">
              <w:rPr>
                <w:rFonts w:ascii="Calibri" w:eastAsia="Times New Roman" w:hAnsi="Calibri" w:cs="Arial"/>
                <w:color w:val="000000"/>
                <w:sz w:val="16"/>
                <w:szCs w:val="16"/>
                <w:lang w:eastAsia="en-GB"/>
              </w:rPr>
              <w:br/>
              <w:t>%</w:t>
            </w:r>
          </w:p>
        </w:tc>
        <w:tc>
          <w:tcPr>
            <w:tcW w:w="772" w:type="dxa"/>
            <w:noWrap/>
            <w:hideMark/>
          </w:tcPr>
          <w:p w:rsidR="00E60D59" w:rsidRPr="00970924" w:rsidRDefault="00E60D59" w:rsidP="00E60D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br/>
              <w:t>2007/08</w:t>
            </w:r>
            <w:r w:rsidRPr="00970924">
              <w:rPr>
                <w:rFonts w:ascii="Calibri" w:eastAsia="Times New Roman" w:hAnsi="Calibri" w:cs="Arial"/>
                <w:color w:val="000000"/>
                <w:sz w:val="16"/>
                <w:szCs w:val="16"/>
                <w:lang w:eastAsia="en-GB"/>
              </w:rPr>
              <w:br/>
              <w:t>%</w:t>
            </w:r>
          </w:p>
        </w:tc>
        <w:tc>
          <w:tcPr>
            <w:tcW w:w="772" w:type="dxa"/>
            <w:noWrap/>
            <w:hideMark/>
          </w:tcPr>
          <w:p w:rsidR="00E60D59" w:rsidRPr="00970924" w:rsidRDefault="00E60D59" w:rsidP="00E60D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br/>
              <w:t>2008/09</w:t>
            </w:r>
            <w:r w:rsidRPr="00970924">
              <w:rPr>
                <w:rFonts w:ascii="Calibri" w:eastAsia="Times New Roman" w:hAnsi="Calibri" w:cs="Arial"/>
                <w:color w:val="000000"/>
                <w:sz w:val="16"/>
                <w:szCs w:val="16"/>
                <w:lang w:eastAsia="en-GB"/>
              </w:rPr>
              <w:br/>
              <w:t>%</w:t>
            </w:r>
          </w:p>
        </w:tc>
        <w:tc>
          <w:tcPr>
            <w:tcW w:w="772" w:type="dxa"/>
            <w:noWrap/>
            <w:hideMark/>
          </w:tcPr>
          <w:p w:rsidR="00E60D59" w:rsidRPr="00970924" w:rsidRDefault="00E60D59" w:rsidP="00E60D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br/>
              <w:t>2009/10</w:t>
            </w:r>
            <w:r w:rsidRPr="00970924">
              <w:rPr>
                <w:rFonts w:ascii="Calibri" w:eastAsia="Times New Roman" w:hAnsi="Calibri" w:cs="Arial"/>
                <w:color w:val="000000"/>
                <w:sz w:val="16"/>
                <w:szCs w:val="16"/>
                <w:lang w:eastAsia="en-GB"/>
              </w:rPr>
              <w:br/>
              <w:t>%</w:t>
            </w:r>
          </w:p>
        </w:tc>
        <w:tc>
          <w:tcPr>
            <w:tcW w:w="772" w:type="dxa"/>
            <w:noWrap/>
            <w:hideMark/>
          </w:tcPr>
          <w:p w:rsidR="00E60D59" w:rsidRPr="00970924" w:rsidRDefault="00E60D59" w:rsidP="00E60D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br/>
              <w:t>2010/11</w:t>
            </w:r>
            <w:r w:rsidRPr="00970924">
              <w:rPr>
                <w:rFonts w:ascii="Calibri" w:eastAsia="Times New Roman" w:hAnsi="Calibri" w:cs="Arial"/>
                <w:color w:val="000000"/>
                <w:sz w:val="16"/>
                <w:szCs w:val="16"/>
                <w:lang w:eastAsia="en-GB"/>
              </w:rPr>
              <w:br/>
              <w:t>%</w:t>
            </w:r>
          </w:p>
        </w:tc>
        <w:tc>
          <w:tcPr>
            <w:tcW w:w="772" w:type="dxa"/>
            <w:noWrap/>
            <w:hideMark/>
          </w:tcPr>
          <w:p w:rsidR="00E60D59" w:rsidRPr="00970924" w:rsidRDefault="00E60D59" w:rsidP="00E60D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br/>
              <w:t>2011/12</w:t>
            </w:r>
            <w:r w:rsidRPr="00970924">
              <w:rPr>
                <w:rFonts w:ascii="Calibri" w:eastAsia="Times New Roman" w:hAnsi="Calibri" w:cs="Arial"/>
                <w:color w:val="000000"/>
                <w:sz w:val="16"/>
                <w:szCs w:val="16"/>
                <w:lang w:eastAsia="en-GB"/>
              </w:rPr>
              <w:br/>
              <w:t>%</w:t>
            </w:r>
          </w:p>
        </w:tc>
        <w:tc>
          <w:tcPr>
            <w:tcW w:w="772" w:type="dxa"/>
            <w:noWrap/>
            <w:hideMark/>
          </w:tcPr>
          <w:p w:rsidR="00E60D59" w:rsidRPr="00970924" w:rsidRDefault="00E60D59" w:rsidP="00E60D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[1]</w:t>
            </w:r>
            <w:r w:rsidRPr="00970924">
              <w:rPr>
                <w:rFonts w:ascii="Calibri" w:eastAsia="Times New Roman" w:hAnsi="Calibri" w:cs="Arial"/>
                <w:color w:val="000000"/>
                <w:sz w:val="16"/>
                <w:szCs w:val="16"/>
                <w:lang w:eastAsia="en-GB"/>
              </w:rPr>
              <w:br/>
              <w:t>2012/13</w:t>
            </w:r>
            <w:r w:rsidRPr="00970924">
              <w:rPr>
                <w:rFonts w:ascii="Calibri" w:eastAsia="Times New Roman" w:hAnsi="Calibri" w:cs="Arial"/>
                <w:color w:val="000000"/>
                <w:sz w:val="16"/>
                <w:szCs w:val="16"/>
                <w:lang w:eastAsia="en-GB"/>
              </w:rPr>
              <w:br/>
              <w:t>%</w:t>
            </w:r>
          </w:p>
        </w:tc>
        <w:tc>
          <w:tcPr>
            <w:tcW w:w="772" w:type="dxa"/>
            <w:noWrap/>
            <w:hideMark/>
          </w:tcPr>
          <w:p w:rsidR="00E60D59" w:rsidRPr="00970924" w:rsidRDefault="00E60D59" w:rsidP="00E60D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[A]</w:t>
            </w:r>
            <w:r w:rsidRPr="00970924">
              <w:rPr>
                <w:rFonts w:ascii="Calibri" w:eastAsia="Times New Roman" w:hAnsi="Calibri" w:cs="Arial"/>
                <w:color w:val="000000"/>
                <w:sz w:val="16"/>
                <w:szCs w:val="16"/>
                <w:lang w:eastAsia="en-GB"/>
              </w:rPr>
              <w:br/>
              <w:t>Meet in</w:t>
            </w:r>
            <w:r w:rsidRPr="00970924">
              <w:rPr>
                <w:rFonts w:ascii="Calibri" w:eastAsia="Times New Roman" w:hAnsi="Calibri" w:cs="Arial"/>
                <w:color w:val="000000"/>
                <w:sz w:val="16"/>
                <w:szCs w:val="16"/>
                <w:lang w:eastAsia="en-GB"/>
              </w:rPr>
              <w:br/>
              <w:t>2013/14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Ashton, Leigh and Wigan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+1072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Barking and Dagenham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64.9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+351</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Barnet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+373</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Barnsley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+933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Bassetlaw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Bath and North East Somerset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-182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Bedfordshire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+1538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Berkshire East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+1969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Berkshire West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-672</w:t>
            </w:r>
          </w:p>
        </w:tc>
      </w:tr>
      <w:tr w:rsidR="008261A2" w:rsidRPr="00970924" w:rsidTr="008D64EB">
        <w:trPr>
          <w:trHeight w:val="252"/>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 xml:space="preserve">Bexley Care Trust </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+2085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Birmingham East and North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+3762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 xml:space="preserve">Blackburn With </w:t>
            </w:r>
            <w:proofErr w:type="spellStart"/>
            <w:r w:rsidRPr="00970924">
              <w:rPr>
                <w:rFonts w:ascii="Calibri" w:eastAsia="Times New Roman" w:hAnsi="Calibri" w:cs="Arial"/>
                <w:color w:val="000000"/>
                <w:sz w:val="16"/>
                <w:szCs w:val="16"/>
                <w:lang w:eastAsia="en-GB"/>
              </w:rPr>
              <w:t>Darwen</w:t>
            </w:r>
            <w:proofErr w:type="spellEnd"/>
            <w:r w:rsidRPr="00970924">
              <w:rPr>
                <w:rFonts w:ascii="Calibri" w:eastAsia="Times New Roman" w:hAnsi="Calibri" w:cs="Arial"/>
                <w:color w:val="000000"/>
                <w:sz w:val="16"/>
                <w:szCs w:val="16"/>
                <w:lang w:eastAsia="en-GB"/>
              </w:rPr>
              <w:t xml:space="preserve"> Care Trust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-304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Blackpool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+453</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Bolton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+796</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Bournemouth and Poole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+2759</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Bradford and Airedale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-378</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Brent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+711</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Brighton and Hove City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67.4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+2048</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Bristol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Bromley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+841</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Buckinghamshire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+1598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Bury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+847</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Calderdale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+947</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Cambridgeshire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+865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Camden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Central and Eastern Cheshire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78.1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79.4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-2464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Central Lancashire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-1637</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City and Hackney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+341</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Cornwall and Isles Of Scilly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+4292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County Durham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+2194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Coventry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66.5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+1184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Croydon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67.8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67.2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+3933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Cumbria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-1220</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Darlington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Derby City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-234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Derbyshire County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Devon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+6436</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Doncaster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+835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Dorset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+2046</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Dudley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+1419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Ealing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67.9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+3008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East Lancashire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+1613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East Riding Of Yorkshire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+2202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East Sussex Downs and Weald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+2915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Eastern and Coastal Kent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+6731</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Enfield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+691</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Gateshead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-342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Gloucestershire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+121</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Great Yarmouth and Waveney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+1079</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Greenwich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66.8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+257</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proofErr w:type="spellStart"/>
            <w:r w:rsidRPr="00970924">
              <w:rPr>
                <w:rFonts w:ascii="Calibri" w:eastAsia="Times New Roman" w:hAnsi="Calibri" w:cs="Arial"/>
                <w:color w:val="000000"/>
                <w:sz w:val="16"/>
                <w:szCs w:val="16"/>
                <w:lang w:eastAsia="en-GB"/>
              </w:rPr>
              <w:t>Halton</w:t>
            </w:r>
            <w:proofErr w:type="spellEnd"/>
            <w:r w:rsidRPr="00970924">
              <w:rPr>
                <w:rFonts w:ascii="Calibri" w:eastAsia="Times New Roman" w:hAnsi="Calibri" w:cs="Arial"/>
                <w:color w:val="000000"/>
                <w:sz w:val="16"/>
                <w:szCs w:val="16"/>
                <w:lang w:eastAsia="en-GB"/>
              </w:rPr>
              <w:t xml:space="preserve"> and St Helens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-962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Hammersmith and Fulham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65.5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+1728</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Hampshire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lastRenderedPageBreak/>
              <w:t>Haringey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+1412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Harrow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+1311</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Hartlepool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Hastings and Rother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+1307</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Havering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+1531</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Heart Of Birmingham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80.0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79.9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79.8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+0</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Herefordshire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+1421</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Hertfordshire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-4686</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Heywood, Middleton and Rochdale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78.2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-679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Hillingdon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+1503</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Hounslow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64.8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67.6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+2279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Hull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+394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Isle of Wight NHS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+1037</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Islington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+808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Kensington and Chelsea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+1088</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Kingston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67.0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67.7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+1425</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Kirklees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+2529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proofErr w:type="spellStart"/>
            <w:r w:rsidRPr="00970924">
              <w:rPr>
                <w:rFonts w:ascii="Calibri" w:eastAsia="Times New Roman" w:hAnsi="Calibri" w:cs="Arial"/>
                <w:color w:val="000000"/>
                <w:sz w:val="16"/>
                <w:szCs w:val="16"/>
                <w:lang w:eastAsia="en-GB"/>
              </w:rPr>
              <w:t>Knowsley</w:t>
            </w:r>
            <w:proofErr w:type="spellEnd"/>
            <w:r w:rsidRPr="00970924">
              <w:rPr>
                <w:rFonts w:ascii="Calibri" w:eastAsia="Times New Roman" w:hAnsi="Calibri" w:cs="Arial"/>
                <w:color w:val="000000"/>
                <w:sz w:val="16"/>
                <w:szCs w:val="16"/>
                <w:lang w:eastAsia="en-GB"/>
              </w:rPr>
              <w:t xml:space="preserv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78.2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-784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Lambeth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65.2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66.7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66.5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+2432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Leeds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78.0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78.2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78.7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-4494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Leicester City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+1575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Leicestershire County and Rutland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+2999</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Lewisham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66.8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+2014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Lincolnshire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+3789</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Liverpool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-1732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Luton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+751</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Manchester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+1764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Medway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Mid Essex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+1755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Middlesbrough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+234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Milton Keynes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+1019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Newcastle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-1066</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Newham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+188</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Norfolk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+5591</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 East Essex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+2292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 xml:space="preserve">North East Lincolnshire Care Trust Plus </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+848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 Lancashire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-1802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 Lincolnshire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+1142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 Somerset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-1103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 Staffordshire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+1442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 Tyneside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+159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 Yorkshire and York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+1128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Northamptonshire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+3954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 xml:space="preserve">Northumberland Care Trust </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-761</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Nottingham City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+954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Nottinghamshire County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-1303</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Oldham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+290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Oxfordshire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78.0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-879</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Peterborough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Plymouth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-138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Portsmouth City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Redbridge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Redcar and Cleveland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78.1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78.5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Richmond and Twickenham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Rotherham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-321</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Salford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-753</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Sandwell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+3168</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proofErr w:type="spellStart"/>
            <w:r w:rsidRPr="00970924">
              <w:rPr>
                <w:rFonts w:ascii="Calibri" w:eastAsia="Times New Roman" w:hAnsi="Calibri" w:cs="Arial"/>
                <w:color w:val="000000"/>
                <w:sz w:val="16"/>
                <w:szCs w:val="16"/>
                <w:lang w:eastAsia="en-GB"/>
              </w:rPr>
              <w:t>Sefton</w:t>
            </w:r>
            <w:proofErr w:type="spellEnd"/>
            <w:r w:rsidRPr="00970924">
              <w:rPr>
                <w:rFonts w:ascii="Calibri" w:eastAsia="Times New Roman" w:hAnsi="Calibri" w:cs="Arial"/>
                <w:color w:val="000000"/>
                <w:sz w:val="16"/>
                <w:szCs w:val="16"/>
                <w:lang w:eastAsia="en-GB"/>
              </w:rPr>
              <w:t xml:space="preserv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-465</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Sheffield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Shropshire County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Solihull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+1220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lastRenderedPageBreak/>
              <w:t>Somerset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+2423</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South Birmingham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+2039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South East Essex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+4356</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South Gloucestershire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79.0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79.2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79.7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78.2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78.7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79.7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79.5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-2059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South Staffordshire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+6024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South Tyneside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-258</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South West Essex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+1674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Southampton City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-173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Southwark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61.0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64.9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+1112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Stockport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80.7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80.8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-3181</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Stockton‐On‐Tees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+647</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Stoke On Trent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Suffolk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+916</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Sunderland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Surrey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+12569</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Sutton and Merton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+2367</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Swindon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-66</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Tameside and Glossop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Telford and Wrekin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+407</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 xml:space="preserve">Torbay Care Trust </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+1843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Tower Hamlets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-152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Trafford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79.0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78.0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78.9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78.7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81.5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78.1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-1206</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Wakefield District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+863</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Walsall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+1303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Waltham Forest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+948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Wandsworth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+1170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Warrington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+909</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Warwickshire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+961</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West Cheshire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+199</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West Essex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+2193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West Kent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+3489</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West Sussex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+5610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Westminster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+173</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Wiltshire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+1130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Wirral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-259</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Wolverhampton City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+1956</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Worcestershire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73.3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+1171</w:t>
            </w:r>
          </w:p>
        </w:tc>
      </w:tr>
    </w:tbl>
    <w:p w:rsidR="00E60D59" w:rsidRPr="00970924" w:rsidRDefault="00E60D59" w:rsidP="00E60D59"/>
    <w:p w:rsidR="00E60D59" w:rsidRPr="00970924" w:rsidRDefault="00E60D59" w:rsidP="00E60D59">
      <w:r w:rsidRPr="00970924">
        <w:br w:type="page"/>
      </w:r>
    </w:p>
    <w:p w:rsidR="00E60D59" w:rsidRPr="00970924" w:rsidRDefault="00E60D59" w:rsidP="00E60D59">
      <w:pPr>
        <w:pStyle w:val="Heading3"/>
      </w:pPr>
      <w:r w:rsidRPr="00970924">
        <w:lastRenderedPageBreak/>
        <w:t>Under 65 in an ‘At Risk’ group</w:t>
      </w:r>
    </w:p>
    <w:tbl>
      <w:tblPr>
        <w:tblStyle w:val="LightShading"/>
        <w:tblW w:w="9076" w:type="dxa"/>
        <w:tblLook w:val="04A0" w:firstRow="1" w:lastRow="0" w:firstColumn="1" w:lastColumn="0" w:noHBand="0" w:noVBand="1"/>
      </w:tblPr>
      <w:tblGrid>
        <w:gridCol w:w="2900"/>
        <w:gridCol w:w="772"/>
        <w:gridCol w:w="772"/>
        <w:gridCol w:w="772"/>
        <w:gridCol w:w="772"/>
        <w:gridCol w:w="772"/>
        <w:gridCol w:w="772"/>
        <w:gridCol w:w="772"/>
        <w:gridCol w:w="772"/>
      </w:tblGrid>
      <w:tr w:rsidR="00E60D59" w:rsidRPr="00970924" w:rsidTr="00E60D59">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hideMark/>
          </w:tcPr>
          <w:p w:rsidR="00E60D59" w:rsidRPr="00970924" w:rsidRDefault="00E60D59" w:rsidP="00E60D59">
            <w:pPr>
              <w:rPr>
                <w:rFonts w:ascii="Calibri" w:eastAsia="Times New Roman" w:hAnsi="Calibri" w:cs="Arial"/>
                <w:color w:val="000000"/>
                <w:sz w:val="16"/>
                <w:szCs w:val="16"/>
                <w:lang w:eastAsia="en-GB"/>
              </w:rPr>
            </w:pPr>
          </w:p>
        </w:tc>
        <w:tc>
          <w:tcPr>
            <w:tcW w:w="772" w:type="dxa"/>
            <w:noWrap/>
            <w:hideMark/>
          </w:tcPr>
          <w:p w:rsidR="00E60D59" w:rsidRPr="00970924" w:rsidRDefault="00E60D59" w:rsidP="00E60D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br/>
              <w:t>2006/07</w:t>
            </w:r>
            <w:r w:rsidRPr="00970924">
              <w:rPr>
                <w:rFonts w:ascii="Calibri" w:eastAsia="Times New Roman" w:hAnsi="Calibri" w:cs="Arial"/>
                <w:color w:val="000000"/>
                <w:sz w:val="16"/>
                <w:szCs w:val="16"/>
                <w:lang w:eastAsia="en-GB"/>
              </w:rPr>
              <w:br/>
              <w:t>%</w:t>
            </w:r>
          </w:p>
        </w:tc>
        <w:tc>
          <w:tcPr>
            <w:tcW w:w="772" w:type="dxa"/>
            <w:noWrap/>
            <w:hideMark/>
          </w:tcPr>
          <w:p w:rsidR="00E60D59" w:rsidRPr="00970924" w:rsidRDefault="00E60D59" w:rsidP="00E60D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br/>
              <w:t>2007/08</w:t>
            </w:r>
            <w:r w:rsidRPr="00970924">
              <w:rPr>
                <w:rFonts w:ascii="Calibri" w:eastAsia="Times New Roman" w:hAnsi="Calibri" w:cs="Arial"/>
                <w:color w:val="000000"/>
                <w:sz w:val="16"/>
                <w:szCs w:val="16"/>
                <w:lang w:eastAsia="en-GB"/>
              </w:rPr>
              <w:br/>
              <w:t>%</w:t>
            </w:r>
          </w:p>
        </w:tc>
        <w:tc>
          <w:tcPr>
            <w:tcW w:w="772" w:type="dxa"/>
            <w:noWrap/>
            <w:hideMark/>
          </w:tcPr>
          <w:p w:rsidR="00E60D59" w:rsidRPr="00970924" w:rsidRDefault="00E60D59" w:rsidP="00E60D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br/>
              <w:t>2008/09</w:t>
            </w:r>
            <w:r w:rsidRPr="00970924">
              <w:rPr>
                <w:rFonts w:ascii="Calibri" w:eastAsia="Times New Roman" w:hAnsi="Calibri" w:cs="Arial"/>
                <w:color w:val="000000"/>
                <w:sz w:val="16"/>
                <w:szCs w:val="16"/>
                <w:lang w:eastAsia="en-GB"/>
              </w:rPr>
              <w:br/>
              <w:t>%</w:t>
            </w:r>
          </w:p>
        </w:tc>
        <w:tc>
          <w:tcPr>
            <w:tcW w:w="772" w:type="dxa"/>
            <w:noWrap/>
            <w:hideMark/>
          </w:tcPr>
          <w:p w:rsidR="00E60D59" w:rsidRPr="00970924" w:rsidRDefault="00E60D59" w:rsidP="00E60D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br/>
              <w:t>2009/10</w:t>
            </w:r>
            <w:r w:rsidRPr="00970924">
              <w:rPr>
                <w:rFonts w:ascii="Calibri" w:eastAsia="Times New Roman" w:hAnsi="Calibri" w:cs="Arial"/>
                <w:color w:val="000000"/>
                <w:sz w:val="16"/>
                <w:szCs w:val="16"/>
                <w:lang w:eastAsia="en-GB"/>
              </w:rPr>
              <w:br/>
              <w:t>%</w:t>
            </w:r>
          </w:p>
        </w:tc>
        <w:tc>
          <w:tcPr>
            <w:tcW w:w="772" w:type="dxa"/>
            <w:noWrap/>
            <w:hideMark/>
          </w:tcPr>
          <w:p w:rsidR="00E60D59" w:rsidRPr="00970924" w:rsidRDefault="00E60D59" w:rsidP="00E60D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br/>
              <w:t>2010/11</w:t>
            </w:r>
            <w:r w:rsidRPr="00970924">
              <w:rPr>
                <w:rFonts w:ascii="Calibri" w:eastAsia="Times New Roman" w:hAnsi="Calibri" w:cs="Arial"/>
                <w:color w:val="000000"/>
                <w:sz w:val="16"/>
                <w:szCs w:val="16"/>
                <w:lang w:eastAsia="en-GB"/>
              </w:rPr>
              <w:br/>
              <w:t>%</w:t>
            </w:r>
          </w:p>
        </w:tc>
        <w:tc>
          <w:tcPr>
            <w:tcW w:w="772" w:type="dxa"/>
            <w:noWrap/>
            <w:hideMark/>
          </w:tcPr>
          <w:p w:rsidR="00E60D59" w:rsidRPr="00970924" w:rsidRDefault="00E60D59" w:rsidP="00E60D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br/>
              <w:t>2011/12</w:t>
            </w:r>
            <w:r w:rsidRPr="00970924">
              <w:rPr>
                <w:rFonts w:ascii="Calibri" w:eastAsia="Times New Roman" w:hAnsi="Calibri" w:cs="Arial"/>
                <w:color w:val="000000"/>
                <w:sz w:val="16"/>
                <w:szCs w:val="16"/>
                <w:lang w:eastAsia="en-GB"/>
              </w:rPr>
              <w:br/>
              <w:t>%</w:t>
            </w:r>
          </w:p>
        </w:tc>
        <w:tc>
          <w:tcPr>
            <w:tcW w:w="772" w:type="dxa"/>
            <w:noWrap/>
            <w:hideMark/>
          </w:tcPr>
          <w:p w:rsidR="00E60D59" w:rsidRPr="00970924" w:rsidRDefault="00E60D59" w:rsidP="00E60D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[2]</w:t>
            </w:r>
            <w:r w:rsidRPr="00970924">
              <w:rPr>
                <w:rFonts w:ascii="Calibri" w:eastAsia="Times New Roman" w:hAnsi="Calibri" w:cs="Arial"/>
                <w:color w:val="000000"/>
                <w:sz w:val="16"/>
                <w:szCs w:val="16"/>
                <w:lang w:eastAsia="en-GB"/>
              </w:rPr>
              <w:br/>
              <w:t>2012/13</w:t>
            </w:r>
            <w:r w:rsidRPr="00970924">
              <w:rPr>
                <w:rFonts w:ascii="Calibri" w:eastAsia="Times New Roman" w:hAnsi="Calibri" w:cs="Arial"/>
                <w:color w:val="000000"/>
                <w:sz w:val="16"/>
                <w:szCs w:val="16"/>
                <w:lang w:eastAsia="en-GB"/>
              </w:rPr>
              <w:br/>
              <w:t>%</w:t>
            </w:r>
          </w:p>
        </w:tc>
        <w:tc>
          <w:tcPr>
            <w:tcW w:w="772" w:type="dxa"/>
            <w:noWrap/>
            <w:hideMark/>
          </w:tcPr>
          <w:p w:rsidR="00E60D59" w:rsidRPr="00970924" w:rsidRDefault="00E60D59" w:rsidP="00E60D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w:t>
            </w:r>
            <w:r w:rsidRPr="00970924">
              <w:rPr>
                <w:rFonts w:ascii="Calibri" w:eastAsia="Times New Roman" w:hAnsi="Calibri" w:cs="Arial"/>
                <w:color w:val="000000"/>
                <w:sz w:val="16"/>
                <w:szCs w:val="16"/>
                <w:lang w:eastAsia="en-GB"/>
              </w:rPr>
              <w:br/>
              <w:t>Meet in</w:t>
            </w:r>
            <w:r w:rsidRPr="00970924">
              <w:rPr>
                <w:rFonts w:ascii="Calibri" w:eastAsia="Times New Roman" w:hAnsi="Calibri" w:cs="Arial"/>
                <w:color w:val="000000"/>
                <w:sz w:val="16"/>
                <w:szCs w:val="16"/>
                <w:lang w:eastAsia="en-GB"/>
              </w:rPr>
              <w:br/>
              <w:t>2013/14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Ashton, Leigh and Wigan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+7693</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Barking and Dagenham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24.7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30.6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58.2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+3131</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Barnet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+8043</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Barnsley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+5755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Bassetlaw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30.9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+3372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Bath and North East Somerset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+4536</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Bedfordshire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37.0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+12742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Berkshire East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+8900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Berkshire West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+8384</w:t>
            </w:r>
          </w:p>
        </w:tc>
      </w:tr>
      <w:tr w:rsidR="008261A2" w:rsidRPr="00970924" w:rsidTr="008D64EB">
        <w:trPr>
          <w:trHeight w:val="252"/>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 xml:space="preserve">Bexley Care Trust </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+5234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Birmingham East and North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+12071</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 xml:space="preserve">Blackburn With </w:t>
            </w:r>
            <w:proofErr w:type="spellStart"/>
            <w:r w:rsidRPr="00970924">
              <w:rPr>
                <w:rFonts w:ascii="Calibri" w:eastAsia="Times New Roman" w:hAnsi="Calibri" w:cs="Arial"/>
                <w:color w:val="000000"/>
                <w:sz w:val="16"/>
                <w:szCs w:val="16"/>
                <w:lang w:eastAsia="en-GB"/>
              </w:rPr>
              <w:t>Darwen</w:t>
            </w:r>
            <w:proofErr w:type="spellEnd"/>
            <w:r w:rsidRPr="00970924">
              <w:rPr>
                <w:rFonts w:ascii="Calibri" w:eastAsia="Times New Roman" w:hAnsi="Calibri" w:cs="Arial"/>
                <w:color w:val="000000"/>
                <w:sz w:val="16"/>
                <w:szCs w:val="16"/>
                <w:lang w:eastAsia="en-GB"/>
              </w:rPr>
              <w:t xml:space="preserve"> Care Trust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+3575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Blackpool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+4236</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Bolton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+6347</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Bournemouth and Poole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+9354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Bradford and Airedale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+14488</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Brent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57.1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+5197</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Brighton and Hove City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+6327</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Bristol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+11849</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Bromley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+8223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Buckinghamshire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+13716</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Bury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39.0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+5426</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Calderdale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+5851</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Cambridgeshire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+17316</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Camden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38.0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33.7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30.5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39.0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37.3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+5383</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Central and Eastern Cheshire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58.6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+8469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Central Lancashire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+9871</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City and Hackney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59.3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65.8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61.5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59.5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+4022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Cornwall and Isles Of Scilly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30.0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+12818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County Durham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+14884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Coventry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+6823</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Croydon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39.0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+9403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Cumbria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60.3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60.2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+8035</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Darlington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+3148</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Derby City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29.3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+7432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Derbyshire County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39.6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+16528</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Devon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+19832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Doncaster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+7919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Dorset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+9672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Dudley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+7111</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Ealing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+9228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East Lancashire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+11474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East Riding Of Yorkshire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+7718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East Sussex Downs and Weald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+7888</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Eastern and Coastal Kent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39.0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38.8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+18371</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Enfield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+6262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Gateshead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58.1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58.3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+4330</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Gloucestershire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+13268</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Great Yarmouth and Waveney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+5030</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Greenwich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57.7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+4658</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proofErr w:type="spellStart"/>
            <w:r w:rsidRPr="00970924">
              <w:rPr>
                <w:rFonts w:ascii="Calibri" w:eastAsia="Times New Roman" w:hAnsi="Calibri" w:cs="Arial"/>
                <w:color w:val="000000"/>
                <w:sz w:val="16"/>
                <w:szCs w:val="16"/>
                <w:lang w:eastAsia="en-GB"/>
              </w:rPr>
              <w:t>Halton</w:t>
            </w:r>
            <w:proofErr w:type="spellEnd"/>
            <w:r w:rsidRPr="00970924">
              <w:rPr>
                <w:rFonts w:ascii="Calibri" w:eastAsia="Times New Roman" w:hAnsi="Calibri" w:cs="Arial"/>
                <w:color w:val="000000"/>
                <w:sz w:val="16"/>
                <w:szCs w:val="16"/>
                <w:lang w:eastAsia="en-GB"/>
              </w:rPr>
              <w:t xml:space="preserve"> and St Helens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+7097</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Hammersmith and Fulham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+4488</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Hampshire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+23515</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Haringey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+5730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Harrow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+7040</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Hartlepool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57.1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+2407</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Hastings and Rother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+3952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lastRenderedPageBreak/>
              <w:t>Havering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57.2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60.5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35.3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+4402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Heart Of Birmingham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58.0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57.8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58.8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+7592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Herefordshire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29.0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+3612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Hertfordshire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+24135</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Heywood, Middleton and Rochdale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57.5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60.0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+3700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Hillingdon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+5724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Hounslow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+7492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Hull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+7066</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Isle of Wight NHS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+2843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Islington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+5402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Kensington and Chelsea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+3509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Kingston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+3670</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Kirklees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+12028</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proofErr w:type="spellStart"/>
            <w:r w:rsidRPr="00970924">
              <w:rPr>
                <w:rFonts w:ascii="Calibri" w:eastAsia="Times New Roman" w:hAnsi="Calibri" w:cs="Arial"/>
                <w:color w:val="000000"/>
                <w:sz w:val="16"/>
                <w:szCs w:val="16"/>
                <w:lang w:eastAsia="en-GB"/>
              </w:rPr>
              <w:t>Knowsley</w:t>
            </w:r>
            <w:proofErr w:type="spellEnd"/>
            <w:r w:rsidRPr="00970924">
              <w:rPr>
                <w:rFonts w:ascii="Calibri" w:eastAsia="Times New Roman" w:hAnsi="Calibri" w:cs="Arial"/>
                <w:color w:val="000000"/>
                <w:sz w:val="16"/>
                <w:szCs w:val="16"/>
                <w:lang w:eastAsia="en-GB"/>
              </w:rPr>
              <w:t xml:space="preserv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58.1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+2803</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Lambeth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38.1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+9162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Leeds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+16472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Leicester City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+10429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Leicestershire County and Rutland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+17411</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Lewisham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38.0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+9007</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Lincolnshire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+19073</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Liverpool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34.4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38.5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+9496</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Luton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+5139</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Manchester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+12504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Medway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+5938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Mid Essex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+11229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Middlesbrough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+5073</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Milton Keynes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+6111</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Newcastle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+5712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Newham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57.3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59.0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63.3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+4070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Norfolk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+22848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 East Essex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38.0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+7846</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 xml:space="preserve">North East Lincolnshire Care Trust Plus </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+4242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 Lancashire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57.2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57.1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+5973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 Lincolnshire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 Somerset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+4555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 Staffordshire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+5049</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 Tyneside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29.0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+6247</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 Yorkshire and York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+18010</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Northamptonshire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+22565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 xml:space="preserve">Northumberland Care Trust </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57.3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+7096</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Nottingham City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+8605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Nottinghamshire County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39.7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+16292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Oldham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57.3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58.1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+4685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Oxfordshire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+14880</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Peterborough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+4787</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Plymouth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+5840</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Portsmouth City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+4679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Redbridge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28.0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+6731</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Redcar and Cleveland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+3370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Richmond and Twickenham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+3148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Rotherham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+5828</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Salford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+5047</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Sandwell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+9313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proofErr w:type="spellStart"/>
            <w:r w:rsidRPr="00970924">
              <w:rPr>
                <w:rFonts w:ascii="Calibri" w:eastAsia="Times New Roman" w:hAnsi="Calibri" w:cs="Arial"/>
                <w:color w:val="000000"/>
                <w:sz w:val="16"/>
                <w:szCs w:val="16"/>
                <w:lang w:eastAsia="en-GB"/>
              </w:rPr>
              <w:t>Sefton</w:t>
            </w:r>
            <w:proofErr w:type="spellEnd"/>
            <w:r w:rsidRPr="00970924">
              <w:rPr>
                <w:rFonts w:ascii="Calibri" w:eastAsia="Times New Roman" w:hAnsi="Calibri" w:cs="Arial"/>
                <w:color w:val="000000"/>
                <w:sz w:val="16"/>
                <w:szCs w:val="16"/>
                <w:lang w:eastAsia="en-GB"/>
              </w:rPr>
              <w:t xml:space="preserv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+6242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Sheffield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38.0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+13746</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Shropshire County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+5331</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Solihull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+5999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Somerset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+13342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South Birmingham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+10925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South East Essex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+10073</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South Gloucestershire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58.2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+4300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lastRenderedPageBreak/>
              <w:t>South Staffordshire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38.0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+15872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South Tyneside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57.8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+3128</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South West Essex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+12061</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Southampton City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+5681</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Southwark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38.0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+7028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Stockport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66.3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+1902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Stockton‐On‐Tees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+5934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Stoke On Trent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+7495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Suffolk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38.7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+16438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Sunderland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+6949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Surrey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+28457</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Sutton and Merton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38.9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39.4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+8534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Swindon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+4742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Tameside and Glossop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57.8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58.0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+4464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Telford and Wrekin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+3445</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 xml:space="preserve">Torbay Care Trust </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+3999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Tower Hamlets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+4958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Trafford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+5433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Wakefield District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+9932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Walsall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+6995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Waltham Forest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+6912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Wandsworth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38.0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+6652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Warrington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+6857</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Warwickshire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+11107</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West Cheshire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+5205</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West Essex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+7641</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West Kent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38.0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+16912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West Sussex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+21480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Westminster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+3826</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Wiltshire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+11274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Wirral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55.5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+7228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Wolverhampton City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37.2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39.7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50.0</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+6532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Worcestershire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30.0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+12920</w:t>
            </w:r>
          </w:p>
        </w:tc>
      </w:tr>
    </w:tbl>
    <w:p w:rsidR="00E60D59" w:rsidRPr="00970924" w:rsidRDefault="00E60D59" w:rsidP="00E60D59"/>
    <w:p w:rsidR="00E60D59" w:rsidRPr="00970924" w:rsidRDefault="00E60D59" w:rsidP="00E60D59">
      <w:r w:rsidRPr="00970924">
        <w:br w:type="page"/>
      </w:r>
    </w:p>
    <w:p w:rsidR="00E60D59" w:rsidRPr="00970924" w:rsidRDefault="00E60D59" w:rsidP="00E60D59">
      <w:pPr>
        <w:pStyle w:val="Heading3"/>
      </w:pPr>
      <w:r w:rsidRPr="00970924">
        <w:lastRenderedPageBreak/>
        <w:t>Pregnant Women</w:t>
      </w:r>
    </w:p>
    <w:tbl>
      <w:tblPr>
        <w:tblStyle w:val="LightShading"/>
        <w:tblW w:w="5216" w:type="dxa"/>
        <w:tblLook w:val="04A0" w:firstRow="1" w:lastRow="0" w:firstColumn="1" w:lastColumn="0" w:noHBand="0" w:noVBand="1"/>
      </w:tblPr>
      <w:tblGrid>
        <w:gridCol w:w="2900"/>
        <w:gridCol w:w="772"/>
        <w:gridCol w:w="772"/>
        <w:gridCol w:w="772"/>
      </w:tblGrid>
      <w:tr w:rsidR="00E60D59" w:rsidRPr="00970924" w:rsidTr="00E60D59">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hideMark/>
          </w:tcPr>
          <w:p w:rsidR="00E60D59" w:rsidRPr="00970924" w:rsidRDefault="00E60D59" w:rsidP="00E60D59">
            <w:pPr>
              <w:rPr>
                <w:rFonts w:ascii="Calibri" w:eastAsia="Times New Roman" w:hAnsi="Calibri" w:cs="Arial"/>
                <w:color w:val="000000"/>
                <w:sz w:val="16"/>
                <w:szCs w:val="16"/>
                <w:lang w:eastAsia="en-GB"/>
              </w:rPr>
            </w:pPr>
          </w:p>
        </w:tc>
        <w:tc>
          <w:tcPr>
            <w:tcW w:w="772" w:type="dxa"/>
            <w:noWrap/>
            <w:hideMark/>
          </w:tcPr>
          <w:p w:rsidR="00E60D59" w:rsidRPr="00970924" w:rsidRDefault="00E60D59" w:rsidP="00E60D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br/>
              <w:t>2011/12</w:t>
            </w:r>
            <w:r w:rsidRPr="00970924">
              <w:rPr>
                <w:rFonts w:ascii="Calibri" w:eastAsia="Times New Roman" w:hAnsi="Calibri" w:cs="Arial"/>
                <w:color w:val="000000"/>
                <w:sz w:val="16"/>
                <w:szCs w:val="16"/>
                <w:lang w:eastAsia="en-GB"/>
              </w:rPr>
              <w:br/>
              <w:t>%</w:t>
            </w:r>
          </w:p>
        </w:tc>
        <w:tc>
          <w:tcPr>
            <w:tcW w:w="772" w:type="dxa"/>
            <w:noWrap/>
            <w:hideMark/>
          </w:tcPr>
          <w:p w:rsidR="00E60D59" w:rsidRPr="00970924" w:rsidRDefault="00E60D59" w:rsidP="00E60D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[3]</w:t>
            </w:r>
            <w:r w:rsidRPr="00970924">
              <w:rPr>
                <w:rFonts w:ascii="Calibri" w:eastAsia="Times New Roman" w:hAnsi="Calibri" w:cs="Arial"/>
                <w:color w:val="000000"/>
                <w:sz w:val="16"/>
                <w:szCs w:val="16"/>
                <w:lang w:eastAsia="en-GB"/>
              </w:rPr>
              <w:br/>
              <w:t>2012/13</w:t>
            </w:r>
            <w:r w:rsidRPr="00970924">
              <w:rPr>
                <w:rFonts w:ascii="Calibri" w:eastAsia="Times New Roman" w:hAnsi="Calibri" w:cs="Arial"/>
                <w:color w:val="000000"/>
                <w:sz w:val="16"/>
                <w:szCs w:val="16"/>
                <w:lang w:eastAsia="en-GB"/>
              </w:rPr>
              <w:br/>
              <w:t>%</w:t>
            </w:r>
          </w:p>
        </w:tc>
        <w:tc>
          <w:tcPr>
            <w:tcW w:w="772" w:type="dxa"/>
            <w:noWrap/>
            <w:hideMark/>
          </w:tcPr>
          <w:p w:rsidR="00E60D59" w:rsidRPr="00970924" w:rsidRDefault="00E60D59" w:rsidP="00E60D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w:t>
            </w:r>
            <w:r w:rsidRPr="00970924">
              <w:rPr>
                <w:rFonts w:ascii="Calibri" w:eastAsia="Times New Roman" w:hAnsi="Calibri" w:cs="Arial"/>
                <w:color w:val="000000"/>
                <w:sz w:val="16"/>
                <w:szCs w:val="16"/>
                <w:lang w:eastAsia="en-GB"/>
              </w:rPr>
              <w:br/>
              <w:t>Meet in</w:t>
            </w:r>
            <w:r w:rsidRPr="00970924">
              <w:rPr>
                <w:rFonts w:ascii="Calibri" w:eastAsia="Times New Roman" w:hAnsi="Calibri" w:cs="Arial"/>
                <w:color w:val="000000"/>
                <w:sz w:val="16"/>
                <w:szCs w:val="16"/>
                <w:lang w:eastAsia="en-GB"/>
              </w:rPr>
              <w:br/>
              <w:t>2013/14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Ashton, Leigh and Wigan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26.9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+1048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Barking and Dagenham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27.2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39.1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+1276</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Barnet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21.5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34.6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+2552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Barnsley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+938</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Bassetlaw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36.1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+427</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Bath and North East Somerset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34.7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39.3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+617</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Bedfordshire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27.1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+1226</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Berkshire East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24.1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38.6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+2433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Berkshire West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+1929</w:t>
            </w:r>
          </w:p>
        </w:tc>
      </w:tr>
      <w:tr w:rsidR="008261A2" w:rsidRPr="00970924" w:rsidTr="008D64EB">
        <w:trPr>
          <w:trHeight w:val="252"/>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 xml:space="preserve">Bexley Care Trust </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23.7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34.4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+1205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Birmingham East and North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26.3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+2267</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 xml:space="preserve">Blackburn With </w:t>
            </w:r>
            <w:proofErr w:type="spellStart"/>
            <w:r w:rsidRPr="00970924">
              <w:rPr>
                <w:rFonts w:ascii="Calibri" w:eastAsia="Times New Roman" w:hAnsi="Calibri" w:cs="Arial"/>
                <w:color w:val="000000"/>
                <w:sz w:val="16"/>
                <w:szCs w:val="16"/>
                <w:lang w:eastAsia="en-GB"/>
              </w:rPr>
              <w:t>Darwen</w:t>
            </w:r>
            <w:proofErr w:type="spellEnd"/>
            <w:r w:rsidRPr="00970924">
              <w:rPr>
                <w:rFonts w:ascii="Calibri" w:eastAsia="Times New Roman" w:hAnsi="Calibri" w:cs="Arial"/>
                <w:color w:val="000000"/>
                <w:sz w:val="16"/>
                <w:szCs w:val="16"/>
                <w:lang w:eastAsia="en-GB"/>
              </w:rPr>
              <w:t xml:space="preserve"> Care Trust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+867</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Blackpool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33.9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+813</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Bolton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27.4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+1005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Bournemouth and Poole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20.8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34.7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+1600</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Bradford and Airedale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23.3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+2017</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Brent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24.7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36.2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+2155</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Brighton and Hove City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30.5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+1195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Bristol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+2339</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Bromley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25.6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30.1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+2190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Buckinghamshire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28.7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+2298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Bury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26.6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39.9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Calderdale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27.1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+598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Cambridgeshire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21.9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27.3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+5390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Camden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32.5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+1649</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Central and Eastern Cheshire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+1752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Central Lancashire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+1770</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City and Hackney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21.1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34.8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+2110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Cornwall and Isles Of Scilly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30.6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+1676</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County Durham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+1818</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Coventry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25.7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+1549</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Croydon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16.4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32.5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+2452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Cumbria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36.9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29.5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+4175</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Darlington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34.5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+366</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Derby City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+815</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Derbyshire County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30.8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+2686</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Devon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26.1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+2291</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Doncaster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19.5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+1105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Dorset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27.8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+1072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Dudley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25.1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+1060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Ealing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19.6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+2784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East Lancashire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24.4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35.3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+2023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East Riding Of Yorkshire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21.8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29.2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+1741</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East Sussex Downs and Weald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28.3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+1045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Eastern and Coastal Kent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18.2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36.8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+3148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Enfield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22.9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33.5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+1879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Gateshead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Gloucestershire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30.6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+2187</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Great Yarmouth and Waveney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+1135</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Greenwich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26.9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36.7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+1800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proofErr w:type="spellStart"/>
            <w:r w:rsidRPr="00970924">
              <w:rPr>
                <w:rFonts w:ascii="Calibri" w:eastAsia="Times New Roman" w:hAnsi="Calibri" w:cs="Arial"/>
                <w:color w:val="000000"/>
                <w:sz w:val="16"/>
                <w:szCs w:val="16"/>
                <w:lang w:eastAsia="en-GB"/>
              </w:rPr>
              <w:t>Halton</w:t>
            </w:r>
            <w:proofErr w:type="spellEnd"/>
            <w:r w:rsidRPr="00970924">
              <w:rPr>
                <w:rFonts w:ascii="Calibri" w:eastAsia="Times New Roman" w:hAnsi="Calibri" w:cs="Arial"/>
                <w:color w:val="000000"/>
                <w:sz w:val="16"/>
                <w:szCs w:val="16"/>
                <w:lang w:eastAsia="en-GB"/>
              </w:rPr>
              <w:t xml:space="preserve"> and St Helens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32.9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+1322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Hammersmith and Fulham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27.5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+1482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Hampshire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+4261</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Haringey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25.3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35.5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+1733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Harrow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32.1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+1893</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Hartlepool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26.4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+294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Hastings and Rother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21.2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33.7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+795</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lastRenderedPageBreak/>
              <w:t>Havering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28.2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37.3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+1116</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Heart Of Birmingham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17.7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36.5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+2556</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Herefordshire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29.9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Hertfordshire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24.8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+6323</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Heywood, Middleton and Rochdale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+507</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Hillingdon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27.8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38.3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+1739</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Hounslow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29.5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+1642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Hull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21.9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37.9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+1274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Isle of Wight NHS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27.7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39.4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Islington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27.1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33.8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+1638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Kensington and Chelsea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21.5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28.4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+1154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Kingston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21.9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+1126</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Kirklees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20.7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+1458</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proofErr w:type="spellStart"/>
            <w:r w:rsidRPr="00970924">
              <w:rPr>
                <w:rFonts w:ascii="Calibri" w:eastAsia="Times New Roman" w:hAnsi="Calibri" w:cs="Arial"/>
                <w:color w:val="000000"/>
                <w:sz w:val="16"/>
                <w:szCs w:val="16"/>
                <w:lang w:eastAsia="en-GB"/>
              </w:rPr>
              <w:t>Knowsley</w:t>
            </w:r>
            <w:proofErr w:type="spellEnd"/>
            <w:r w:rsidRPr="00970924">
              <w:rPr>
                <w:rFonts w:ascii="Calibri" w:eastAsia="Times New Roman" w:hAnsi="Calibri" w:cs="Arial"/>
                <w:color w:val="000000"/>
                <w:sz w:val="16"/>
                <w:szCs w:val="16"/>
                <w:lang w:eastAsia="en-GB"/>
              </w:rPr>
              <w:t xml:space="preserv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39.5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+280</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Lambeth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21.8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32.3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+2755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Leeds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59.6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+1346</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Leicester City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+1271</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Leicestershire County and Rutland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29.3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+2295</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Lewisham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19.1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+2602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Lincolnshire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24.2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+2367</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Liverpool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+1982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Luton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25.3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+1070</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Manchester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24.4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+2903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Medway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33.3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+954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Mid Essex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24.2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+1177</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Middlesbrough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26.9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32.8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+966</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Milton Keynes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27.2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39.3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+1537</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Newcastle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33.5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+965</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Newham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+1583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Norfolk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21.3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37.3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+3024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 East Essex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25.2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33.1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+2169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 xml:space="preserve">North East Lincolnshire Care Trust Plus </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20.6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+905</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 Lancashire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29.1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38.5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+1392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 Lincolnshire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18.3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+1050</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 Somerset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37.6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+614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 Staffordshire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23.7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+612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 Tyneside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+697</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 Yorkshire and York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24.9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+3126</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Northamptonshire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19.1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36.4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+3564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 xml:space="preserve">Northumberland Care Trust </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35.6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+891</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Nottingham City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23.1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36.3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+1755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Nottinghamshire County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33.3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36.7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+4008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Oldham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+863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Oxfordshire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+3317</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Peterborough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29.8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50.7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+602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Plymouth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29.4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+1031</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Portsmouth City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27.9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+865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Redbridge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21.4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+1737</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Redcar and Cleveland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39.2</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+650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Richmond and Twickenham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+1017</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Rotherham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21.8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+1491</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Salford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48.7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+630</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Sandwell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16.8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+1449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proofErr w:type="spellStart"/>
            <w:r w:rsidRPr="00970924">
              <w:rPr>
                <w:rFonts w:ascii="Calibri" w:eastAsia="Times New Roman" w:hAnsi="Calibri" w:cs="Arial"/>
                <w:color w:val="000000"/>
                <w:sz w:val="16"/>
                <w:szCs w:val="16"/>
                <w:lang w:eastAsia="en-GB"/>
              </w:rPr>
              <w:t>Sefton</w:t>
            </w:r>
            <w:proofErr w:type="spellEnd"/>
            <w:r w:rsidRPr="00970924">
              <w:rPr>
                <w:rFonts w:ascii="Calibri" w:eastAsia="Times New Roman" w:hAnsi="Calibri" w:cs="Arial"/>
                <w:color w:val="000000"/>
                <w:sz w:val="16"/>
                <w:szCs w:val="16"/>
                <w:lang w:eastAsia="en-GB"/>
              </w:rPr>
              <w:t xml:space="preserv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35.3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+1088</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Sheffield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33.6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+1501</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Shropshire County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58.1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+547</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Solihull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Somerset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25.5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39.2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+2144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South Birmingham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19.3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38.4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+2139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South East Essex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14.9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24.9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+3000</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South Gloucestershire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+773</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lastRenderedPageBreak/>
              <w:t>South Staffordshire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30</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+2321</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South Tyneside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58.7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+290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South West Essex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14.3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32.8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+2962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Southampton City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+1108</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Southwark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18.2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32.1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+2525</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Stockport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64.7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74.5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+16</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Stockton‐On‐Tees Teaching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32.2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+585</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Stoke On Trent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20.5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43.6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+1276</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Suffolk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36.1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+1260</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Sunderland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+830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Surrey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24.6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+6280</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Sutton and Merton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23.7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+2352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Swindon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39.6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+536</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Tameside and Glossop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49.3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51.6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+724</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Telford and Wrekin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40.7</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56.8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+424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 xml:space="preserve">Torbay Care Trust </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30.7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47.8</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+410</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Tower Hamlets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28.4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+2242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Trafford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+791</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Wakefield District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20.3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+957</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Walsall Teaching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22.7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38.1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+1369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Waltham Forest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17.9</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27.2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+2216</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Wandsworth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36.7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+2612</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Warrington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31.2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44.1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+544</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Warwickshire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29.9</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+1745</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West Cheshire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41.4</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+1092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West Essex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20.6</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28.4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+2317</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West Kent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22.5</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34.1</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+3382</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West Sussex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28.3</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37.7</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+3289</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Westminster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23.2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35.8</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+1187</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Wiltshire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35.4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46.4</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+1007</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Wirral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32.2</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40.3</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+1485</w:t>
            </w:r>
          </w:p>
        </w:tc>
      </w:tr>
      <w:tr w:rsidR="008261A2" w:rsidRPr="00970924" w:rsidTr="008D64EB">
        <w:trPr>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Wolverhampton City PCT</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35.1</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47.5</w:t>
            </w:r>
          </w:p>
        </w:tc>
        <w:tc>
          <w:tcPr>
            <w:tcW w:w="772" w:type="dxa"/>
            <w:noWrap/>
            <w:vAlign w:val="bottom"/>
            <w:hideMark/>
          </w:tcPr>
          <w:p w:rsidR="008261A2" w:rsidRDefault="008261A2">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+858</w:t>
            </w:r>
          </w:p>
        </w:tc>
      </w:tr>
      <w:tr w:rsidR="008261A2" w:rsidRPr="00970924" w:rsidTr="008D64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900" w:type="dxa"/>
            <w:noWrap/>
            <w:vAlign w:val="center"/>
            <w:hideMark/>
          </w:tcPr>
          <w:p w:rsidR="008261A2" w:rsidRPr="00970924" w:rsidRDefault="008261A2" w:rsidP="00E60D59">
            <w:pPr>
              <w:rPr>
                <w:rFonts w:ascii="Calibri" w:eastAsia="Times New Roman" w:hAnsi="Calibri" w:cs="Arial"/>
                <w:color w:val="000000"/>
                <w:sz w:val="16"/>
                <w:szCs w:val="16"/>
                <w:lang w:eastAsia="en-GB"/>
              </w:rPr>
            </w:pPr>
            <w:r w:rsidRPr="00970924">
              <w:rPr>
                <w:rFonts w:ascii="Calibri" w:eastAsia="Times New Roman" w:hAnsi="Calibri" w:cs="Arial"/>
                <w:color w:val="000000"/>
                <w:sz w:val="16"/>
                <w:szCs w:val="16"/>
                <w:lang w:eastAsia="en-GB"/>
              </w:rPr>
              <w:t>Worcestershire PCT</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32.6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45.6</w:t>
            </w:r>
          </w:p>
        </w:tc>
        <w:tc>
          <w:tcPr>
            <w:tcW w:w="772" w:type="dxa"/>
            <w:noWrap/>
            <w:vAlign w:val="bottom"/>
            <w:hideMark/>
          </w:tcPr>
          <w:p w:rsidR="008261A2" w:rsidRDefault="008261A2">
            <w:pPr>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6"/>
                <w:szCs w:val="16"/>
              </w:rPr>
            </w:pPr>
            <w:r>
              <w:rPr>
                <w:rFonts w:ascii="Calibri" w:hAnsi="Calibri" w:cs="Arial"/>
                <w:color w:val="000000"/>
                <w:sz w:val="16"/>
                <w:szCs w:val="16"/>
              </w:rPr>
              <w:t>+1868</w:t>
            </w:r>
          </w:p>
        </w:tc>
      </w:tr>
    </w:tbl>
    <w:p w:rsidR="002277C4" w:rsidRDefault="002277C4" w:rsidP="00E60D59">
      <w:pPr>
        <w:sectPr w:rsidR="002277C4" w:rsidSect="00535497">
          <w:pgSz w:w="11906" w:h="16838"/>
          <w:pgMar w:top="1440" w:right="1440" w:bottom="1440" w:left="1440" w:header="720" w:footer="720" w:gutter="0"/>
          <w:cols w:space="720"/>
          <w:docGrid w:linePitch="360"/>
        </w:sectPr>
      </w:pPr>
    </w:p>
    <w:p w:rsidR="002277C4" w:rsidRPr="00970924" w:rsidRDefault="002277C4" w:rsidP="002277C4">
      <w:pPr>
        <w:pStyle w:val="Heading1"/>
      </w:pPr>
      <w:r w:rsidRPr="00970924">
        <w:lastRenderedPageBreak/>
        <w:t xml:space="preserve">Appendix </w:t>
      </w:r>
      <w:r>
        <w:t xml:space="preserve">2 </w:t>
      </w:r>
      <w:r w:rsidRPr="00970924">
        <w:t xml:space="preserve">– Performance </w:t>
      </w:r>
      <w:r>
        <w:t xml:space="preserve">and Targets </w:t>
      </w:r>
      <w:r w:rsidRPr="00970924">
        <w:t xml:space="preserve">by </w:t>
      </w:r>
      <w:r w:rsidR="005F2997">
        <w:t>AT</w:t>
      </w:r>
      <w:r w:rsidR="00834A68">
        <w:t xml:space="preserve"> for 2015/16</w:t>
      </w:r>
    </w:p>
    <w:p w:rsidR="002277C4" w:rsidRPr="00970924" w:rsidRDefault="002277C4" w:rsidP="002277C4">
      <w:pPr>
        <w:pStyle w:val="Heading3"/>
      </w:pPr>
      <w:r w:rsidRPr="00970924">
        <w:t>Over 65</w:t>
      </w:r>
    </w:p>
    <w:tbl>
      <w:tblPr>
        <w:tblStyle w:val="LightShading"/>
        <w:tblW w:w="9889" w:type="dxa"/>
        <w:tblLook w:val="04A0" w:firstRow="1" w:lastRow="0" w:firstColumn="1" w:lastColumn="0" w:noHBand="0" w:noVBand="1"/>
      </w:tblPr>
      <w:tblGrid>
        <w:gridCol w:w="5353"/>
        <w:gridCol w:w="1134"/>
        <w:gridCol w:w="1134"/>
        <w:gridCol w:w="992"/>
        <w:gridCol w:w="1276"/>
      </w:tblGrid>
      <w:tr w:rsidR="00ED7FE9" w:rsidRPr="00970924" w:rsidTr="00ED7FE9">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ED7FE9" w:rsidRPr="00970924" w:rsidRDefault="00ED7FE9" w:rsidP="002277C4">
            <w:pPr>
              <w:rPr>
                <w:rFonts w:ascii="Calibri" w:eastAsia="Times New Roman" w:hAnsi="Calibri" w:cs="Arial"/>
                <w:color w:val="000000"/>
                <w:sz w:val="16"/>
                <w:szCs w:val="16"/>
                <w:lang w:eastAsia="en-GB"/>
              </w:rPr>
            </w:pPr>
          </w:p>
        </w:tc>
        <w:tc>
          <w:tcPr>
            <w:tcW w:w="1134" w:type="dxa"/>
            <w:noWrap/>
            <w:hideMark/>
          </w:tcPr>
          <w:p w:rsidR="00ED7FE9" w:rsidRPr="00970924" w:rsidRDefault="00ED7FE9" w:rsidP="002277C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Pr>
                <w:rFonts w:ascii="Calibri" w:eastAsia="Times New Roman" w:hAnsi="Calibri" w:cs="Arial"/>
                <w:color w:val="000000"/>
                <w:sz w:val="16"/>
                <w:szCs w:val="16"/>
                <w:lang w:eastAsia="en-GB"/>
              </w:rPr>
              <w:br/>
              <w:t>2012/13</w:t>
            </w:r>
            <w:r w:rsidRPr="00970924">
              <w:rPr>
                <w:rFonts w:ascii="Calibri" w:eastAsia="Times New Roman" w:hAnsi="Calibri" w:cs="Arial"/>
                <w:color w:val="000000"/>
                <w:sz w:val="16"/>
                <w:szCs w:val="16"/>
                <w:lang w:eastAsia="en-GB"/>
              </w:rPr>
              <w:br/>
              <w:t>%</w:t>
            </w:r>
          </w:p>
        </w:tc>
        <w:tc>
          <w:tcPr>
            <w:tcW w:w="1134" w:type="dxa"/>
            <w:noWrap/>
            <w:hideMark/>
          </w:tcPr>
          <w:p w:rsidR="00ED7FE9" w:rsidRPr="00970924" w:rsidRDefault="00ED7FE9" w:rsidP="002277C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Pr>
                <w:rFonts w:ascii="Calibri" w:eastAsia="Times New Roman" w:hAnsi="Calibri" w:cs="Arial"/>
                <w:color w:val="000000"/>
                <w:sz w:val="16"/>
                <w:szCs w:val="16"/>
                <w:lang w:eastAsia="en-GB"/>
              </w:rPr>
              <w:br/>
              <w:t>2013/14</w:t>
            </w:r>
            <w:r w:rsidRPr="00970924">
              <w:rPr>
                <w:rFonts w:ascii="Calibri" w:eastAsia="Times New Roman" w:hAnsi="Calibri" w:cs="Arial"/>
                <w:color w:val="000000"/>
                <w:sz w:val="16"/>
                <w:szCs w:val="16"/>
                <w:lang w:eastAsia="en-GB"/>
              </w:rPr>
              <w:br/>
              <w:t>%</w:t>
            </w:r>
          </w:p>
        </w:tc>
        <w:tc>
          <w:tcPr>
            <w:tcW w:w="992" w:type="dxa"/>
          </w:tcPr>
          <w:p w:rsidR="00ED7FE9" w:rsidRDefault="00ED7FE9" w:rsidP="002277C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Pr>
                <w:rFonts w:ascii="Calibri" w:eastAsia="Times New Roman" w:hAnsi="Calibri" w:cs="Arial"/>
                <w:color w:val="000000"/>
                <w:sz w:val="16"/>
                <w:szCs w:val="16"/>
                <w:lang w:eastAsia="en-GB"/>
              </w:rPr>
              <w:t>[1]</w:t>
            </w:r>
            <w:r>
              <w:rPr>
                <w:rFonts w:ascii="Calibri" w:eastAsia="Times New Roman" w:hAnsi="Calibri" w:cs="Arial"/>
                <w:color w:val="000000"/>
                <w:sz w:val="16"/>
                <w:szCs w:val="16"/>
                <w:lang w:eastAsia="en-GB"/>
              </w:rPr>
              <w:br/>
              <w:t>2014/15</w:t>
            </w:r>
            <w:r>
              <w:rPr>
                <w:rFonts w:ascii="Calibri" w:eastAsia="Times New Roman" w:hAnsi="Calibri" w:cs="Arial"/>
                <w:color w:val="000000"/>
                <w:sz w:val="16"/>
                <w:szCs w:val="16"/>
                <w:lang w:eastAsia="en-GB"/>
              </w:rPr>
              <w:br/>
              <w:t>%</w:t>
            </w:r>
          </w:p>
        </w:tc>
        <w:tc>
          <w:tcPr>
            <w:tcW w:w="1276" w:type="dxa"/>
            <w:noWrap/>
            <w:hideMark/>
          </w:tcPr>
          <w:p w:rsidR="00ED7FE9" w:rsidRPr="00970924" w:rsidRDefault="00A065CC" w:rsidP="002277C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Pr>
                <w:rFonts w:ascii="Calibri" w:eastAsia="Times New Roman" w:hAnsi="Calibri" w:cs="Arial"/>
                <w:color w:val="000000"/>
                <w:sz w:val="16"/>
                <w:szCs w:val="16"/>
                <w:lang w:eastAsia="en-GB"/>
              </w:rPr>
              <w:t>[A]</w:t>
            </w:r>
            <w:r>
              <w:rPr>
                <w:rFonts w:ascii="Calibri" w:eastAsia="Times New Roman" w:hAnsi="Calibri" w:cs="Arial"/>
                <w:color w:val="000000"/>
                <w:sz w:val="16"/>
                <w:szCs w:val="16"/>
                <w:lang w:eastAsia="en-GB"/>
              </w:rPr>
              <w:br/>
              <w:t>Meet in</w:t>
            </w:r>
            <w:r>
              <w:rPr>
                <w:rFonts w:ascii="Calibri" w:eastAsia="Times New Roman" w:hAnsi="Calibri" w:cs="Arial"/>
                <w:color w:val="000000"/>
                <w:sz w:val="16"/>
                <w:szCs w:val="16"/>
                <w:lang w:eastAsia="en-GB"/>
              </w:rPr>
              <w:br/>
              <w:t>2015</w:t>
            </w:r>
            <w:r w:rsidR="00ED7FE9">
              <w:rPr>
                <w:rFonts w:ascii="Calibri" w:eastAsia="Times New Roman" w:hAnsi="Calibri" w:cs="Arial"/>
                <w:color w:val="000000"/>
                <w:sz w:val="16"/>
                <w:szCs w:val="16"/>
                <w:lang w:eastAsia="en-GB"/>
              </w:rPr>
              <w:t>/1</w:t>
            </w:r>
            <w:r>
              <w:rPr>
                <w:rFonts w:ascii="Calibri" w:eastAsia="Times New Roman" w:hAnsi="Calibri" w:cs="Arial"/>
                <w:color w:val="000000"/>
                <w:sz w:val="16"/>
                <w:szCs w:val="16"/>
                <w:lang w:eastAsia="en-GB"/>
              </w:rPr>
              <w:t>6</w:t>
            </w:r>
          </w:p>
        </w:tc>
      </w:tr>
      <w:tr w:rsidR="00D00FEE" w:rsidRPr="002277C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Arden, Herefordshire and Worcestershire Area Team</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73.5</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73.9</w:t>
            </w:r>
          </w:p>
        </w:tc>
        <w:tc>
          <w:tcPr>
            <w:tcW w:w="992" w:type="dxa"/>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73.8</w:t>
            </w:r>
          </w:p>
        </w:tc>
        <w:tc>
          <w:tcPr>
            <w:tcW w:w="1276" w:type="dxa"/>
            <w:noWrap/>
          </w:tcPr>
          <w:p w:rsidR="00D00FEE" w:rsidRPr="00D00FEE" w:rsidRDefault="00D00FEE" w:rsidP="00D00FEE">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D00FEE">
              <w:rPr>
                <w:color w:val="auto"/>
                <w:sz w:val="16"/>
                <w:szCs w:val="16"/>
              </w:rPr>
              <w:t>+4,013</w:t>
            </w:r>
          </w:p>
        </w:tc>
      </w:tr>
      <w:tr w:rsidR="00D00FEE" w:rsidRPr="002277C4" w:rsidTr="00D00FEE">
        <w:trPr>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Bath, Gloucestershire, Swindon and Wiltshire Area Team</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74.6</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74.0</w:t>
            </w:r>
          </w:p>
        </w:tc>
        <w:tc>
          <w:tcPr>
            <w:tcW w:w="992" w:type="dxa"/>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73.7</w:t>
            </w:r>
          </w:p>
        </w:tc>
        <w:tc>
          <w:tcPr>
            <w:tcW w:w="1276" w:type="dxa"/>
            <w:noWrap/>
          </w:tcPr>
          <w:p w:rsidR="00D00FEE" w:rsidRPr="00D00FEE" w:rsidRDefault="00D00FEE" w:rsidP="00D00FEE">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D00FEE">
              <w:rPr>
                <w:color w:val="auto"/>
                <w:sz w:val="16"/>
                <w:szCs w:val="16"/>
              </w:rPr>
              <w:t>+3,918</w:t>
            </w:r>
          </w:p>
        </w:tc>
      </w:tr>
      <w:tr w:rsidR="00D00FEE" w:rsidRPr="002277C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Birmingham and The Black Country Area Team</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71.3</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71.3</w:t>
            </w:r>
          </w:p>
        </w:tc>
        <w:tc>
          <w:tcPr>
            <w:tcW w:w="992" w:type="dxa"/>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71.1</w:t>
            </w:r>
          </w:p>
        </w:tc>
        <w:tc>
          <w:tcPr>
            <w:tcW w:w="1276" w:type="dxa"/>
            <w:noWrap/>
          </w:tcPr>
          <w:p w:rsidR="00D00FEE" w:rsidRPr="00D00FEE" w:rsidRDefault="00D00FEE" w:rsidP="00D00FEE">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D00FEE">
              <w:rPr>
                <w:color w:val="auto"/>
                <w:sz w:val="16"/>
                <w:szCs w:val="16"/>
              </w:rPr>
              <w:t>+16,046</w:t>
            </w:r>
          </w:p>
        </w:tc>
      </w:tr>
      <w:tr w:rsidR="00D00FEE" w:rsidRPr="002277C4" w:rsidTr="00D00FEE">
        <w:trPr>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Bristol, North Somerset, Somerset and South Gloucestershire Area Team</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75.3</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75.1</w:t>
            </w:r>
          </w:p>
        </w:tc>
        <w:tc>
          <w:tcPr>
            <w:tcW w:w="992" w:type="dxa"/>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74.1</w:t>
            </w:r>
          </w:p>
        </w:tc>
        <w:tc>
          <w:tcPr>
            <w:tcW w:w="1276" w:type="dxa"/>
            <w:noWrap/>
          </w:tcPr>
          <w:p w:rsidR="00D00FEE" w:rsidRPr="00D00FEE" w:rsidRDefault="00D00FEE" w:rsidP="00D00FEE">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D00FEE">
              <w:rPr>
                <w:color w:val="auto"/>
                <w:sz w:val="16"/>
                <w:szCs w:val="16"/>
              </w:rPr>
              <w:t>+2,587</w:t>
            </w:r>
          </w:p>
        </w:tc>
      </w:tr>
      <w:tr w:rsidR="00D00FEE" w:rsidRPr="002277C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Cheshire, Warrington and Wirral Area Team</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75.7</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75.7</w:t>
            </w:r>
          </w:p>
        </w:tc>
        <w:tc>
          <w:tcPr>
            <w:tcW w:w="992" w:type="dxa"/>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75.2</w:t>
            </w:r>
          </w:p>
        </w:tc>
        <w:tc>
          <w:tcPr>
            <w:tcW w:w="1276" w:type="dxa"/>
            <w:noWrap/>
          </w:tcPr>
          <w:p w:rsidR="00D00FEE" w:rsidRPr="00D00FEE" w:rsidRDefault="00D00FEE" w:rsidP="00D00FEE">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D00FEE">
              <w:rPr>
                <w:color w:val="auto"/>
                <w:sz w:val="16"/>
                <w:szCs w:val="16"/>
              </w:rPr>
              <w:t>-</w:t>
            </w:r>
          </w:p>
        </w:tc>
      </w:tr>
      <w:tr w:rsidR="00D00FEE" w:rsidRPr="002277C4" w:rsidTr="00D00FEE">
        <w:trPr>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Cumbria, Northumberland, Tyne and Wear Area Team</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76.0</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75.7</w:t>
            </w:r>
          </w:p>
        </w:tc>
        <w:tc>
          <w:tcPr>
            <w:tcW w:w="992" w:type="dxa"/>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75.4</w:t>
            </w:r>
          </w:p>
        </w:tc>
        <w:tc>
          <w:tcPr>
            <w:tcW w:w="1276" w:type="dxa"/>
            <w:noWrap/>
          </w:tcPr>
          <w:p w:rsidR="00D00FEE" w:rsidRPr="00D00FEE" w:rsidRDefault="00D00FEE" w:rsidP="00D00FEE">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D00FEE">
              <w:rPr>
                <w:color w:val="auto"/>
                <w:sz w:val="16"/>
                <w:szCs w:val="16"/>
              </w:rPr>
              <w:t>-</w:t>
            </w:r>
          </w:p>
        </w:tc>
      </w:tr>
      <w:tr w:rsidR="00D00FEE" w:rsidRPr="002277C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Derbyshire and Nottinghamshire Area Team</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75.2</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75.4</w:t>
            </w:r>
          </w:p>
        </w:tc>
        <w:tc>
          <w:tcPr>
            <w:tcW w:w="992" w:type="dxa"/>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74.7</w:t>
            </w:r>
          </w:p>
        </w:tc>
        <w:tc>
          <w:tcPr>
            <w:tcW w:w="1276" w:type="dxa"/>
            <w:noWrap/>
          </w:tcPr>
          <w:p w:rsidR="00D00FEE" w:rsidRPr="00D00FEE" w:rsidRDefault="00D00FEE" w:rsidP="00D00FEE">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D00FEE">
              <w:rPr>
                <w:color w:val="auto"/>
                <w:sz w:val="16"/>
                <w:szCs w:val="16"/>
              </w:rPr>
              <w:t>+1,128</w:t>
            </w:r>
          </w:p>
        </w:tc>
      </w:tr>
      <w:tr w:rsidR="00D00FEE" w:rsidRPr="002277C4" w:rsidTr="00D00FEE">
        <w:trPr>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Devon, Cornwall and Isles Of Scilly Area Team</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71.8</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71.4</w:t>
            </w:r>
          </w:p>
        </w:tc>
        <w:tc>
          <w:tcPr>
            <w:tcW w:w="992" w:type="dxa"/>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70.6</w:t>
            </w:r>
          </w:p>
        </w:tc>
        <w:tc>
          <w:tcPr>
            <w:tcW w:w="1276" w:type="dxa"/>
            <w:noWrap/>
          </w:tcPr>
          <w:p w:rsidR="00D00FEE" w:rsidRPr="00D00FEE" w:rsidRDefault="00D00FEE" w:rsidP="00D00FEE">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D00FEE">
              <w:rPr>
                <w:color w:val="auto"/>
                <w:sz w:val="16"/>
                <w:szCs w:val="16"/>
              </w:rPr>
              <w:t>+17,747</w:t>
            </w:r>
          </w:p>
        </w:tc>
      </w:tr>
      <w:tr w:rsidR="00D00FEE" w:rsidRPr="002277C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Durham, Darlington and Tees Area Team</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73.4</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73.7</w:t>
            </w:r>
          </w:p>
        </w:tc>
        <w:tc>
          <w:tcPr>
            <w:tcW w:w="992" w:type="dxa"/>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73.6</w:t>
            </w:r>
          </w:p>
        </w:tc>
        <w:tc>
          <w:tcPr>
            <w:tcW w:w="1276" w:type="dxa"/>
            <w:noWrap/>
          </w:tcPr>
          <w:p w:rsidR="00D00FEE" w:rsidRPr="00D00FEE" w:rsidRDefault="00D00FEE" w:rsidP="00D00FEE">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D00FEE">
              <w:rPr>
                <w:color w:val="auto"/>
                <w:sz w:val="16"/>
                <w:szCs w:val="16"/>
              </w:rPr>
              <w:t>+3,191</w:t>
            </w:r>
          </w:p>
        </w:tc>
      </w:tr>
      <w:tr w:rsidR="00D00FEE" w:rsidRPr="002277C4" w:rsidTr="00D00FEE">
        <w:trPr>
          <w:trHeight w:val="252"/>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East Anglia Area Team</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73.1</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73.0</w:t>
            </w:r>
          </w:p>
        </w:tc>
        <w:tc>
          <w:tcPr>
            <w:tcW w:w="992" w:type="dxa"/>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71.8</w:t>
            </w:r>
          </w:p>
        </w:tc>
        <w:tc>
          <w:tcPr>
            <w:tcW w:w="1276" w:type="dxa"/>
            <w:noWrap/>
          </w:tcPr>
          <w:p w:rsidR="00D00FEE" w:rsidRPr="00D00FEE" w:rsidRDefault="00D00FEE" w:rsidP="00D00FEE">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D00FEE">
              <w:rPr>
                <w:color w:val="auto"/>
                <w:sz w:val="16"/>
                <w:szCs w:val="16"/>
              </w:rPr>
              <w:t>+16,911</w:t>
            </w:r>
          </w:p>
        </w:tc>
      </w:tr>
      <w:tr w:rsidR="00D00FEE" w:rsidRPr="002277C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Essex Area Team</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71.1</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70.9</w:t>
            </w:r>
          </w:p>
        </w:tc>
        <w:tc>
          <w:tcPr>
            <w:tcW w:w="992" w:type="dxa"/>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70.2</w:t>
            </w:r>
          </w:p>
        </w:tc>
        <w:tc>
          <w:tcPr>
            <w:tcW w:w="1276" w:type="dxa"/>
            <w:noWrap/>
          </w:tcPr>
          <w:p w:rsidR="00D00FEE" w:rsidRPr="00D00FEE" w:rsidRDefault="00D00FEE" w:rsidP="00D00FEE">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D00FEE">
              <w:rPr>
                <w:color w:val="auto"/>
                <w:sz w:val="16"/>
                <w:szCs w:val="16"/>
              </w:rPr>
              <w:t>+16,818</w:t>
            </w:r>
          </w:p>
        </w:tc>
      </w:tr>
      <w:tr w:rsidR="00D00FEE" w:rsidRPr="002277C4" w:rsidTr="00D00FEE">
        <w:trPr>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Greater Manchester Area Team</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75.4</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75.3</w:t>
            </w:r>
          </w:p>
        </w:tc>
        <w:tc>
          <w:tcPr>
            <w:tcW w:w="992" w:type="dxa"/>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75.1</w:t>
            </w:r>
          </w:p>
        </w:tc>
        <w:tc>
          <w:tcPr>
            <w:tcW w:w="1276" w:type="dxa"/>
            <w:noWrap/>
          </w:tcPr>
          <w:p w:rsidR="00D00FEE" w:rsidRPr="00D00FEE" w:rsidRDefault="00D00FEE" w:rsidP="00D00FEE">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D00FEE">
              <w:rPr>
                <w:color w:val="auto"/>
                <w:sz w:val="16"/>
                <w:szCs w:val="16"/>
              </w:rPr>
              <w:t>-</w:t>
            </w:r>
          </w:p>
        </w:tc>
      </w:tr>
      <w:tr w:rsidR="00D00FEE" w:rsidRPr="002277C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Hertfordshire and The South Midlands Area Team</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73.9</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74.0</w:t>
            </w:r>
          </w:p>
        </w:tc>
        <w:tc>
          <w:tcPr>
            <w:tcW w:w="992" w:type="dxa"/>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73.5</w:t>
            </w:r>
          </w:p>
        </w:tc>
        <w:tc>
          <w:tcPr>
            <w:tcW w:w="1276" w:type="dxa"/>
            <w:noWrap/>
          </w:tcPr>
          <w:p w:rsidR="00D00FEE" w:rsidRPr="00D00FEE" w:rsidRDefault="00D00FEE" w:rsidP="00D00FEE">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D00FEE">
              <w:rPr>
                <w:color w:val="auto"/>
                <w:sz w:val="16"/>
                <w:szCs w:val="16"/>
              </w:rPr>
              <w:t>+6,860</w:t>
            </w:r>
          </w:p>
        </w:tc>
      </w:tr>
      <w:tr w:rsidR="00D00FEE" w:rsidRPr="002277C4" w:rsidTr="00D00FEE">
        <w:trPr>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Kent and Medway Area Team</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71.7</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71.1</w:t>
            </w:r>
          </w:p>
        </w:tc>
        <w:tc>
          <w:tcPr>
            <w:tcW w:w="992" w:type="dxa"/>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70.9</w:t>
            </w:r>
          </w:p>
        </w:tc>
        <w:tc>
          <w:tcPr>
            <w:tcW w:w="1276" w:type="dxa"/>
            <w:noWrap/>
          </w:tcPr>
          <w:p w:rsidR="00D00FEE" w:rsidRPr="00D00FEE" w:rsidRDefault="00D00FEE" w:rsidP="00D00FEE">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D00FEE">
              <w:rPr>
                <w:color w:val="auto"/>
                <w:sz w:val="16"/>
                <w:szCs w:val="16"/>
              </w:rPr>
              <w:t>+14,185</w:t>
            </w:r>
          </w:p>
        </w:tc>
      </w:tr>
      <w:tr w:rsidR="00D00FEE" w:rsidRPr="002277C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Lancashire Area Team</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75.6</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76.5</w:t>
            </w:r>
          </w:p>
        </w:tc>
        <w:tc>
          <w:tcPr>
            <w:tcW w:w="992" w:type="dxa"/>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75.2</w:t>
            </w:r>
          </w:p>
        </w:tc>
        <w:tc>
          <w:tcPr>
            <w:tcW w:w="1276" w:type="dxa"/>
            <w:noWrap/>
          </w:tcPr>
          <w:p w:rsidR="00D00FEE" w:rsidRPr="00D00FEE" w:rsidRDefault="00D00FEE" w:rsidP="00D00FEE">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D00FEE">
              <w:rPr>
                <w:color w:val="auto"/>
                <w:sz w:val="16"/>
                <w:szCs w:val="16"/>
              </w:rPr>
              <w:t>-</w:t>
            </w:r>
          </w:p>
        </w:tc>
      </w:tr>
      <w:tr w:rsidR="00D00FEE" w:rsidRPr="002277C4" w:rsidTr="00D00FEE">
        <w:trPr>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Leicestershire and Lincolnshire Area Team</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72.5</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72.9</w:t>
            </w:r>
          </w:p>
        </w:tc>
        <w:tc>
          <w:tcPr>
            <w:tcW w:w="992" w:type="dxa"/>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72.9</w:t>
            </w:r>
          </w:p>
        </w:tc>
        <w:tc>
          <w:tcPr>
            <w:tcW w:w="1276" w:type="dxa"/>
            <w:noWrap/>
          </w:tcPr>
          <w:p w:rsidR="00D00FEE" w:rsidRPr="00D00FEE" w:rsidRDefault="00D00FEE" w:rsidP="00D00FEE">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D00FEE">
              <w:rPr>
                <w:color w:val="auto"/>
                <w:sz w:val="16"/>
                <w:szCs w:val="16"/>
              </w:rPr>
              <w:t>+7,439</w:t>
            </w:r>
          </w:p>
        </w:tc>
      </w:tr>
      <w:tr w:rsidR="00D00FEE" w:rsidRPr="002277C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London Area Team</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71.2</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70.0</w:t>
            </w:r>
          </w:p>
        </w:tc>
        <w:tc>
          <w:tcPr>
            <w:tcW w:w="992" w:type="dxa"/>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69.2</w:t>
            </w:r>
          </w:p>
        </w:tc>
        <w:tc>
          <w:tcPr>
            <w:tcW w:w="1276" w:type="dxa"/>
            <w:noWrap/>
          </w:tcPr>
          <w:p w:rsidR="00D00FEE" w:rsidRPr="00D00FEE" w:rsidRDefault="00D00FEE" w:rsidP="00D00FEE">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D00FEE">
              <w:rPr>
                <w:color w:val="auto"/>
                <w:sz w:val="16"/>
                <w:szCs w:val="16"/>
              </w:rPr>
              <w:t>+59,644</w:t>
            </w:r>
          </w:p>
        </w:tc>
      </w:tr>
      <w:tr w:rsidR="00D00FEE" w:rsidRPr="002277C4" w:rsidTr="00D00FEE">
        <w:trPr>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Merseyside Area Team</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76.9</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76.5</w:t>
            </w:r>
          </w:p>
        </w:tc>
        <w:tc>
          <w:tcPr>
            <w:tcW w:w="992" w:type="dxa"/>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76.5</w:t>
            </w:r>
          </w:p>
        </w:tc>
        <w:tc>
          <w:tcPr>
            <w:tcW w:w="1276" w:type="dxa"/>
            <w:noWrap/>
          </w:tcPr>
          <w:p w:rsidR="00D00FEE" w:rsidRPr="00D00FEE" w:rsidRDefault="00D00FEE" w:rsidP="00D00FEE">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D00FEE">
              <w:rPr>
                <w:color w:val="auto"/>
                <w:sz w:val="16"/>
                <w:szCs w:val="16"/>
              </w:rPr>
              <w:t>-</w:t>
            </w:r>
          </w:p>
        </w:tc>
      </w:tr>
      <w:tr w:rsidR="00D00FEE" w:rsidRPr="002277C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North Yorkshire and the Humber Area Team</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73.3</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73.0</w:t>
            </w:r>
          </w:p>
        </w:tc>
        <w:tc>
          <w:tcPr>
            <w:tcW w:w="992" w:type="dxa"/>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72.6</w:t>
            </w:r>
          </w:p>
        </w:tc>
        <w:tc>
          <w:tcPr>
            <w:tcW w:w="1276" w:type="dxa"/>
            <w:noWrap/>
          </w:tcPr>
          <w:p w:rsidR="00D00FEE" w:rsidRPr="00D00FEE" w:rsidRDefault="00D00FEE" w:rsidP="00D00FEE">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D00FEE">
              <w:rPr>
                <w:color w:val="auto"/>
                <w:sz w:val="16"/>
                <w:szCs w:val="16"/>
              </w:rPr>
              <w:t>+8,354</w:t>
            </w:r>
          </w:p>
        </w:tc>
      </w:tr>
      <w:tr w:rsidR="00D00FEE" w:rsidRPr="002277C4" w:rsidTr="00D00FEE">
        <w:trPr>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Shropshire and Staffordshire Area Team</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72.0</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72.3</w:t>
            </w:r>
          </w:p>
        </w:tc>
        <w:tc>
          <w:tcPr>
            <w:tcW w:w="992" w:type="dxa"/>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72.2</w:t>
            </w:r>
          </w:p>
        </w:tc>
        <w:tc>
          <w:tcPr>
            <w:tcW w:w="1276" w:type="dxa"/>
            <w:noWrap/>
          </w:tcPr>
          <w:p w:rsidR="00D00FEE" w:rsidRPr="00D00FEE" w:rsidRDefault="00D00FEE" w:rsidP="00D00FEE">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D00FEE">
              <w:rPr>
                <w:color w:val="auto"/>
                <w:sz w:val="16"/>
                <w:szCs w:val="16"/>
              </w:rPr>
              <w:t>+9,022</w:t>
            </w:r>
          </w:p>
        </w:tc>
      </w:tr>
      <w:tr w:rsidR="00D00FEE" w:rsidRPr="002277C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South Yorkshire and Bassetlaw Area Team</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74.2</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74.6</w:t>
            </w:r>
          </w:p>
        </w:tc>
        <w:tc>
          <w:tcPr>
            <w:tcW w:w="992" w:type="dxa"/>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74.3</w:t>
            </w:r>
          </w:p>
        </w:tc>
        <w:tc>
          <w:tcPr>
            <w:tcW w:w="1276" w:type="dxa"/>
            <w:noWrap/>
          </w:tcPr>
          <w:p w:rsidR="00D00FEE" w:rsidRPr="00D00FEE" w:rsidRDefault="00D00FEE" w:rsidP="00D00FEE">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D00FEE">
              <w:rPr>
                <w:color w:val="auto"/>
                <w:sz w:val="16"/>
                <w:szCs w:val="16"/>
              </w:rPr>
              <w:t>+1,888</w:t>
            </w:r>
          </w:p>
        </w:tc>
      </w:tr>
      <w:tr w:rsidR="00D00FEE" w:rsidRPr="002277C4" w:rsidTr="00D00FEE">
        <w:trPr>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Surrey and Sussex Area Team</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70.6</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70.6</w:t>
            </w:r>
          </w:p>
        </w:tc>
        <w:tc>
          <w:tcPr>
            <w:tcW w:w="992" w:type="dxa"/>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70.2</w:t>
            </w:r>
          </w:p>
        </w:tc>
        <w:tc>
          <w:tcPr>
            <w:tcW w:w="1276" w:type="dxa"/>
            <w:noWrap/>
          </w:tcPr>
          <w:p w:rsidR="00D00FEE" w:rsidRPr="00D00FEE" w:rsidRDefault="00D00FEE" w:rsidP="00D00FEE">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D00FEE">
              <w:rPr>
                <w:color w:val="auto"/>
                <w:sz w:val="16"/>
                <w:szCs w:val="16"/>
              </w:rPr>
              <w:t>+27,187</w:t>
            </w:r>
          </w:p>
        </w:tc>
      </w:tr>
      <w:tr w:rsidR="00D00FEE" w:rsidRPr="002277C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Thames Valley Area Team</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74.4</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74.3</w:t>
            </w:r>
          </w:p>
        </w:tc>
        <w:tc>
          <w:tcPr>
            <w:tcW w:w="992" w:type="dxa"/>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73.9</w:t>
            </w:r>
          </w:p>
        </w:tc>
        <w:tc>
          <w:tcPr>
            <w:tcW w:w="1276" w:type="dxa"/>
            <w:noWrap/>
          </w:tcPr>
          <w:p w:rsidR="00D00FEE" w:rsidRPr="00D00FEE" w:rsidRDefault="00D00FEE" w:rsidP="00D00FEE">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D00FEE">
              <w:rPr>
                <w:color w:val="auto"/>
                <w:sz w:val="16"/>
                <w:szCs w:val="16"/>
              </w:rPr>
              <w:t>+3,879</w:t>
            </w:r>
          </w:p>
        </w:tc>
      </w:tr>
      <w:tr w:rsidR="00D00FEE" w:rsidRPr="002277C4" w:rsidTr="00D00FEE">
        <w:trPr>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Wessex Area Team</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73.9</w:t>
            </w:r>
          </w:p>
        </w:tc>
        <w:tc>
          <w:tcPr>
            <w:tcW w:w="1134" w:type="dxa"/>
            <w:noWrap/>
            <w:hideMark/>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2277C4">
              <w:rPr>
                <w:color w:val="auto"/>
                <w:sz w:val="16"/>
                <w:szCs w:val="16"/>
              </w:rPr>
              <w:t>74.0</w:t>
            </w:r>
          </w:p>
        </w:tc>
        <w:tc>
          <w:tcPr>
            <w:tcW w:w="992" w:type="dxa"/>
          </w:tcPr>
          <w:p w:rsidR="00D00FEE" w:rsidRPr="002277C4" w:rsidRDefault="00D00FEE" w:rsidP="002277C4">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73.4</w:t>
            </w:r>
          </w:p>
        </w:tc>
        <w:tc>
          <w:tcPr>
            <w:tcW w:w="1276" w:type="dxa"/>
            <w:noWrap/>
          </w:tcPr>
          <w:p w:rsidR="00D00FEE" w:rsidRPr="00D00FEE" w:rsidRDefault="00D00FEE" w:rsidP="00D00FEE">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D00FEE">
              <w:rPr>
                <w:color w:val="auto"/>
                <w:sz w:val="16"/>
                <w:szCs w:val="16"/>
              </w:rPr>
              <w:t>+9,244</w:t>
            </w:r>
          </w:p>
        </w:tc>
      </w:tr>
      <w:tr w:rsidR="00D00FEE" w:rsidRPr="002277C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vAlign w:val="bottom"/>
            <w:hideMark/>
          </w:tcPr>
          <w:p w:rsidR="00D00FEE" w:rsidRPr="002277C4" w:rsidRDefault="00D00FEE">
            <w:pPr>
              <w:rPr>
                <w:rFonts w:cs="Arial"/>
                <w:color w:val="000000"/>
                <w:sz w:val="16"/>
                <w:szCs w:val="16"/>
              </w:rPr>
            </w:pPr>
            <w:r w:rsidRPr="002277C4">
              <w:rPr>
                <w:rFonts w:cs="Arial"/>
                <w:color w:val="000000"/>
                <w:sz w:val="16"/>
                <w:szCs w:val="16"/>
              </w:rPr>
              <w:t>West Yorkshire Area Team</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75.1</w:t>
            </w:r>
          </w:p>
        </w:tc>
        <w:tc>
          <w:tcPr>
            <w:tcW w:w="1134" w:type="dxa"/>
            <w:noWrap/>
            <w:hideMark/>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2277C4">
              <w:rPr>
                <w:color w:val="auto"/>
                <w:sz w:val="16"/>
                <w:szCs w:val="16"/>
              </w:rPr>
              <w:t>74.9</w:t>
            </w:r>
          </w:p>
        </w:tc>
        <w:tc>
          <w:tcPr>
            <w:tcW w:w="992" w:type="dxa"/>
          </w:tcPr>
          <w:p w:rsidR="00D00FEE" w:rsidRPr="002277C4" w:rsidRDefault="00D00FEE" w:rsidP="002277C4">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75.1</w:t>
            </w:r>
          </w:p>
        </w:tc>
        <w:tc>
          <w:tcPr>
            <w:tcW w:w="1276" w:type="dxa"/>
            <w:noWrap/>
          </w:tcPr>
          <w:p w:rsidR="00D00FEE" w:rsidRPr="00D00FEE" w:rsidRDefault="00D00FEE" w:rsidP="00D00FEE">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D00FEE">
              <w:rPr>
                <w:color w:val="auto"/>
                <w:sz w:val="16"/>
                <w:szCs w:val="16"/>
              </w:rPr>
              <w:t>-</w:t>
            </w:r>
          </w:p>
        </w:tc>
      </w:tr>
    </w:tbl>
    <w:p w:rsidR="002277C4" w:rsidRPr="00970924" w:rsidRDefault="002277C4" w:rsidP="002277C4">
      <w:pPr>
        <w:pStyle w:val="Heading3"/>
      </w:pPr>
      <w:r w:rsidRPr="00970924">
        <w:t>Under 65 in an ‘At Risk’ group</w:t>
      </w:r>
    </w:p>
    <w:tbl>
      <w:tblPr>
        <w:tblStyle w:val="LightShading"/>
        <w:tblW w:w="9889" w:type="dxa"/>
        <w:tblLook w:val="04A0" w:firstRow="1" w:lastRow="0" w:firstColumn="1" w:lastColumn="0" w:noHBand="0" w:noVBand="1"/>
      </w:tblPr>
      <w:tblGrid>
        <w:gridCol w:w="5353"/>
        <w:gridCol w:w="1134"/>
        <w:gridCol w:w="1134"/>
        <w:gridCol w:w="992"/>
        <w:gridCol w:w="1276"/>
      </w:tblGrid>
      <w:tr w:rsidR="00ED7FE9" w:rsidRPr="00970924" w:rsidTr="00ED7FE9">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ED7FE9" w:rsidRPr="00970924" w:rsidRDefault="00ED7FE9" w:rsidP="002277C4">
            <w:pPr>
              <w:rPr>
                <w:rFonts w:ascii="Calibri" w:eastAsia="Times New Roman" w:hAnsi="Calibri" w:cs="Arial"/>
                <w:color w:val="000000"/>
                <w:sz w:val="16"/>
                <w:szCs w:val="16"/>
                <w:lang w:eastAsia="en-GB"/>
              </w:rPr>
            </w:pPr>
          </w:p>
        </w:tc>
        <w:tc>
          <w:tcPr>
            <w:tcW w:w="1134" w:type="dxa"/>
            <w:noWrap/>
            <w:hideMark/>
          </w:tcPr>
          <w:p w:rsidR="00ED7FE9" w:rsidRPr="00970924" w:rsidRDefault="00ED7FE9" w:rsidP="00C213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Pr>
                <w:rFonts w:ascii="Calibri" w:eastAsia="Times New Roman" w:hAnsi="Calibri" w:cs="Arial"/>
                <w:color w:val="000000"/>
                <w:sz w:val="16"/>
                <w:szCs w:val="16"/>
                <w:lang w:eastAsia="en-GB"/>
              </w:rPr>
              <w:br/>
              <w:t>2012/13</w:t>
            </w:r>
            <w:r w:rsidRPr="00970924">
              <w:rPr>
                <w:rFonts w:ascii="Calibri" w:eastAsia="Times New Roman" w:hAnsi="Calibri" w:cs="Arial"/>
                <w:color w:val="000000"/>
                <w:sz w:val="16"/>
                <w:szCs w:val="16"/>
                <w:lang w:eastAsia="en-GB"/>
              </w:rPr>
              <w:br/>
              <w:t>%</w:t>
            </w:r>
          </w:p>
        </w:tc>
        <w:tc>
          <w:tcPr>
            <w:tcW w:w="1134" w:type="dxa"/>
          </w:tcPr>
          <w:p w:rsidR="00ED7FE9" w:rsidRPr="00970924" w:rsidRDefault="00ED7FE9" w:rsidP="00ED7F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Pr>
                <w:rFonts w:ascii="Calibri" w:eastAsia="Times New Roman" w:hAnsi="Calibri" w:cs="Arial"/>
                <w:color w:val="000000"/>
                <w:sz w:val="16"/>
                <w:szCs w:val="16"/>
                <w:lang w:eastAsia="en-GB"/>
              </w:rPr>
              <w:br/>
              <w:t>2013/14</w:t>
            </w:r>
            <w:r w:rsidRPr="00970924">
              <w:rPr>
                <w:rFonts w:ascii="Calibri" w:eastAsia="Times New Roman" w:hAnsi="Calibri" w:cs="Arial"/>
                <w:color w:val="000000"/>
                <w:sz w:val="16"/>
                <w:szCs w:val="16"/>
                <w:lang w:eastAsia="en-GB"/>
              </w:rPr>
              <w:br/>
              <w:t>%</w:t>
            </w:r>
          </w:p>
        </w:tc>
        <w:tc>
          <w:tcPr>
            <w:tcW w:w="992" w:type="dxa"/>
            <w:noWrap/>
            <w:hideMark/>
          </w:tcPr>
          <w:p w:rsidR="00ED7FE9" w:rsidRPr="00970924" w:rsidRDefault="00ED7FE9" w:rsidP="00C213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Pr>
                <w:rFonts w:ascii="Calibri" w:eastAsia="Times New Roman" w:hAnsi="Calibri" w:cs="Arial"/>
                <w:color w:val="000000"/>
                <w:sz w:val="16"/>
                <w:szCs w:val="16"/>
                <w:lang w:eastAsia="en-GB"/>
              </w:rPr>
              <w:t>[1]</w:t>
            </w:r>
            <w:r>
              <w:rPr>
                <w:rFonts w:ascii="Calibri" w:eastAsia="Times New Roman" w:hAnsi="Calibri" w:cs="Arial"/>
                <w:color w:val="000000"/>
                <w:sz w:val="16"/>
                <w:szCs w:val="16"/>
                <w:lang w:eastAsia="en-GB"/>
              </w:rPr>
              <w:br/>
              <w:t>2014/15</w:t>
            </w:r>
            <w:r w:rsidRPr="00970924">
              <w:rPr>
                <w:rFonts w:ascii="Calibri" w:eastAsia="Times New Roman" w:hAnsi="Calibri" w:cs="Arial"/>
                <w:color w:val="000000"/>
                <w:sz w:val="16"/>
                <w:szCs w:val="16"/>
                <w:lang w:eastAsia="en-GB"/>
              </w:rPr>
              <w:br/>
              <w:t>%</w:t>
            </w:r>
          </w:p>
        </w:tc>
        <w:tc>
          <w:tcPr>
            <w:tcW w:w="1276" w:type="dxa"/>
            <w:noWrap/>
            <w:hideMark/>
          </w:tcPr>
          <w:p w:rsidR="00ED7FE9" w:rsidRPr="00970924" w:rsidRDefault="00A065CC" w:rsidP="000B6C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Pr>
                <w:rFonts w:ascii="Calibri" w:eastAsia="Times New Roman" w:hAnsi="Calibri" w:cs="Arial"/>
                <w:color w:val="000000"/>
                <w:sz w:val="16"/>
                <w:szCs w:val="16"/>
                <w:lang w:eastAsia="en-GB"/>
              </w:rPr>
              <w:t>[B]</w:t>
            </w:r>
            <w:r>
              <w:rPr>
                <w:rFonts w:ascii="Calibri" w:eastAsia="Times New Roman" w:hAnsi="Calibri" w:cs="Arial"/>
                <w:color w:val="000000"/>
                <w:sz w:val="16"/>
                <w:szCs w:val="16"/>
                <w:lang w:eastAsia="en-GB"/>
              </w:rPr>
              <w:br/>
              <w:t>Meet in</w:t>
            </w:r>
            <w:r>
              <w:rPr>
                <w:rFonts w:ascii="Calibri" w:eastAsia="Times New Roman" w:hAnsi="Calibri" w:cs="Arial"/>
                <w:color w:val="000000"/>
                <w:sz w:val="16"/>
                <w:szCs w:val="16"/>
                <w:lang w:eastAsia="en-GB"/>
              </w:rPr>
              <w:br/>
              <w:t>2015</w:t>
            </w:r>
            <w:r w:rsidR="00ED7FE9">
              <w:rPr>
                <w:rFonts w:ascii="Calibri" w:eastAsia="Times New Roman" w:hAnsi="Calibri" w:cs="Arial"/>
                <w:color w:val="000000"/>
                <w:sz w:val="16"/>
                <w:szCs w:val="16"/>
                <w:lang w:eastAsia="en-GB"/>
              </w:rPr>
              <w:t>/1</w:t>
            </w:r>
            <w:r>
              <w:rPr>
                <w:rFonts w:ascii="Calibri" w:eastAsia="Times New Roman" w:hAnsi="Calibri" w:cs="Arial"/>
                <w:color w:val="000000"/>
                <w:sz w:val="16"/>
                <w:szCs w:val="16"/>
                <w:lang w:eastAsia="en-GB"/>
              </w:rPr>
              <w:t>6</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Arden, Herefordshire and Worcestershire Area Team</w:t>
            </w:r>
          </w:p>
        </w:tc>
        <w:tc>
          <w:tcPr>
            <w:tcW w:w="1134"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53.8</w:t>
            </w:r>
          </w:p>
        </w:tc>
        <w:tc>
          <w:tcPr>
            <w:tcW w:w="1134" w:type="dxa"/>
          </w:tcPr>
          <w:p w:rsidR="00A065CC" w:rsidRPr="005F2997" w:rsidRDefault="00A065CC" w:rsidP="00ED7FE9">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55.9</w:t>
            </w:r>
          </w:p>
        </w:tc>
        <w:tc>
          <w:tcPr>
            <w:tcW w:w="992"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54.6</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+36,140</w:t>
            </w:r>
          </w:p>
        </w:tc>
      </w:tr>
      <w:tr w:rsidR="00A065CC" w:rsidRPr="00970924" w:rsidTr="00D00FEE">
        <w:trPr>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Bath, Gloucestershire, Swindon and Wiltshire Area Team</w:t>
            </w:r>
          </w:p>
        </w:tc>
        <w:tc>
          <w:tcPr>
            <w:tcW w:w="1134"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51.6</w:t>
            </w:r>
          </w:p>
        </w:tc>
        <w:tc>
          <w:tcPr>
            <w:tcW w:w="1134" w:type="dxa"/>
          </w:tcPr>
          <w:p w:rsidR="00A065CC" w:rsidRPr="005F2997" w:rsidRDefault="00A065CC" w:rsidP="00ED7FE9">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51.1</w:t>
            </w:r>
          </w:p>
        </w:tc>
        <w:tc>
          <w:tcPr>
            <w:tcW w:w="992"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48.3</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+43,927</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Birmingham and The Black Country Area Team</w:t>
            </w:r>
          </w:p>
        </w:tc>
        <w:tc>
          <w:tcPr>
            <w:tcW w:w="1134"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50.7</w:t>
            </w:r>
          </w:p>
        </w:tc>
        <w:tc>
          <w:tcPr>
            <w:tcW w:w="1134" w:type="dxa"/>
          </w:tcPr>
          <w:p w:rsidR="00A065CC" w:rsidRPr="005F2997" w:rsidRDefault="00A065CC" w:rsidP="00ED7FE9">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50.9</w:t>
            </w:r>
          </w:p>
        </w:tc>
        <w:tc>
          <w:tcPr>
            <w:tcW w:w="992"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50.3</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+75,638</w:t>
            </w:r>
          </w:p>
        </w:tc>
      </w:tr>
      <w:tr w:rsidR="00A065CC" w:rsidRPr="00970924" w:rsidTr="00D00FEE">
        <w:trPr>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Bristol, North Somerset, Somerset and South Gloucestershire Area Team</w:t>
            </w:r>
          </w:p>
        </w:tc>
        <w:tc>
          <w:tcPr>
            <w:tcW w:w="1134"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51.8</w:t>
            </w:r>
          </w:p>
        </w:tc>
        <w:tc>
          <w:tcPr>
            <w:tcW w:w="1134" w:type="dxa"/>
          </w:tcPr>
          <w:p w:rsidR="00A065CC" w:rsidRPr="005F2997" w:rsidRDefault="00A065CC" w:rsidP="00ED7FE9">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53.1</w:t>
            </w:r>
          </w:p>
        </w:tc>
        <w:tc>
          <w:tcPr>
            <w:tcW w:w="992"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51.4</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+38,042</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Cheshire, Warrington and Wirral Area Team</w:t>
            </w:r>
          </w:p>
        </w:tc>
        <w:tc>
          <w:tcPr>
            <w:tcW w:w="1134"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53.3</w:t>
            </w:r>
          </w:p>
        </w:tc>
        <w:tc>
          <w:tcPr>
            <w:tcW w:w="1134" w:type="dxa"/>
          </w:tcPr>
          <w:p w:rsidR="00A065CC" w:rsidRPr="005F2997" w:rsidRDefault="00A065CC" w:rsidP="00ED7FE9">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55.2</w:t>
            </w:r>
          </w:p>
        </w:tc>
        <w:tc>
          <w:tcPr>
            <w:tcW w:w="992"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51.9</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+32,971</w:t>
            </w:r>
          </w:p>
        </w:tc>
      </w:tr>
      <w:tr w:rsidR="00A065CC" w:rsidRPr="00970924" w:rsidTr="00D00FEE">
        <w:trPr>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Cumbria, Northumberland, Tyne and Wear Area Team</w:t>
            </w:r>
          </w:p>
        </w:tc>
        <w:tc>
          <w:tcPr>
            <w:tcW w:w="1134"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55.6</w:t>
            </w:r>
          </w:p>
        </w:tc>
        <w:tc>
          <w:tcPr>
            <w:tcW w:w="1134" w:type="dxa"/>
          </w:tcPr>
          <w:p w:rsidR="00A065CC" w:rsidRPr="005F2997" w:rsidRDefault="00A065CC" w:rsidP="00ED7FE9">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56.4</w:t>
            </w:r>
          </w:p>
        </w:tc>
        <w:tc>
          <w:tcPr>
            <w:tcW w:w="992"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54.2</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+48,053</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Derbyshire and Nottinghamshire Area Team</w:t>
            </w:r>
          </w:p>
        </w:tc>
        <w:tc>
          <w:tcPr>
            <w:tcW w:w="1134"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51.9</w:t>
            </w:r>
          </w:p>
        </w:tc>
        <w:tc>
          <w:tcPr>
            <w:tcW w:w="1134" w:type="dxa"/>
          </w:tcPr>
          <w:p w:rsidR="00A065CC" w:rsidRPr="005F2997" w:rsidRDefault="00A065CC" w:rsidP="00ED7FE9">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52.3</w:t>
            </w:r>
          </w:p>
        </w:tc>
        <w:tc>
          <w:tcPr>
            <w:tcW w:w="992"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49.5</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+58,762</w:t>
            </w:r>
          </w:p>
        </w:tc>
      </w:tr>
      <w:tr w:rsidR="00A065CC" w:rsidRPr="00970924" w:rsidTr="00D00FEE">
        <w:trPr>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Devon, Cornwall and Isles Of Scilly Area Team</w:t>
            </w:r>
          </w:p>
        </w:tc>
        <w:tc>
          <w:tcPr>
            <w:tcW w:w="1134"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50.1</w:t>
            </w:r>
          </w:p>
        </w:tc>
        <w:tc>
          <w:tcPr>
            <w:tcW w:w="1134" w:type="dxa"/>
          </w:tcPr>
          <w:p w:rsidR="00A065CC" w:rsidRPr="005F2997" w:rsidRDefault="00A065CC" w:rsidP="00ED7FE9">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50.0</w:t>
            </w:r>
          </w:p>
        </w:tc>
        <w:tc>
          <w:tcPr>
            <w:tcW w:w="992"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46.8</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+52,720</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Durham, Darlington and Tees Area Team</w:t>
            </w:r>
          </w:p>
        </w:tc>
        <w:tc>
          <w:tcPr>
            <w:tcW w:w="1134"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49.1</w:t>
            </w:r>
          </w:p>
        </w:tc>
        <w:tc>
          <w:tcPr>
            <w:tcW w:w="1134" w:type="dxa"/>
          </w:tcPr>
          <w:p w:rsidR="00A065CC" w:rsidRPr="005F2997" w:rsidRDefault="00A065CC" w:rsidP="00ED7FE9">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50.5</w:t>
            </w:r>
          </w:p>
        </w:tc>
        <w:tc>
          <w:tcPr>
            <w:tcW w:w="992"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48.3</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+39,326</w:t>
            </w:r>
          </w:p>
        </w:tc>
      </w:tr>
      <w:tr w:rsidR="00A065CC" w:rsidRPr="00970924" w:rsidTr="00D00FEE">
        <w:trPr>
          <w:trHeight w:val="252"/>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East Anglia Area Team</w:t>
            </w:r>
          </w:p>
        </w:tc>
        <w:tc>
          <w:tcPr>
            <w:tcW w:w="1134"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47.8</w:t>
            </w:r>
          </w:p>
        </w:tc>
        <w:tc>
          <w:tcPr>
            <w:tcW w:w="1134" w:type="dxa"/>
          </w:tcPr>
          <w:p w:rsidR="00A065CC" w:rsidRPr="005F2997" w:rsidRDefault="00A065CC" w:rsidP="00ED7FE9">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49.2</w:t>
            </w:r>
          </w:p>
        </w:tc>
        <w:tc>
          <w:tcPr>
            <w:tcW w:w="992"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37.7</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+104,360</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Essex Area Team</w:t>
            </w:r>
          </w:p>
        </w:tc>
        <w:tc>
          <w:tcPr>
            <w:tcW w:w="1134"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46.8</w:t>
            </w:r>
          </w:p>
        </w:tc>
        <w:tc>
          <w:tcPr>
            <w:tcW w:w="1134" w:type="dxa"/>
          </w:tcPr>
          <w:p w:rsidR="00A065CC" w:rsidRPr="005F2997" w:rsidRDefault="00A065CC" w:rsidP="00ED7FE9">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47.2</w:t>
            </w:r>
          </w:p>
        </w:tc>
        <w:tc>
          <w:tcPr>
            <w:tcW w:w="992"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46.3</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+54,115</w:t>
            </w:r>
          </w:p>
        </w:tc>
      </w:tr>
      <w:tr w:rsidR="00A065CC" w:rsidRPr="00970924" w:rsidTr="00D00FEE">
        <w:trPr>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Greater Manchester Area Team</w:t>
            </w:r>
          </w:p>
        </w:tc>
        <w:tc>
          <w:tcPr>
            <w:tcW w:w="1134"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56.0</w:t>
            </w:r>
          </w:p>
        </w:tc>
        <w:tc>
          <w:tcPr>
            <w:tcW w:w="1134" w:type="dxa"/>
          </w:tcPr>
          <w:p w:rsidR="00A065CC" w:rsidRPr="005F2997" w:rsidRDefault="00A065CC" w:rsidP="00ED7FE9">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56.9</w:t>
            </w:r>
          </w:p>
        </w:tc>
        <w:tc>
          <w:tcPr>
            <w:tcW w:w="992"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54.4</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+68,112</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Hertfordshire and The South Midlands Area Team</w:t>
            </w:r>
          </w:p>
        </w:tc>
        <w:tc>
          <w:tcPr>
            <w:tcW w:w="1134"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48.6</w:t>
            </w:r>
          </w:p>
        </w:tc>
        <w:tc>
          <w:tcPr>
            <w:tcW w:w="1134" w:type="dxa"/>
          </w:tcPr>
          <w:p w:rsidR="00A065CC" w:rsidRPr="005F2997" w:rsidRDefault="00A065CC" w:rsidP="00ED7FE9">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50.5</w:t>
            </w:r>
          </w:p>
        </w:tc>
        <w:tc>
          <w:tcPr>
            <w:tcW w:w="992"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48.5</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+81,584</w:t>
            </w:r>
          </w:p>
        </w:tc>
      </w:tr>
      <w:tr w:rsidR="00A065CC" w:rsidRPr="00970924" w:rsidTr="00D00FEE">
        <w:trPr>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Kent and Medway Area Team</w:t>
            </w:r>
          </w:p>
        </w:tc>
        <w:tc>
          <w:tcPr>
            <w:tcW w:w="1134"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49.4</w:t>
            </w:r>
          </w:p>
        </w:tc>
        <w:tc>
          <w:tcPr>
            <w:tcW w:w="1134" w:type="dxa"/>
          </w:tcPr>
          <w:p w:rsidR="00A065CC" w:rsidRPr="005F2997" w:rsidRDefault="00A065CC" w:rsidP="00ED7FE9">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49.9</w:t>
            </w:r>
          </w:p>
        </w:tc>
        <w:tc>
          <w:tcPr>
            <w:tcW w:w="992"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48.2</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+47,760</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Lancashire Area Team</w:t>
            </w:r>
          </w:p>
        </w:tc>
        <w:tc>
          <w:tcPr>
            <w:tcW w:w="1134"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53.3</w:t>
            </w:r>
          </w:p>
        </w:tc>
        <w:tc>
          <w:tcPr>
            <w:tcW w:w="1134" w:type="dxa"/>
          </w:tcPr>
          <w:p w:rsidR="00A065CC" w:rsidRPr="005F2997" w:rsidRDefault="00A065CC" w:rsidP="00ED7FE9">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56.9</w:t>
            </w:r>
          </w:p>
        </w:tc>
        <w:tc>
          <w:tcPr>
            <w:tcW w:w="992"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53.6</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+37,838</w:t>
            </w:r>
          </w:p>
        </w:tc>
      </w:tr>
      <w:tr w:rsidR="00A065CC" w:rsidRPr="00970924" w:rsidTr="00D00FEE">
        <w:trPr>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Leicestershire and Lincolnshire Area Team</w:t>
            </w:r>
          </w:p>
        </w:tc>
        <w:tc>
          <w:tcPr>
            <w:tcW w:w="1134"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49.6</w:t>
            </w:r>
          </w:p>
        </w:tc>
        <w:tc>
          <w:tcPr>
            <w:tcW w:w="1134" w:type="dxa"/>
          </w:tcPr>
          <w:p w:rsidR="00A065CC" w:rsidRPr="005F2997" w:rsidRDefault="00A065CC" w:rsidP="00ED7FE9">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51.0</w:t>
            </w:r>
          </w:p>
        </w:tc>
        <w:tc>
          <w:tcPr>
            <w:tcW w:w="992"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49.3</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+52,288</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London Area Team</w:t>
            </w:r>
          </w:p>
        </w:tc>
        <w:tc>
          <w:tcPr>
            <w:tcW w:w="1134"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50.9</w:t>
            </w:r>
          </w:p>
        </w:tc>
        <w:tc>
          <w:tcPr>
            <w:tcW w:w="1134" w:type="dxa"/>
          </w:tcPr>
          <w:p w:rsidR="00A065CC" w:rsidRPr="005F2997" w:rsidRDefault="00A065CC" w:rsidP="00ED7FE9">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52.0</w:t>
            </w:r>
          </w:p>
        </w:tc>
        <w:tc>
          <w:tcPr>
            <w:tcW w:w="992"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49.8</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+221,659</w:t>
            </w:r>
          </w:p>
        </w:tc>
      </w:tr>
      <w:tr w:rsidR="00A065CC" w:rsidRPr="00970924" w:rsidTr="00D00FEE">
        <w:trPr>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Merseyside Area Team</w:t>
            </w:r>
          </w:p>
        </w:tc>
        <w:tc>
          <w:tcPr>
            <w:tcW w:w="1134"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55.6</w:t>
            </w:r>
          </w:p>
        </w:tc>
        <w:tc>
          <w:tcPr>
            <w:tcW w:w="1134" w:type="dxa"/>
          </w:tcPr>
          <w:p w:rsidR="00A065CC" w:rsidRPr="005F2997" w:rsidRDefault="00A065CC" w:rsidP="00ED7FE9">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55.3</w:t>
            </w:r>
          </w:p>
        </w:tc>
        <w:tc>
          <w:tcPr>
            <w:tcW w:w="992"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54.0</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+30,664</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North Yorkshire and the Humber Area Team</w:t>
            </w:r>
          </w:p>
        </w:tc>
        <w:tc>
          <w:tcPr>
            <w:tcW w:w="1134"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50.4</w:t>
            </w:r>
          </w:p>
        </w:tc>
        <w:tc>
          <w:tcPr>
            <w:tcW w:w="1134" w:type="dxa"/>
          </w:tcPr>
          <w:p w:rsidR="00A065CC" w:rsidRPr="005F2997" w:rsidRDefault="00A065CC" w:rsidP="00ED7FE9">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50.1</w:t>
            </w:r>
          </w:p>
        </w:tc>
        <w:tc>
          <w:tcPr>
            <w:tcW w:w="992"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48.8</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+48,209</w:t>
            </w:r>
          </w:p>
        </w:tc>
      </w:tr>
      <w:tr w:rsidR="00A065CC" w:rsidRPr="00970924" w:rsidTr="00D00FEE">
        <w:trPr>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Shropshire and Staffordshire Area Team</w:t>
            </w:r>
          </w:p>
        </w:tc>
        <w:tc>
          <w:tcPr>
            <w:tcW w:w="1134"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51.0</w:t>
            </w:r>
          </w:p>
        </w:tc>
        <w:tc>
          <w:tcPr>
            <w:tcW w:w="1134" w:type="dxa"/>
          </w:tcPr>
          <w:p w:rsidR="00A065CC" w:rsidRPr="005F2997" w:rsidRDefault="00A065CC" w:rsidP="00ED7FE9">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53.1</w:t>
            </w:r>
          </w:p>
        </w:tc>
        <w:tc>
          <w:tcPr>
            <w:tcW w:w="992"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51.8</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+39,629</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South Yorkshire and Bassetlaw Area Team</w:t>
            </w:r>
          </w:p>
        </w:tc>
        <w:tc>
          <w:tcPr>
            <w:tcW w:w="1134"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52.1</w:t>
            </w:r>
          </w:p>
        </w:tc>
        <w:tc>
          <w:tcPr>
            <w:tcW w:w="1134" w:type="dxa"/>
          </w:tcPr>
          <w:p w:rsidR="00A065CC" w:rsidRPr="005F2997" w:rsidRDefault="00A065CC" w:rsidP="00ED7FE9">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52.6</w:t>
            </w:r>
          </w:p>
        </w:tc>
        <w:tc>
          <w:tcPr>
            <w:tcW w:w="992"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51.2</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+41,669</w:t>
            </w:r>
          </w:p>
        </w:tc>
      </w:tr>
      <w:tr w:rsidR="00A065CC" w:rsidRPr="00970924" w:rsidTr="00D00FEE">
        <w:trPr>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Surrey and Sussex Area Team</w:t>
            </w:r>
          </w:p>
        </w:tc>
        <w:tc>
          <w:tcPr>
            <w:tcW w:w="1134"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47.6</w:t>
            </w:r>
          </w:p>
        </w:tc>
        <w:tc>
          <w:tcPr>
            <w:tcW w:w="1134" w:type="dxa"/>
          </w:tcPr>
          <w:p w:rsidR="00A065CC" w:rsidRPr="005F2997" w:rsidRDefault="00A065CC" w:rsidP="00ED7FE9">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48.9</w:t>
            </w:r>
          </w:p>
        </w:tc>
        <w:tc>
          <w:tcPr>
            <w:tcW w:w="992"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46.3</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+78,067</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Thames Valley Area Team</w:t>
            </w:r>
          </w:p>
        </w:tc>
        <w:tc>
          <w:tcPr>
            <w:tcW w:w="1134"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52.1</w:t>
            </w:r>
          </w:p>
        </w:tc>
        <w:tc>
          <w:tcPr>
            <w:tcW w:w="1134" w:type="dxa"/>
          </w:tcPr>
          <w:p w:rsidR="00A065CC" w:rsidRPr="005F2997" w:rsidRDefault="00A065CC" w:rsidP="00ED7FE9">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54.3</w:t>
            </w:r>
          </w:p>
        </w:tc>
        <w:tc>
          <w:tcPr>
            <w:tcW w:w="992"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52.1</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+50,650</w:t>
            </w:r>
          </w:p>
        </w:tc>
      </w:tr>
      <w:tr w:rsidR="00A065CC" w:rsidRPr="00970924" w:rsidTr="00D00FEE">
        <w:trPr>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Wessex Area Team</w:t>
            </w:r>
          </w:p>
        </w:tc>
        <w:tc>
          <w:tcPr>
            <w:tcW w:w="1134"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53.0</w:t>
            </w:r>
          </w:p>
        </w:tc>
        <w:tc>
          <w:tcPr>
            <w:tcW w:w="1134" w:type="dxa"/>
          </w:tcPr>
          <w:p w:rsidR="00A065CC" w:rsidRPr="005F2997" w:rsidRDefault="00A065CC" w:rsidP="00ED7FE9">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53.1</w:t>
            </w:r>
          </w:p>
        </w:tc>
        <w:tc>
          <w:tcPr>
            <w:tcW w:w="992"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50.8</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+69,594</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53" w:type="dxa"/>
            <w:noWrap/>
            <w:hideMark/>
          </w:tcPr>
          <w:p w:rsidR="00A065CC" w:rsidRPr="005F2997" w:rsidRDefault="00A065CC" w:rsidP="00C213B6">
            <w:pPr>
              <w:rPr>
                <w:rFonts w:cs="Arial"/>
                <w:color w:val="000000"/>
                <w:sz w:val="16"/>
                <w:szCs w:val="16"/>
              </w:rPr>
            </w:pPr>
            <w:r w:rsidRPr="005F2997">
              <w:rPr>
                <w:rFonts w:cs="Arial"/>
                <w:color w:val="000000"/>
                <w:sz w:val="16"/>
                <w:szCs w:val="16"/>
              </w:rPr>
              <w:t>West Yorkshire Area Team</w:t>
            </w:r>
          </w:p>
        </w:tc>
        <w:tc>
          <w:tcPr>
            <w:tcW w:w="1134"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51.4</w:t>
            </w:r>
          </w:p>
        </w:tc>
        <w:tc>
          <w:tcPr>
            <w:tcW w:w="1134" w:type="dxa"/>
          </w:tcPr>
          <w:p w:rsidR="00A065CC" w:rsidRPr="005F2997" w:rsidRDefault="00A065CC" w:rsidP="00ED7FE9">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52.3</w:t>
            </w:r>
          </w:p>
        </w:tc>
        <w:tc>
          <w:tcPr>
            <w:tcW w:w="992"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51.1</w:t>
            </w:r>
          </w:p>
        </w:tc>
        <w:tc>
          <w:tcPr>
            <w:tcW w:w="1276" w:type="dxa"/>
            <w:noWrap/>
          </w:tcPr>
          <w:p w:rsidR="00A065CC" w:rsidRDefault="00A065CC" w:rsidP="00A065CC">
            <w:pPr>
              <w:jc w:val="center"/>
              <w:cnfStyle w:val="000000100000" w:firstRow="0" w:lastRow="0" w:firstColumn="0" w:lastColumn="0" w:oddVBand="0" w:evenVBand="0" w:oddHBand="1" w:evenHBand="0" w:firstRowFirstColumn="0" w:firstRowLastColumn="0" w:lastRowFirstColumn="0" w:lastRowLastColumn="0"/>
            </w:pPr>
            <w:r w:rsidRPr="00A065CC">
              <w:rPr>
                <w:color w:val="auto"/>
                <w:sz w:val="16"/>
                <w:szCs w:val="16"/>
              </w:rPr>
              <w:t>+67,988</w:t>
            </w:r>
          </w:p>
        </w:tc>
      </w:tr>
    </w:tbl>
    <w:p w:rsidR="002277C4" w:rsidRPr="00970924" w:rsidRDefault="002277C4" w:rsidP="002277C4"/>
    <w:p w:rsidR="002277C4" w:rsidRPr="00970924" w:rsidRDefault="002277C4" w:rsidP="002277C4">
      <w:r w:rsidRPr="00970924">
        <w:br w:type="page"/>
      </w:r>
    </w:p>
    <w:p w:rsidR="002277C4" w:rsidRPr="00970924" w:rsidRDefault="002277C4" w:rsidP="002277C4">
      <w:pPr>
        <w:pStyle w:val="Heading3"/>
      </w:pPr>
      <w:r w:rsidRPr="00970924">
        <w:lastRenderedPageBreak/>
        <w:t>Pregnant Women</w:t>
      </w:r>
    </w:p>
    <w:tbl>
      <w:tblPr>
        <w:tblStyle w:val="LightShading"/>
        <w:tblW w:w="10031" w:type="dxa"/>
        <w:tblLook w:val="04A0" w:firstRow="1" w:lastRow="0" w:firstColumn="1" w:lastColumn="0" w:noHBand="0" w:noVBand="1"/>
      </w:tblPr>
      <w:tblGrid>
        <w:gridCol w:w="5637"/>
        <w:gridCol w:w="992"/>
        <w:gridCol w:w="992"/>
        <w:gridCol w:w="1134"/>
        <w:gridCol w:w="1276"/>
      </w:tblGrid>
      <w:tr w:rsidR="00D00FEE" w:rsidRPr="00970924" w:rsidTr="00D00FEE">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D00FEE" w:rsidRPr="00970924" w:rsidRDefault="00D00FEE" w:rsidP="00C213B6">
            <w:pPr>
              <w:rPr>
                <w:rFonts w:ascii="Calibri" w:eastAsia="Times New Roman" w:hAnsi="Calibri" w:cs="Arial"/>
                <w:color w:val="000000"/>
                <w:sz w:val="16"/>
                <w:szCs w:val="16"/>
                <w:lang w:eastAsia="en-GB"/>
              </w:rPr>
            </w:pPr>
          </w:p>
        </w:tc>
        <w:tc>
          <w:tcPr>
            <w:tcW w:w="992" w:type="dxa"/>
            <w:noWrap/>
            <w:hideMark/>
          </w:tcPr>
          <w:p w:rsidR="00D00FEE" w:rsidRPr="00970924" w:rsidRDefault="00D00FEE" w:rsidP="00C213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Pr>
                <w:rFonts w:ascii="Calibri" w:eastAsia="Times New Roman" w:hAnsi="Calibri" w:cs="Arial"/>
                <w:color w:val="000000"/>
                <w:sz w:val="16"/>
                <w:szCs w:val="16"/>
                <w:lang w:eastAsia="en-GB"/>
              </w:rPr>
              <w:br/>
              <w:t>2012/13</w:t>
            </w:r>
            <w:r w:rsidRPr="00970924">
              <w:rPr>
                <w:rFonts w:ascii="Calibri" w:eastAsia="Times New Roman" w:hAnsi="Calibri" w:cs="Arial"/>
                <w:color w:val="000000"/>
                <w:sz w:val="16"/>
                <w:szCs w:val="16"/>
                <w:lang w:eastAsia="en-GB"/>
              </w:rPr>
              <w:br/>
              <w:t>%</w:t>
            </w:r>
          </w:p>
        </w:tc>
        <w:tc>
          <w:tcPr>
            <w:tcW w:w="992" w:type="dxa"/>
          </w:tcPr>
          <w:p w:rsidR="00D00FEE" w:rsidRPr="00970924" w:rsidRDefault="00D00FEE" w:rsidP="00CB0B8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Pr>
                <w:rFonts w:ascii="Calibri" w:eastAsia="Times New Roman" w:hAnsi="Calibri" w:cs="Arial"/>
                <w:color w:val="000000"/>
                <w:sz w:val="16"/>
                <w:szCs w:val="16"/>
                <w:lang w:eastAsia="en-GB"/>
              </w:rPr>
              <w:br/>
              <w:t>2013/14</w:t>
            </w:r>
            <w:r w:rsidRPr="00970924">
              <w:rPr>
                <w:rFonts w:ascii="Calibri" w:eastAsia="Times New Roman" w:hAnsi="Calibri" w:cs="Arial"/>
                <w:color w:val="000000"/>
                <w:sz w:val="16"/>
                <w:szCs w:val="16"/>
                <w:lang w:eastAsia="en-GB"/>
              </w:rPr>
              <w:br/>
              <w:t>%</w:t>
            </w:r>
          </w:p>
        </w:tc>
        <w:tc>
          <w:tcPr>
            <w:tcW w:w="1134" w:type="dxa"/>
            <w:noWrap/>
            <w:hideMark/>
          </w:tcPr>
          <w:p w:rsidR="00D00FEE" w:rsidRPr="00970924" w:rsidRDefault="00D00FEE" w:rsidP="00C213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Pr>
                <w:rFonts w:ascii="Calibri" w:eastAsia="Times New Roman" w:hAnsi="Calibri" w:cs="Arial"/>
                <w:color w:val="000000"/>
                <w:sz w:val="16"/>
                <w:szCs w:val="16"/>
                <w:lang w:eastAsia="en-GB"/>
              </w:rPr>
              <w:t>[1]</w:t>
            </w:r>
            <w:r>
              <w:rPr>
                <w:rFonts w:ascii="Calibri" w:eastAsia="Times New Roman" w:hAnsi="Calibri" w:cs="Arial"/>
                <w:color w:val="000000"/>
                <w:sz w:val="16"/>
                <w:szCs w:val="16"/>
                <w:lang w:eastAsia="en-GB"/>
              </w:rPr>
              <w:br/>
              <w:t>2014/15</w:t>
            </w:r>
            <w:r w:rsidRPr="00970924">
              <w:rPr>
                <w:rFonts w:ascii="Calibri" w:eastAsia="Times New Roman" w:hAnsi="Calibri" w:cs="Arial"/>
                <w:color w:val="000000"/>
                <w:sz w:val="16"/>
                <w:szCs w:val="16"/>
                <w:lang w:eastAsia="en-GB"/>
              </w:rPr>
              <w:br/>
              <w:t>%</w:t>
            </w:r>
          </w:p>
        </w:tc>
        <w:tc>
          <w:tcPr>
            <w:tcW w:w="1276" w:type="dxa"/>
            <w:noWrap/>
            <w:hideMark/>
          </w:tcPr>
          <w:p w:rsidR="00D00FEE" w:rsidRPr="00970924" w:rsidRDefault="00D00FEE" w:rsidP="000B6C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en-GB"/>
              </w:rPr>
            </w:pPr>
            <w:r>
              <w:rPr>
                <w:rFonts w:ascii="Calibri" w:eastAsia="Times New Roman" w:hAnsi="Calibri" w:cs="Arial"/>
                <w:color w:val="000000"/>
                <w:sz w:val="16"/>
                <w:szCs w:val="16"/>
                <w:lang w:eastAsia="en-GB"/>
              </w:rPr>
              <w:t>[C]</w:t>
            </w:r>
            <w:r>
              <w:rPr>
                <w:rFonts w:ascii="Calibri" w:eastAsia="Times New Roman" w:hAnsi="Calibri" w:cs="Arial"/>
                <w:color w:val="000000"/>
                <w:sz w:val="16"/>
                <w:szCs w:val="16"/>
                <w:lang w:eastAsia="en-GB"/>
              </w:rPr>
              <w:br/>
              <w:t>M</w:t>
            </w:r>
            <w:r w:rsidR="00A065CC">
              <w:rPr>
                <w:rFonts w:ascii="Calibri" w:eastAsia="Times New Roman" w:hAnsi="Calibri" w:cs="Arial"/>
                <w:color w:val="000000"/>
                <w:sz w:val="16"/>
                <w:szCs w:val="16"/>
                <w:lang w:eastAsia="en-GB"/>
              </w:rPr>
              <w:t>eet in</w:t>
            </w:r>
            <w:r w:rsidR="00A065CC">
              <w:rPr>
                <w:rFonts w:ascii="Calibri" w:eastAsia="Times New Roman" w:hAnsi="Calibri" w:cs="Arial"/>
                <w:color w:val="000000"/>
                <w:sz w:val="16"/>
                <w:szCs w:val="16"/>
                <w:lang w:eastAsia="en-GB"/>
              </w:rPr>
              <w:br/>
              <w:t>2015</w:t>
            </w:r>
            <w:r>
              <w:rPr>
                <w:rFonts w:ascii="Calibri" w:eastAsia="Times New Roman" w:hAnsi="Calibri" w:cs="Arial"/>
                <w:color w:val="000000"/>
                <w:sz w:val="16"/>
                <w:szCs w:val="16"/>
                <w:lang w:eastAsia="en-GB"/>
              </w:rPr>
              <w:t>/1</w:t>
            </w:r>
            <w:r w:rsidR="00A065CC">
              <w:rPr>
                <w:rFonts w:ascii="Calibri" w:eastAsia="Times New Roman" w:hAnsi="Calibri" w:cs="Arial"/>
                <w:color w:val="000000"/>
                <w:sz w:val="16"/>
                <w:szCs w:val="16"/>
                <w:lang w:eastAsia="en-GB"/>
              </w:rPr>
              <w:t>6</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Arden, Herefordshire and Worcestershire Area Team</w:t>
            </w:r>
          </w:p>
        </w:tc>
        <w:tc>
          <w:tcPr>
            <w:tcW w:w="992"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46.4</w:t>
            </w:r>
          </w:p>
        </w:tc>
        <w:tc>
          <w:tcPr>
            <w:tcW w:w="992" w:type="dxa"/>
          </w:tcPr>
          <w:p w:rsidR="00A065CC" w:rsidRPr="005F2997" w:rsidRDefault="00A065CC" w:rsidP="00CB0B8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41.8</w:t>
            </w:r>
          </w:p>
        </w:tc>
        <w:tc>
          <w:tcPr>
            <w:tcW w:w="1134"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45.3</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+5,921</w:t>
            </w:r>
          </w:p>
        </w:tc>
      </w:tr>
      <w:tr w:rsidR="00A065CC" w:rsidRPr="00970924" w:rsidTr="00D00FEE">
        <w:trPr>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Bath, Gloucestershire, Swindon and Wiltshire Area Team</w:t>
            </w:r>
          </w:p>
        </w:tc>
        <w:tc>
          <w:tcPr>
            <w:tcW w:w="992"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45.0</w:t>
            </w:r>
          </w:p>
        </w:tc>
        <w:tc>
          <w:tcPr>
            <w:tcW w:w="992" w:type="dxa"/>
          </w:tcPr>
          <w:p w:rsidR="00A065CC" w:rsidRPr="005F2997" w:rsidRDefault="00A065CC" w:rsidP="00CB0B8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40.3</w:t>
            </w:r>
          </w:p>
        </w:tc>
        <w:tc>
          <w:tcPr>
            <w:tcW w:w="1134"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44.9</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+3,756</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Birmingham and The Black Country Area Team</w:t>
            </w:r>
          </w:p>
        </w:tc>
        <w:tc>
          <w:tcPr>
            <w:tcW w:w="992"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41.2</w:t>
            </w:r>
          </w:p>
        </w:tc>
        <w:tc>
          <w:tcPr>
            <w:tcW w:w="992" w:type="dxa"/>
          </w:tcPr>
          <w:p w:rsidR="00A065CC" w:rsidRPr="005F2997" w:rsidRDefault="00A065CC" w:rsidP="00CB0B8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39.0</w:t>
            </w:r>
          </w:p>
        </w:tc>
        <w:tc>
          <w:tcPr>
            <w:tcW w:w="1134"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43.6</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+10,881</w:t>
            </w:r>
          </w:p>
        </w:tc>
      </w:tr>
      <w:tr w:rsidR="00A065CC" w:rsidRPr="00970924" w:rsidTr="00D00FEE">
        <w:trPr>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Bristol, North Somerset, Somerset and South Gloucestershire Area Team</w:t>
            </w:r>
          </w:p>
        </w:tc>
        <w:tc>
          <w:tcPr>
            <w:tcW w:w="992"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44.3</w:t>
            </w:r>
          </w:p>
        </w:tc>
        <w:tc>
          <w:tcPr>
            <w:tcW w:w="992" w:type="dxa"/>
          </w:tcPr>
          <w:p w:rsidR="00A065CC" w:rsidRPr="005F2997" w:rsidRDefault="00A065CC" w:rsidP="00CB0B8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41.0</w:t>
            </w:r>
          </w:p>
        </w:tc>
        <w:tc>
          <w:tcPr>
            <w:tcW w:w="1134"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44.6</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+5,817</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Cheshire, Warrington and Wirral Area Team</w:t>
            </w:r>
          </w:p>
        </w:tc>
        <w:tc>
          <w:tcPr>
            <w:tcW w:w="992"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42.5</w:t>
            </w:r>
          </w:p>
        </w:tc>
        <w:tc>
          <w:tcPr>
            <w:tcW w:w="992" w:type="dxa"/>
          </w:tcPr>
          <w:p w:rsidR="00A065CC" w:rsidRPr="005F2997" w:rsidRDefault="00A065CC" w:rsidP="00CB0B8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43.9</w:t>
            </w:r>
          </w:p>
        </w:tc>
        <w:tc>
          <w:tcPr>
            <w:tcW w:w="1134"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50.6</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+3,346</w:t>
            </w:r>
          </w:p>
        </w:tc>
      </w:tr>
      <w:tr w:rsidR="00A065CC" w:rsidRPr="00970924" w:rsidTr="00D00FEE">
        <w:trPr>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Cumbria, Northumberland, Tyne and Wear Area Team</w:t>
            </w:r>
          </w:p>
        </w:tc>
        <w:tc>
          <w:tcPr>
            <w:tcW w:w="992"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40.0</w:t>
            </w:r>
          </w:p>
        </w:tc>
        <w:tc>
          <w:tcPr>
            <w:tcW w:w="992" w:type="dxa"/>
          </w:tcPr>
          <w:p w:rsidR="00A065CC" w:rsidRPr="005F2997" w:rsidRDefault="00A065CC" w:rsidP="00CB0B8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42.2</w:t>
            </w:r>
          </w:p>
        </w:tc>
        <w:tc>
          <w:tcPr>
            <w:tcW w:w="1134"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46.1</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+5,629</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Derbyshire and Nottinghamshire Area Team</w:t>
            </w:r>
          </w:p>
        </w:tc>
        <w:tc>
          <w:tcPr>
            <w:tcW w:w="992"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40.2</w:t>
            </w:r>
          </w:p>
        </w:tc>
        <w:tc>
          <w:tcPr>
            <w:tcW w:w="992" w:type="dxa"/>
          </w:tcPr>
          <w:p w:rsidR="00A065CC" w:rsidRPr="005F2997" w:rsidRDefault="00A065CC" w:rsidP="00CB0B8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42.9</w:t>
            </w:r>
          </w:p>
        </w:tc>
        <w:tc>
          <w:tcPr>
            <w:tcW w:w="1134"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44.7</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+6,354</w:t>
            </w:r>
          </w:p>
        </w:tc>
      </w:tr>
      <w:tr w:rsidR="00A065CC" w:rsidRPr="00970924" w:rsidTr="00D00FEE">
        <w:trPr>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Devon, Cornwall and Isles Of Scilly Area Team</w:t>
            </w:r>
          </w:p>
        </w:tc>
        <w:tc>
          <w:tcPr>
            <w:tcW w:w="992"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43.5</w:t>
            </w:r>
          </w:p>
        </w:tc>
        <w:tc>
          <w:tcPr>
            <w:tcW w:w="992" w:type="dxa"/>
          </w:tcPr>
          <w:p w:rsidR="00A065CC" w:rsidRPr="005F2997" w:rsidRDefault="00A065CC" w:rsidP="00CB0B8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38.2</w:t>
            </w:r>
          </w:p>
        </w:tc>
        <w:tc>
          <w:tcPr>
            <w:tcW w:w="1134"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39.6</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+5,644</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Durham, Darlington and Tees Area Team</w:t>
            </w:r>
          </w:p>
        </w:tc>
        <w:tc>
          <w:tcPr>
            <w:tcW w:w="992"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38.8</w:t>
            </w:r>
          </w:p>
        </w:tc>
        <w:tc>
          <w:tcPr>
            <w:tcW w:w="992" w:type="dxa"/>
          </w:tcPr>
          <w:p w:rsidR="00A065CC" w:rsidRPr="005F2997" w:rsidRDefault="00A065CC" w:rsidP="00CB0B8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36.3</w:t>
            </w:r>
          </w:p>
        </w:tc>
        <w:tc>
          <w:tcPr>
            <w:tcW w:w="1134"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48.5</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+3,101</w:t>
            </w:r>
          </w:p>
        </w:tc>
      </w:tr>
      <w:tr w:rsidR="00A065CC" w:rsidRPr="00970924" w:rsidTr="00D00FEE">
        <w:trPr>
          <w:trHeight w:val="252"/>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East Anglia Area Team</w:t>
            </w:r>
          </w:p>
        </w:tc>
        <w:tc>
          <w:tcPr>
            <w:tcW w:w="992"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37.2</w:t>
            </w:r>
          </w:p>
        </w:tc>
        <w:tc>
          <w:tcPr>
            <w:tcW w:w="992" w:type="dxa"/>
          </w:tcPr>
          <w:p w:rsidR="00A065CC" w:rsidRPr="005F2997" w:rsidRDefault="00A065CC" w:rsidP="00CB0B8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40.4</w:t>
            </w:r>
          </w:p>
        </w:tc>
        <w:tc>
          <w:tcPr>
            <w:tcW w:w="1134"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42.9</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+8,174</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Essex Area Team</w:t>
            </w:r>
          </w:p>
        </w:tc>
        <w:tc>
          <w:tcPr>
            <w:tcW w:w="992"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30.3</w:t>
            </w:r>
          </w:p>
        </w:tc>
        <w:tc>
          <w:tcPr>
            <w:tcW w:w="992" w:type="dxa"/>
          </w:tcPr>
          <w:p w:rsidR="00A065CC" w:rsidRPr="005F2997" w:rsidRDefault="00A065CC" w:rsidP="00CB0B8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37.1</w:t>
            </w:r>
          </w:p>
        </w:tc>
        <w:tc>
          <w:tcPr>
            <w:tcW w:w="1134"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40.3</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+6,488</w:t>
            </w:r>
          </w:p>
        </w:tc>
      </w:tr>
      <w:tr w:rsidR="00A065CC" w:rsidRPr="00970924" w:rsidTr="00D00FEE">
        <w:trPr>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Greater Manchester Area Team</w:t>
            </w:r>
          </w:p>
        </w:tc>
        <w:tc>
          <w:tcPr>
            <w:tcW w:w="992"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48.3</w:t>
            </w:r>
          </w:p>
        </w:tc>
        <w:tc>
          <w:tcPr>
            <w:tcW w:w="992" w:type="dxa"/>
          </w:tcPr>
          <w:p w:rsidR="00A065CC" w:rsidRPr="005F2997" w:rsidRDefault="00A065CC" w:rsidP="00CB0B8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44.7</w:t>
            </w:r>
          </w:p>
        </w:tc>
        <w:tc>
          <w:tcPr>
            <w:tcW w:w="1134"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49.5</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+8,493</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Hertfordshire and The South Midlands Area Team</w:t>
            </w:r>
          </w:p>
        </w:tc>
        <w:tc>
          <w:tcPr>
            <w:tcW w:w="992"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39.5</w:t>
            </w:r>
          </w:p>
        </w:tc>
        <w:tc>
          <w:tcPr>
            <w:tcW w:w="992" w:type="dxa"/>
          </w:tcPr>
          <w:p w:rsidR="00A065CC" w:rsidRPr="005F2997" w:rsidRDefault="00A065CC" w:rsidP="00CB0B8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43.1</w:t>
            </w:r>
          </w:p>
        </w:tc>
        <w:tc>
          <w:tcPr>
            <w:tcW w:w="1134"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46.9</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+8,644</w:t>
            </w:r>
          </w:p>
        </w:tc>
      </w:tr>
      <w:tr w:rsidR="00A065CC" w:rsidRPr="00970924" w:rsidTr="00D00FEE">
        <w:trPr>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Kent and Medway Area Team</w:t>
            </w:r>
          </w:p>
        </w:tc>
        <w:tc>
          <w:tcPr>
            <w:tcW w:w="992"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36.3</w:t>
            </w:r>
          </w:p>
        </w:tc>
        <w:tc>
          <w:tcPr>
            <w:tcW w:w="992" w:type="dxa"/>
          </w:tcPr>
          <w:p w:rsidR="00A065CC" w:rsidRPr="005F2997" w:rsidRDefault="00A065CC" w:rsidP="00CB0B8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34.3</w:t>
            </w:r>
          </w:p>
        </w:tc>
        <w:tc>
          <w:tcPr>
            <w:tcW w:w="1134"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42.0</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+6,198</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Lancashire Area Team</w:t>
            </w:r>
          </w:p>
        </w:tc>
        <w:tc>
          <w:tcPr>
            <w:tcW w:w="992"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39.0</w:t>
            </w:r>
          </w:p>
        </w:tc>
        <w:tc>
          <w:tcPr>
            <w:tcW w:w="992" w:type="dxa"/>
          </w:tcPr>
          <w:p w:rsidR="00A065CC" w:rsidRPr="005F2997" w:rsidRDefault="00A065CC" w:rsidP="00CB0B8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37.8</w:t>
            </w:r>
          </w:p>
        </w:tc>
        <w:tc>
          <w:tcPr>
            <w:tcW w:w="1134"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43.2</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+5,840</w:t>
            </w:r>
          </w:p>
        </w:tc>
      </w:tr>
      <w:tr w:rsidR="00A065CC" w:rsidRPr="00970924" w:rsidTr="00D00FEE">
        <w:trPr>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Leicestershire and Lincolnshire Area Team</w:t>
            </w:r>
          </w:p>
        </w:tc>
        <w:tc>
          <w:tcPr>
            <w:tcW w:w="992"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45.0</w:t>
            </w:r>
          </w:p>
        </w:tc>
        <w:tc>
          <w:tcPr>
            <w:tcW w:w="992" w:type="dxa"/>
          </w:tcPr>
          <w:p w:rsidR="00A065CC" w:rsidRPr="005F2997" w:rsidRDefault="00A065CC" w:rsidP="00CB0B8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42.4</w:t>
            </w:r>
          </w:p>
        </w:tc>
        <w:tc>
          <w:tcPr>
            <w:tcW w:w="1134"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46.8</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+5,052</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London Area Team</w:t>
            </w:r>
          </w:p>
        </w:tc>
        <w:tc>
          <w:tcPr>
            <w:tcW w:w="992"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35.1</w:t>
            </w:r>
          </w:p>
        </w:tc>
        <w:tc>
          <w:tcPr>
            <w:tcW w:w="992" w:type="dxa"/>
          </w:tcPr>
          <w:p w:rsidR="00A065CC" w:rsidRPr="005F2997" w:rsidRDefault="00A065CC" w:rsidP="00CB0B8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35.9</w:t>
            </w:r>
          </w:p>
        </w:tc>
        <w:tc>
          <w:tcPr>
            <w:tcW w:w="1134"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39.9</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+48,686</w:t>
            </w:r>
          </w:p>
        </w:tc>
      </w:tr>
      <w:tr w:rsidR="00A065CC" w:rsidRPr="00970924" w:rsidTr="00D00FEE">
        <w:trPr>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Merseyside Area Team</w:t>
            </w:r>
          </w:p>
        </w:tc>
        <w:tc>
          <w:tcPr>
            <w:tcW w:w="992"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44.0</w:t>
            </w:r>
          </w:p>
        </w:tc>
        <w:tc>
          <w:tcPr>
            <w:tcW w:w="992" w:type="dxa"/>
          </w:tcPr>
          <w:p w:rsidR="00A065CC" w:rsidRPr="005F2997" w:rsidRDefault="00A065CC" w:rsidP="00CB0B8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42.9</w:t>
            </w:r>
          </w:p>
        </w:tc>
        <w:tc>
          <w:tcPr>
            <w:tcW w:w="1134"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47.2</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+4,221</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North Yorkshire and the Humber Area Team</w:t>
            </w:r>
          </w:p>
        </w:tc>
        <w:tc>
          <w:tcPr>
            <w:tcW w:w="992"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37.5</w:t>
            </w:r>
          </w:p>
        </w:tc>
        <w:tc>
          <w:tcPr>
            <w:tcW w:w="992" w:type="dxa"/>
          </w:tcPr>
          <w:p w:rsidR="00A065CC" w:rsidRPr="005F2997" w:rsidRDefault="00A065CC" w:rsidP="00CB0B8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38.7</w:t>
            </w:r>
          </w:p>
        </w:tc>
        <w:tc>
          <w:tcPr>
            <w:tcW w:w="1134"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42.1</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+5,955</w:t>
            </w:r>
          </w:p>
        </w:tc>
      </w:tr>
      <w:tr w:rsidR="00A065CC" w:rsidRPr="00970924" w:rsidTr="00D00FEE">
        <w:trPr>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Shropshire and Staffordshire Area Team</w:t>
            </w:r>
          </w:p>
        </w:tc>
        <w:tc>
          <w:tcPr>
            <w:tcW w:w="992"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47.0</w:t>
            </w:r>
          </w:p>
        </w:tc>
        <w:tc>
          <w:tcPr>
            <w:tcW w:w="992" w:type="dxa"/>
          </w:tcPr>
          <w:p w:rsidR="00A065CC" w:rsidRPr="005F2997" w:rsidRDefault="00A065CC" w:rsidP="00CB0B8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44.1</w:t>
            </w:r>
          </w:p>
        </w:tc>
        <w:tc>
          <w:tcPr>
            <w:tcW w:w="1134"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46.9</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+4,787</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South Yorkshire and Bassetlaw Area Team</w:t>
            </w:r>
          </w:p>
        </w:tc>
        <w:tc>
          <w:tcPr>
            <w:tcW w:w="992"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44.0</w:t>
            </w:r>
          </w:p>
        </w:tc>
        <w:tc>
          <w:tcPr>
            <w:tcW w:w="992" w:type="dxa"/>
          </w:tcPr>
          <w:p w:rsidR="00A065CC" w:rsidRPr="005F2997" w:rsidRDefault="00A065CC" w:rsidP="00CB0B8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45.0</w:t>
            </w:r>
          </w:p>
        </w:tc>
        <w:tc>
          <w:tcPr>
            <w:tcW w:w="1134"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49.6</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+4,020</w:t>
            </w:r>
          </w:p>
        </w:tc>
      </w:tr>
      <w:tr w:rsidR="00A065CC" w:rsidRPr="00970924" w:rsidTr="00D00FEE">
        <w:trPr>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Surrey and Sussex Area Team</w:t>
            </w:r>
          </w:p>
        </w:tc>
        <w:tc>
          <w:tcPr>
            <w:tcW w:w="992"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36.3</w:t>
            </w:r>
          </w:p>
        </w:tc>
        <w:tc>
          <w:tcPr>
            <w:tcW w:w="992" w:type="dxa"/>
          </w:tcPr>
          <w:p w:rsidR="00A065CC" w:rsidRPr="005F2997" w:rsidRDefault="00A065CC" w:rsidP="00CB0B8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35.2</w:t>
            </w:r>
          </w:p>
        </w:tc>
        <w:tc>
          <w:tcPr>
            <w:tcW w:w="1134"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40.0</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+10,459</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Thames Valley Area Team</w:t>
            </w:r>
          </w:p>
        </w:tc>
        <w:tc>
          <w:tcPr>
            <w:tcW w:w="992"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42.9</w:t>
            </w:r>
          </w:p>
        </w:tc>
        <w:tc>
          <w:tcPr>
            <w:tcW w:w="992" w:type="dxa"/>
          </w:tcPr>
          <w:p w:rsidR="00A065CC" w:rsidRPr="005F2997" w:rsidRDefault="00A065CC" w:rsidP="00CB0B8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42.5</w:t>
            </w:r>
          </w:p>
        </w:tc>
        <w:tc>
          <w:tcPr>
            <w:tcW w:w="1134"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47.5</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+7,910</w:t>
            </w:r>
          </w:p>
        </w:tc>
      </w:tr>
      <w:tr w:rsidR="00A065CC" w:rsidRPr="00970924" w:rsidTr="00D00FEE">
        <w:trPr>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Wessex Area Team</w:t>
            </w:r>
          </w:p>
        </w:tc>
        <w:tc>
          <w:tcPr>
            <w:tcW w:w="992" w:type="dxa"/>
            <w:noWrap/>
            <w:hideMark/>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42.6</w:t>
            </w:r>
          </w:p>
        </w:tc>
        <w:tc>
          <w:tcPr>
            <w:tcW w:w="992" w:type="dxa"/>
          </w:tcPr>
          <w:p w:rsidR="00A065CC" w:rsidRPr="005F2997" w:rsidRDefault="00A065CC" w:rsidP="00CB0B8D">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F2997">
              <w:rPr>
                <w:color w:val="auto"/>
                <w:sz w:val="16"/>
                <w:szCs w:val="16"/>
              </w:rPr>
              <w:t>39.4</w:t>
            </w:r>
          </w:p>
        </w:tc>
        <w:tc>
          <w:tcPr>
            <w:tcW w:w="1134" w:type="dxa"/>
            <w:noWrap/>
          </w:tcPr>
          <w:p w:rsidR="00A065CC" w:rsidRPr="005F2997" w:rsidRDefault="00A065CC" w:rsidP="005F2997">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44.3</w:t>
            </w:r>
          </w:p>
        </w:tc>
        <w:tc>
          <w:tcPr>
            <w:tcW w:w="1276" w:type="dxa"/>
            <w:noWrap/>
          </w:tcPr>
          <w:p w:rsidR="00A065CC" w:rsidRPr="00A065CC" w:rsidRDefault="00A065CC" w:rsidP="00A065CC">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A065CC">
              <w:rPr>
                <w:color w:val="auto"/>
                <w:sz w:val="16"/>
                <w:szCs w:val="16"/>
              </w:rPr>
              <w:t>+8,851</w:t>
            </w:r>
          </w:p>
        </w:tc>
      </w:tr>
      <w:tr w:rsidR="00A065CC" w:rsidRPr="00970924" w:rsidTr="00D00FE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37" w:type="dxa"/>
            <w:noWrap/>
            <w:hideMark/>
          </w:tcPr>
          <w:p w:rsidR="00A065CC" w:rsidRPr="005F2997" w:rsidRDefault="00A065CC" w:rsidP="00C213B6">
            <w:pPr>
              <w:rPr>
                <w:rFonts w:cs="Arial"/>
                <w:color w:val="000000"/>
                <w:sz w:val="16"/>
                <w:szCs w:val="16"/>
              </w:rPr>
            </w:pPr>
            <w:r w:rsidRPr="005F2997">
              <w:rPr>
                <w:rFonts w:cs="Arial"/>
                <w:color w:val="000000"/>
                <w:sz w:val="16"/>
                <w:szCs w:val="16"/>
              </w:rPr>
              <w:t>West Yorkshire Area Team</w:t>
            </w:r>
          </w:p>
        </w:tc>
        <w:tc>
          <w:tcPr>
            <w:tcW w:w="992" w:type="dxa"/>
            <w:noWrap/>
            <w:hideMark/>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49.6</w:t>
            </w:r>
          </w:p>
        </w:tc>
        <w:tc>
          <w:tcPr>
            <w:tcW w:w="992" w:type="dxa"/>
          </w:tcPr>
          <w:p w:rsidR="00A065CC" w:rsidRPr="005F2997" w:rsidRDefault="00A065CC" w:rsidP="00CB0B8D">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5F2997">
              <w:rPr>
                <w:color w:val="auto"/>
                <w:sz w:val="16"/>
                <w:szCs w:val="16"/>
              </w:rPr>
              <w:t>45.1</w:t>
            </w:r>
          </w:p>
        </w:tc>
        <w:tc>
          <w:tcPr>
            <w:tcW w:w="1134" w:type="dxa"/>
            <w:noWrap/>
          </w:tcPr>
          <w:p w:rsidR="00A065CC" w:rsidRPr="005F2997" w:rsidRDefault="00A065CC" w:rsidP="005F2997">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49.0</w:t>
            </w:r>
          </w:p>
        </w:tc>
        <w:tc>
          <w:tcPr>
            <w:tcW w:w="1276" w:type="dxa"/>
            <w:noWrap/>
          </w:tcPr>
          <w:p w:rsidR="00A065CC" w:rsidRPr="00A065CC" w:rsidRDefault="00A065CC" w:rsidP="00A065CC">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A065CC">
              <w:rPr>
                <w:color w:val="auto"/>
                <w:sz w:val="16"/>
                <w:szCs w:val="16"/>
              </w:rPr>
              <w:t>+6,698</w:t>
            </w:r>
          </w:p>
        </w:tc>
      </w:tr>
    </w:tbl>
    <w:p w:rsidR="00535497" w:rsidRPr="00970924" w:rsidRDefault="00535497" w:rsidP="002277C4"/>
    <w:sectPr w:rsidR="00535497" w:rsidRPr="00970924" w:rsidSect="005F2997">
      <w:pgSz w:w="11906" w:h="16838"/>
      <w:pgMar w:top="709"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E9" w:rsidRDefault="00ED7FE9" w:rsidP="00C62062">
      <w:pPr>
        <w:spacing w:after="0" w:line="240" w:lineRule="auto"/>
      </w:pPr>
      <w:r>
        <w:separator/>
      </w:r>
    </w:p>
  </w:endnote>
  <w:endnote w:type="continuationSeparator" w:id="0">
    <w:p w:rsidR="00ED7FE9" w:rsidRDefault="00ED7FE9" w:rsidP="00C6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MROEZ+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E9" w:rsidRPr="00171015" w:rsidRDefault="00ED7FE9" w:rsidP="00171015">
    <w:pPr>
      <w:pStyle w:val="Footer"/>
      <w:jc w:val="center"/>
      <w:rPr>
        <w:color w:val="31849B" w:themeColor="accent5" w:themeShade="BF"/>
        <w:sz w:val="18"/>
        <w:szCs w:val="18"/>
      </w:rPr>
    </w:pPr>
    <w:r w:rsidRPr="00035FCE">
      <w:rPr>
        <w:color w:val="31849B" w:themeColor="accent5" w:themeShade="BF"/>
        <w:sz w:val="18"/>
        <w:szCs w:val="18"/>
      </w:rPr>
      <w:t xml:space="preserve">Pinnacle Health Partnership LLP </w:t>
    </w:r>
    <w:r>
      <w:rPr>
        <w:color w:val="31849B" w:themeColor="accent5" w:themeShade="BF"/>
        <w:sz w:val="18"/>
        <w:szCs w:val="18"/>
      </w:rPr>
      <w:t>- Partners: JPC Harris, P Bowes, KA Noble &amp; JG Warner</w:t>
    </w:r>
    <w:r>
      <w:rPr>
        <w:color w:val="31849B" w:themeColor="accent5" w:themeShade="BF"/>
        <w:sz w:val="18"/>
        <w:szCs w:val="18"/>
      </w:rPr>
      <w:br/>
      <w:t>R</w:t>
    </w:r>
    <w:r w:rsidRPr="00035FCE">
      <w:rPr>
        <w:color w:val="31849B" w:themeColor="accent5" w:themeShade="BF"/>
        <w:sz w:val="18"/>
        <w:szCs w:val="18"/>
      </w:rPr>
      <w:t>egistered in England</w:t>
    </w:r>
    <w:r>
      <w:rPr>
        <w:color w:val="31849B" w:themeColor="accent5" w:themeShade="BF"/>
        <w:sz w:val="18"/>
        <w:szCs w:val="18"/>
      </w:rPr>
      <w:t xml:space="preserve"> No. OC347501 - Registered Office: 1</w:t>
    </w:r>
    <w:r w:rsidRPr="00560058">
      <w:rPr>
        <w:color w:val="31849B" w:themeColor="accent5" w:themeShade="BF"/>
        <w:sz w:val="18"/>
        <w:szCs w:val="18"/>
        <w:vertAlign w:val="superscript"/>
      </w:rPr>
      <w:t>st</w:t>
    </w:r>
    <w:r>
      <w:rPr>
        <w:color w:val="31849B" w:themeColor="accent5" w:themeShade="BF"/>
        <w:sz w:val="18"/>
        <w:szCs w:val="18"/>
      </w:rPr>
      <w:t xml:space="preserve"> Floor Weatherwise Building, East Cowes PO32 6SP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E9" w:rsidRDefault="00ED7FE9" w:rsidP="00C62062">
      <w:pPr>
        <w:spacing w:after="0" w:line="240" w:lineRule="auto"/>
      </w:pPr>
      <w:r>
        <w:separator/>
      </w:r>
    </w:p>
  </w:footnote>
  <w:footnote w:type="continuationSeparator" w:id="0">
    <w:p w:rsidR="00ED7FE9" w:rsidRDefault="00ED7FE9" w:rsidP="00C62062">
      <w:pPr>
        <w:spacing w:after="0" w:line="240" w:lineRule="auto"/>
      </w:pPr>
      <w:r>
        <w:continuationSeparator/>
      </w:r>
    </w:p>
  </w:footnote>
  <w:footnote w:id="1">
    <w:p w:rsidR="00D47E84" w:rsidRDefault="00D47E84">
      <w:pPr>
        <w:pStyle w:val="FootnoteText"/>
      </w:pPr>
      <w:r>
        <w:rPr>
          <w:rStyle w:val="FootnoteReference"/>
        </w:rPr>
        <w:footnoteRef/>
      </w:r>
      <w:r>
        <w:t xml:space="preserve"> </w:t>
      </w:r>
      <w:hyperlink r:id="rId1" w:history="1">
        <w:r w:rsidRPr="00D47E84">
          <w:rPr>
            <w:rStyle w:val="Hyperlink"/>
          </w:rPr>
          <w:t>PHE: Seasonal Flu Uptake in GP Patients in England: Winter Season 2014 to 2015</w:t>
        </w:r>
      </w:hyperlink>
    </w:p>
  </w:footnote>
  <w:footnote w:id="2">
    <w:p w:rsidR="00ED7FE9" w:rsidRPr="00C62062" w:rsidRDefault="00ED7FE9" w:rsidP="00C62062">
      <w:pPr>
        <w:pStyle w:val="FootnoteText"/>
        <w:rPr>
          <w:lang w:val="en-US"/>
        </w:rPr>
      </w:pPr>
      <w:r>
        <w:rPr>
          <w:rStyle w:val="FootnoteReference"/>
        </w:rPr>
        <w:footnoteRef/>
      </w:r>
      <w:r>
        <w:t xml:space="preserve"> </w:t>
      </w:r>
      <w:hyperlink r:id="rId2" w:history="1">
        <w:r w:rsidRPr="00627B65">
          <w:rPr>
            <w:rStyle w:val="Hyperlink"/>
          </w:rPr>
          <w:t>Public health functions to be exercised by the NHS Commissioning Board - November 2012</w:t>
        </w:r>
      </w:hyperlink>
    </w:p>
  </w:footnote>
  <w:footnote w:id="3">
    <w:p w:rsidR="00ED7FE9" w:rsidRPr="00C62062" w:rsidRDefault="00ED7FE9">
      <w:pPr>
        <w:pStyle w:val="FootnoteText"/>
        <w:rPr>
          <w:lang w:val="en-US"/>
        </w:rPr>
      </w:pPr>
      <w:r>
        <w:rPr>
          <w:rStyle w:val="FootnoteReference"/>
        </w:rPr>
        <w:footnoteRef/>
      </w:r>
      <w:r>
        <w:t xml:space="preserve"> </w:t>
      </w:r>
      <w:hyperlink r:id="rId3" w:history="1">
        <w:r w:rsidRPr="00627B65">
          <w:rPr>
            <w:rStyle w:val="Hyperlink"/>
          </w:rPr>
          <w:t>Public health functions to be exercised by NHS England Variation to the 2013-14 agreement</w:t>
        </w:r>
      </w:hyperlink>
    </w:p>
  </w:footnote>
  <w:footnote w:id="4">
    <w:p w:rsidR="00ED7FE9" w:rsidRPr="00B24127" w:rsidRDefault="00ED7FE9">
      <w:pPr>
        <w:pStyle w:val="FootnoteText"/>
        <w:rPr>
          <w:lang w:val="en-US"/>
        </w:rPr>
      </w:pPr>
      <w:r>
        <w:rPr>
          <w:rStyle w:val="FootnoteReference"/>
        </w:rPr>
        <w:footnoteRef/>
      </w:r>
      <w:r>
        <w:t xml:space="preserve"> </w:t>
      </w:r>
      <w:hyperlink r:id="rId4" w:history="1">
        <w:r w:rsidRPr="00627B65">
          <w:rPr>
            <w:rStyle w:val="Hyperlink"/>
            <w:lang w:val="en-US"/>
          </w:rPr>
          <w:t xml:space="preserve">Public Health England Dear Colleague, The flu </w:t>
        </w:r>
        <w:proofErr w:type="spellStart"/>
        <w:r w:rsidRPr="00627B65">
          <w:rPr>
            <w:rStyle w:val="Hyperlink"/>
            <w:lang w:val="en-US"/>
          </w:rPr>
          <w:t>immunisation</w:t>
        </w:r>
        <w:proofErr w:type="spellEnd"/>
        <w:r w:rsidRPr="00627B65">
          <w:rPr>
            <w:rStyle w:val="Hyperlink"/>
            <w:lang w:val="en-US"/>
          </w:rPr>
          <w:t xml:space="preserve"> programme 2013/14 – Gateway Ref 00157</w:t>
        </w:r>
      </w:hyperlink>
    </w:p>
  </w:footnote>
  <w:footnote w:id="5">
    <w:p w:rsidR="00ED7FE9" w:rsidRDefault="00ED7FE9">
      <w:pPr>
        <w:pStyle w:val="FootnoteText"/>
      </w:pPr>
      <w:r>
        <w:rPr>
          <w:rStyle w:val="FootnoteReference"/>
        </w:rPr>
        <w:footnoteRef/>
      </w:r>
      <w:r>
        <w:t xml:space="preserve"> To reach a notional target of 75%</w:t>
      </w:r>
    </w:p>
  </w:footnote>
  <w:footnote w:id="6">
    <w:p w:rsidR="00ED7FE9" w:rsidRDefault="00ED7FE9">
      <w:pPr>
        <w:pStyle w:val="FootnoteText"/>
      </w:pPr>
      <w:r>
        <w:rPr>
          <w:rStyle w:val="FootnoteReference"/>
        </w:rPr>
        <w:footnoteRef/>
      </w:r>
      <w:r>
        <w:t xml:space="preserve"> </w:t>
      </w:r>
      <w:r w:rsidRPr="00275B57">
        <w:t>The national flu immunisation programme 2014/15. Department of Health, NHS England, Public Health England</w:t>
      </w:r>
    </w:p>
  </w:footnote>
  <w:footnote w:id="7">
    <w:p w:rsidR="00ED7FE9" w:rsidRDefault="00ED7FE9">
      <w:pPr>
        <w:pStyle w:val="FootnoteText"/>
      </w:pPr>
      <w:r>
        <w:rPr>
          <w:rStyle w:val="FootnoteReference"/>
        </w:rPr>
        <w:footnoteRef/>
      </w:r>
      <w:r>
        <w:t xml:space="preserve"> Anderson C, </w:t>
      </w:r>
      <w:proofErr w:type="spellStart"/>
      <w:r>
        <w:t>Thornley</w:t>
      </w:r>
      <w:proofErr w:type="spellEnd"/>
      <w:r>
        <w:t xml:space="preserve"> T. “It’s easier in pharmacy”: </w:t>
      </w:r>
      <w:r w:rsidRPr="00396E9B">
        <w:t>why some patients prefer to pay for flu jabs rather than use the National Health Service</w:t>
      </w:r>
      <w:r>
        <w:t xml:space="preserve">. </w:t>
      </w:r>
      <w:hyperlink r:id="rId5" w:history="1">
        <w:r w:rsidRPr="00680888">
          <w:rPr>
            <w:rStyle w:val="Hyperlink"/>
          </w:rPr>
          <w:t>BMC Health Services Research 2014, 14:35</w:t>
        </w:r>
      </w:hyperlink>
    </w:p>
  </w:footnote>
  <w:footnote w:id="8">
    <w:p w:rsidR="00ED7FE9" w:rsidRDefault="00ED7FE9" w:rsidP="00664E9B">
      <w:pPr>
        <w:pStyle w:val="FootnoteText"/>
      </w:pPr>
      <w:r>
        <w:rPr>
          <w:rStyle w:val="FootnoteReference"/>
        </w:rPr>
        <w:footnoteRef/>
      </w:r>
      <w:r>
        <w:t xml:space="preserve"> </w:t>
      </w:r>
      <w:proofErr w:type="spellStart"/>
      <w:r>
        <w:t>Baguelin</w:t>
      </w:r>
      <w:proofErr w:type="spellEnd"/>
      <w:r>
        <w:t xml:space="preserve"> M et al. H</w:t>
      </w:r>
      <w:r w:rsidRPr="00664E9B">
        <w:t>ealth and economic impact of the seasonal influenza vaccination programme in England</w:t>
      </w:r>
      <w:r>
        <w:t xml:space="preserve">. </w:t>
      </w:r>
      <w:hyperlink r:id="rId6" w:history="1">
        <w:r w:rsidRPr="00664E9B">
          <w:rPr>
            <w:rStyle w:val="Hyperlink"/>
          </w:rPr>
          <w:t>Vaccine 30-23, 14 May 2012, pp3459–3462</w:t>
        </w:r>
      </w:hyperlink>
    </w:p>
  </w:footnote>
  <w:footnote w:id="9">
    <w:p w:rsidR="00ED7FE9" w:rsidRPr="00A97E1C" w:rsidRDefault="00ED7FE9">
      <w:pPr>
        <w:pStyle w:val="FootnoteText"/>
      </w:pPr>
      <w:r>
        <w:rPr>
          <w:rStyle w:val="FootnoteReference"/>
        </w:rPr>
        <w:footnoteRef/>
      </w:r>
      <w:r w:rsidRPr="00A97E1C">
        <w:rPr>
          <w:lang w:val="sv-SE"/>
        </w:rPr>
        <w:t xml:space="preserve"> Nhuyen-Van-Tam JS et al. </w:t>
      </w:r>
      <w:proofErr w:type="gramStart"/>
      <w:r w:rsidRPr="00A97E1C">
        <w:t>Risk factors for hospitalisation and poor outcome with pandemic A/H1N1 influenza</w:t>
      </w:r>
      <w:r>
        <w:t>.</w:t>
      </w:r>
      <w:proofErr w:type="gramEnd"/>
      <w:r>
        <w:t xml:space="preserve"> </w:t>
      </w:r>
      <w:hyperlink r:id="rId7" w:history="1">
        <w:proofErr w:type="gramStart"/>
        <w:r w:rsidRPr="00A97E1C">
          <w:rPr>
            <w:rStyle w:val="Hyperlink"/>
          </w:rPr>
          <w:t>Thorax.</w:t>
        </w:r>
        <w:proofErr w:type="gramEnd"/>
        <w:r w:rsidRPr="00A97E1C">
          <w:rPr>
            <w:rStyle w:val="Hyperlink"/>
          </w:rPr>
          <w:t xml:space="preserve"> 2010;65:645–51</w:t>
        </w:r>
      </w:hyperlink>
    </w:p>
  </w:footnote>
  <w:footnote w:id="10">
    <w:p w:rsidR="00ED7FE9" w:rsidRPr="00233C33" w:rsidRDefault="00ED7FE9">
      <w:pPr>
        <w:pStyle w:val="FootnoteText"/>
        <w:rPr>
          <w:lang w:val="en-US"/>
        </w:rPr>
      </w:pPr>
      <w:r>
        <w:rPr>
          <w:rStyle w:val="FootnoteReference"/>
        </w:rPr>
        <w:footnoteRef/>
      </w:r>
      <w:r>
        <w:t xml:space="preserve"> </w:t>
      </w:r>
      <w:hyperlink r:id="rId8" w:history="1">
        <w:r w:rsidRPr="00627B65">
          <w:rPr>
            <w:rStyle w:val="Hyperlink"/>
          </w:rPr>
          <w:t>IJPP 2013 - Increasing seasonal influenza vaccination uptake using community pharmacies</w:t>
        </w:r>
      </w:hyperlink>
    </w:p>
  </w:footnote>
  <w:footnote w:id="11">
    <w:p w:rsidR="00ED7FE9" w:rsidRPr="00EF24AE" w:rsidRDefault="00ED7FE9">
      <w:pPr>
        <w:pStyle w:val="FootnoteText"/>
        <w:rPr>
          <w:lang w:val="en-US"/>
        </w:rPr>
      </w:pPr>
      <w:r>
        <w:rPr>
          <w:rStyle w:val="FootnoteReference"/>
        </w:rPr>
        <w:footnoteRef/>
      </w:r>
      <w:r>
        <w:t xml:space="preserve"> </w:t>
      </w:r>
      <w:r w:rsidRPr="00EF24AE">
        <w:t>City and Hackney Teaching PCT. Ann</w:t>
      </w:r>
      <w:r>
        <w:t>ual report and accounts 2008-09</w:t>
      </w:r>
    </w:p>
  </w:footnote>
  <w:footnote w:id="12">
    <w:p w:rsidR="00ED7FE9" w:rsidRPr="00233C33" w:rsidRDefault="00ED7FE9">
      <w:pPr>
        <w:pStyle w:val="FootnoteText"/>
        <w:rPr>
          <w:lang w:val="en-US"/>
        </w:rPr>
      </w:pPr>
      <w:r>
        <w:rPr>
          <w:rStyle w:val="FootnoteReference"/>
        </w:rPr>
        <w:footnoteRef/>
      </w:r>
      <w:r>
        <w:t xml:space="preserve"> </w:t>
      </w:r>
      <w:r>
        <w:rPr>
          <w:lang w:val="en-US"/>
        </w:rPr>
        <w:t>PharmOutcomes data – available on request</w:t>
      </w:r>
    </w:p>
  </w:footnote>
  <w:footnote w:id="13">
    <w:p w:rsidR="00ED7FE9" w:rsidRPr="001C7955" w:rsidRDefault="00ED7FE9">
      <w:pPr>
        <w:pStyle w:val="FootnoteText"/>
        <w:rPr>
          <w:lang w:val="en-US"/>
        </w:rPr>
      </w:pPr>
      <w:r>
        <w:rPr>
          <w:rStyle w:val="FootnoteReference"/>
        </w:rPr>
        <w:footnoteRef/>
      </w:r>
      <w:r>
        <w:t xml:space="preserve"> </w:t>
      </w:r>
      <w:hyperlink r:id="rId9" w:history="1">
        <w:proofErr w:type="spellStart"/>
        <w:proofErr w:type="gramStart"/>
        <w:r w:rsidRPr="00627B65">
          <w:rPr>
            <w:rStyle w:val="Hyperlink"/>
          </w:rPr>
          <w:t>Centers</w:t>
        </w:r>
        <w:proofErr w:type="spellEnd"/>
        <w:r w:rsidRPr="00627B65">
          <w:rPr>
            <w:rStyle w:val="Hyperlink"/>
          </w:rPr>
          <w:t xml:space="preserve"> for Disease Control and Prevention.</w:t>
        </w:r>
        <w:proofErr w:type="gramEnd"/>
        <w:r w:rsidRPr="00627B65">
          <w:rPr>
            <w:rStyle w:val="Hyperlink"/>
          </w:rPr>
          <w:t xml:space="preserve"> Adult immunization programs in non-traditional settings: quality standards and guidance for program evaluation</w:t>
        </w:r>
      </w:hyperlink>
    </w:p>
  </w:footnote>
  <w:footnote w:id="14">
    <w:p w:rsidR="00ED7FE9" w:rsidRPr="00922C60" w:rsidRDefault="00ED7FE9">
      <w:pPr>
        <w:pStyle w:val="FootnoteText"/>
        <w:rPr>
          <w:lang w:val="en-US"/>
        </w:rPr>
      </w:pPr>
      <w:r>
        <w:rPr>
          <w:rStyle w:val="FootnoteReference"/>
        </w:rPr>
        <w:footnoteRef/>
      </w:r>
      <w:r>
        <w:t xml:space="preserve"> </w:t>
      </w:r>
      <w:hyperlink r:id="rId10" w:history="1">
        <w:r w:rsidRPr="00627B65">
          <w:rPr>
            <w:rStyle w:val="Hyperlink"/>
          </w:rPr>
          <w:t>HC 1048-III Health Committee – PH123 Written Evidence from Novartis Vaccines and Diagnostics</w:t>
        </w:r>
      </w:hyperlink>
    </w:p>
  </w:footnote>
  <w:footnote w:id="15">
    <w:p w:rsidR="00ED7FE9" w:rsidRPr="007D3433" w:rsidRDefault="00ED7FE9">
      <w:pPr>
        <w:pStyle w:val="FootnoteText"/>
        <w:rPr>
          <w:lang w:val="en-US"/>
        </w:rPr>
      </w:pPr>
      <w:r>
        <w:rPr>
          <w:rStyle w:val="FootnoteReference"/>
        </w:rPr>
        <w:footnoteRef/>
      </w:r>
      <w:r>
        <w:t xml:space="preserve"> </w:t>
      </w:r>
      <w:r>
        <w:rPr>
          <w:lang w:val="en-US"/>
        </w:rPr>
        <w:t>Pinnacle Health review of 2011/12 Vaccination Rates on the Isle of Wight</w:t>
      </w:r>
    </w:p>
  </w:footnote>
  <w:footnote w:id="16">
    <w:p w:rsidR="00ED7FE9" w:rsidRPr="007D3433" w:rsidRDefault="00ED7FE9">
      <w:pPr>
        <w:pStyle w:val="FootnoteText"/>
        <w:rPr>
          <w:lang w:val="en-US"/>
        </w:rPr>
      </w:pPr>
      <w:r>
        <w:rPr>
          <w:rStyle w:val="FootnoteReference"/>
        </w:rPr>
        <w:footnoteRef/>
      </w:r>
      <w:r>
        <w:t xml:space="preserve"> </w:t>
      </w:r>
      <w:hyperlink r:id="rId11" w:history="1">
        <w:r w:rsidRPr="00627B65">
          <w:rPr>
            <w:rStyle w:val="Hyperlink"/>
          </w:rPr>
          <w:t>https://www.whatdotheyknow.com/request/influenza_vaccination_201112</w:t>
        </w:r>
      </w:hyperlink>
    </w:p>
  </w:footnote>
  <w:footnote w:id="17">
    <w:p w:rsidR="00ED7FE9" w:rsidRPr="00041A40" w:rsidRDefault="00ED7FE9" w:rsidP="00041A40">
      <w:pPr>
        <w:pStyle w:val="FootnoteText"/>
        <w:rPr>
          <w:lang w:val="en-US"/>
        </w:rPr>
      </w:pPr>
      <w:r>
        <w:rPr>
          <w:rStyle w:val="FootnoteReference"/>
        </w:rPr>
        <w:footnoteRef/>
      </w:r>
      <w:r>
        <w:t xml:space="preserve"> Ward L, Draper J. A review of the factors involved in older people’s decision making with regard to influenza vaccination: a literature review. J </w:t>
      </w:r>
      <w:proofErr w:type="spellStart"/>
      <w:r>
        <w:t>Clin</w:t>
      </w:r>
      <w:proofErr w:type="spellEnd"/>
      <w:r>
        <w:t xml:space="preserve"> </w:t>
      </w:r>
      <w:proofErr w:type="spellStart"/>
      <w:r>
        <w:t>Nurs</w:t>
      </w:r>
      <w:proofErr w:type="spellEnd"/>
      <w:r>
        <w:t xml:space="preserve"> 2008; 17: 5-16</w:t>
      </w:r>
    </w:p>
  </w:footnote>
  <w:footnote w:id="18">
    <w:p w:rsidR="00ED7FE9" w:rsidRPr="00041A40" w:rsidRDefault="00ED7FE9">
      <w:pPr>
        <w:pStyle w:val="FootnoteText"/>
        <w:rPr>
          <w:lang w:val="en-US"/>
        </w:rPr>
      </w:pPr>
      <w:r>
        <w:rPr>
          <w:rStyle w:val="FootnoteReference"/>
        </w:rPr>
        <w:footnoteRef/>
      </w:r>
      <w:r>
        <w:t xml:space="preserve"> </w:t>
      </w:r>
      <w:proofErr w:type="gramStart"/>
      <w:r>
        <w:t>Hind C et al. Successful provision of influenza vaccine from a community pharmacy in Aberdeen.</w:t>
      </w:r>
      <w:proofErr w:type="gramEnd"/>
      <w:r>
        <w:t xml:space="preserve"> Pharm J 2004; 273:194-6</w:t>
      </w:r>
    </w:p>
  </w:footnote>
  <w:footnote w:id="19">
    <w:p w:rsidR="00ED7FE9" w:rsidRDefault="00ED7FE9" w:rsidP="000939D0">
      <w:pPr>
        <w:pStyle w:val="FootnoteText"/>
      </w:pPr>
      <w:r>
        <w:rPr>
          <w:rStyle w:val="FootnoteReference"/>
        </w:rPr>
        <w:footnoteRef/>
      </w:r>
      <w:r>
        <w:t xml:space="preserve"> </w:t>
      </w:r>
      <w:hyperlink r:id="rId12" w:history="1">
        <w:r w:rsidRPr="000939D0">
          <w:rPr>
            <w:rStyle w:val="Hyperlink"/>
          </w:rPr>
          <w:t>Community pharmacies - Helping with winter pressures: three services for commissioners to consider</w:t>
        </w:r>
      </w:hyperlink>
      <w:r>
        <w:t>. NHS England, December 2013</w:t>
      </w:r>
    </w:p>
  </w:footnote>
  <w:footnote w:id="20">
    <w:p w:rsidR="00ED7FE9" w:rsidRPr="006C5134" w:rsidRDefault="00ED7FE9">
      <w:pPr>
        <w:pStyle w:val="FootnoteText"/>
        <w:rPr>
          <w:lang w:val="en-US"/>
        </w:rPr>
      </w:pPr>
      <w:r>
        <w:rPr>
          <w:rStyle w:val="FootnoteReference"/>
        </w:rPr>
        <w:footnoteRef/>
      </w:r>
      <w:r>
        <w:t xml:space="preserve"> </w:t>
      </w:r>
      <w:r>
        <w:rPr>
          <w:lang w:val="en-US"/>
        </w:rPr>
        <w:t>PharmOutcomes data concerning incidence of elected private ‘flu vaccination of over 65s</w:t>
      </w:r>
    </w:p>
  </w:footnote>
  <w:footnote w:id="21">
    <w:p w:rsidR="00ED7FE9" w:rsidRPr="00233C33" w:rsidRDefault="00ED7FE9">
      <w:pPr>
        <w:pStyle w:val="FootnoteText"/>
        <w:rPr>
          <w:lang w:val="en-US"/>
        </w:rPr>
      </w:pPr>
      <w:r>
        <w:rPr>
          <w:rStyle w:val="FootnoteReference"/>
        </w:rPr>
        <w:footnoteRef/>
      </w:r>
      <w:r>
        <w:t xml:space="preserve"> </w:t>
      </w:r>
      <w:r w:rsidRPr="00181835">
        <w:t xml:space="preserve">NHS Employers, </w:t>
      </w:r>
      <w:hyperlink r:id="rId13" w:history="1">
        <w:r w:rsidRPr="00CD473F">
          <w:rPr>
            <w:rStyle w:val="Hyperlink"/>
            <w:lang w:val="en-US"/>
          </w:rPr>
          <w:t>2014/15 General Medical Services (GMS) Contract Quality and Outcomes Framework (QOF) guidance</w:t>
        </w:r>
      </w:hyperlink>
    </w:p>
  </w:footnote>
  <w:footnote w:id="22">
    <w:p w:rsidR="00ED7FE9" w:rsidRPr="003A3728" w:rsidRDefault="00ED7FE9">
      <w:pPr>
        <w:pStyle w:val="FootnoteText"/>
        <w:rPr>
          <w:lang w:val="en-US"/>
        </w:rPr>
      </w:pPr>
      <w:r>
        <w:rPr>
          <w:rStyle w:val="FootnoteReference"/>
        </w:rPr>
        <w:footnoteRef/>
      </w:r>
      <w:r>
        <w:t xml:space="preserve"> </w:t>
      </w:r>
      <w:hyperlink r:id="rId14" w:history="1">
        <w:r w:rsidRPr="006853B0">
          <w:rPr>
            <w:rStyle w:val="Hyperlink"/>
            <w:lang w:val="en-US"/>
          </w:rPr>
          <w:t xml:space="preserve">NHS England - Clarification of responsibilities for Patient Group Directions (PGDs) for nationally commissioned </w:t>
        </w:r>
        <w:proofErr w:type="spellStart"/>
        <w:r w:rsidRPr="006853B0">
          <w:rPr>
            <w:rStyle w:val="Hyperlink"/>
            <w:lang w:val="en-US"/>
          </w:rPr>
          <w:t>Immunisation</w:t>
        </w:r>
        <w:proofErr w:type="spellEnd"/>
        <w:r w:rsidRPr="006853B0">
          <w:rPr>
            <w:rStyle w:val="Hyperlink"/>
            <w:lang w:val="en-US"/>
          </w:rPr>
          <w:t xml:space="preserve"> and vaccination </w:t>
        </w:r>
        <w:proofErr w:type="spellStart"/>
        <w:r w:rsidRPr="006853B0">
          <w:rPr>
            <w:rStyle w:val="Hyperlink"/>
            <w:lang w:val="en-US"/>
          </w:rPr>
          <w:t>programmes</w:t>
        </w:r>
        <w:proofErr w:type="spellEnd"/>
        <w:r w:rsidRPr="006853B0">
          <w:rPr>
            <w:rStyle w:val="Hyperlink"/>
            <w:lang w:val="en-US"/>
          </w:rPr>
          <w:t>.</w:t>
        </w:r>
      </w:hyperlink>
    </w:p>
  </w:footnote>
  <w:footnote w:id="23">
    <w:p w:rsidR="00ED7FE9" w:rsidRDefault="00ED7FE9">
      <w:pPr>
        <w:pStyle w:val="FootnoteText"/>
      </w:pPr>
      <w:r>
        <w:rPr>
          <w:rStyle w:val="FootnoteReference"/>
        </w:rPr>
        <w:footnoteRef/>
      </w:r>
      <w:r>
        <w:t xml:space="preserve"> </w:t>
      </w:r>
      <w:hyperlink r:id="rId15" w:history="1">
        <w:r w:rsidRPr="00CD473F">
          <w:rPr>
            <w:rStyle w:val="Hyperlink"/>
          </w:rPr>
          <w:t>NICE competency frameworks for PGDs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E9" w:rsidRPr="00F67DB7" w:rsidRDefault="00ED7FE9" w:rsidP="00171015">
    <w:pPr>
      <w:pStyle w:val="Header"/>
      <w:jc w:val="right"/>
    </w:pPr>
    <w:r>
      <w:rPr>
        <w:noProof/>
        <w:lang w:eastAsia="en-GB"/>
      </w:rPr>
      <w:drawing>
        <wp:inline distT="0" distB="0" distL="0" distR="0" wp14:anchorId="57C600FE" wp14:editId="6220E7B7">
          <wp:extent cx="1050898" cy="67799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53953" cy="679970"/>
                  </a:xfrm>
                  <a:prstGeom prst="rect">
                    <a:avLst/>
                  </a:prstGeom>
                </pic:spPr>
              </pic:pic>
            </a:graphicData>
          </a:graphic>
        </wp:inline>
      </w:drawing>
    </w:r>
    <w:r>
      <w:br/>
    </w:r>
    <w:r w:rsidRPr="00F67DB7">
      <w:t>1</w:t>
    </w:r>
    <w:r w:rsidRPr="00F67DB7">
      <w:rPr>
        <w:vertAlign w:val="superscript"/>
      </w:rPr>
      <w:t>st</w:t>
    </w:r>
    <w:r w:rsidRPr="00F67DB7">
      <w:t xml:space="preserve"> Floor Weatherwise Building</w:t>
    </w:r>
    <w:r w:rsidRPr="00F67DB7">
      <w:br/>
      <w:t>East Cowes PO32 6SP</w:t>
    </w:r>
    <w:r w:rsidRPr="00F67DB7">
      <w:br/>
      <w:t>info@phpartnership.com | 01983 216699</w:t>
    </w:r>
  </w:p>
  <w:p w:rsidR="00ED7FE9" w:rsidRDefault="00ED7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5D0"/>
    <w:multiLevelType w:val="hybridMultilevel"/>
    <w:tmpl w:val="F888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363083"/>
    <w:multiLevelType w:val="hybridMultilevel"/>
    <w:tmpl w:val="974C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BD0D43"/>
    <w:multiLevelType w:val="hybridMultilevel"/>
    <w:tmpl w:val="D25E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C83CE5"/>
    <w:multiLevelType w:val="hybridMultilevel"/>
    <w:tmpl w:val="AE98A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FF7D3F"/>
    <w:multiLevelType w:val="hybridMultilevel"/>
    <w:tmpl w:val="77A46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822DC7"/>
    <w:multiLevelType w:val="hybridMultilevel"/>
    <w:tmpl w:val="A9A8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1A65C4"/>
    <w:multiLevelType w:val="hybridMultilevel"/>
    <w:tmpl w:val="CCAC5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2613AD"/>
    <w:multiLevelType w:val="hybridMultilevel"/>
    <w:tmpl w:val="1E608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F20CE5"/>
    <w:multiLevelType w:val="hybridMultilevel"/>
    <w:tmpl w:val="9BAEE9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6836FC"/>
    <w:multiLevelType w:val="hybridMultilevel"/>
    <w:tmpl w:val="336A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4715D3"/>
    <w:multiLevelType w:val="hybridMultilevel"/>
    <w:tmpl w:val="D9E2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0"/>
  </w:num>
  <w:num w:numId="5">
    <w:abstractNumId w:val="1"/>
  </w:num>
  <w:num w:numId="6">
    <w:abstractNumId w:val="6"/>
  </w:num>
  <w:num w:numId="7">
    <w:abstractNumId w:val="3"/>
  </w:num>
  <w:num w:numId="8">
    <w:abstractNumId w:val="5"/>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79"/>
    <w:rsid w:val="00041A40"/>
    <w:rsid w:val="000505E9"/>
    <w:rsid w:val="000939D0"/>
    <w:rsid w:val="000A6B23"/>
    <w:rsid w:val="000B6C87"/>
    <w:rsid w:val="000F02D2"/>
    <w:rsid w:val="00143169"/>
    <w:rsid w:val="00171015"/>
    <w:rsid w:val="00176725"/>
    <w:rsid w:val="00181835"/>
    <w:rsid w:val="00182AA1"/>
    <w:rsid w:val="00187C24"/>
    <w:rsid w:val="001C028D"/>
    <w:rsid w:val="001C7955"/>
    <w:rsid w:val="001D4DCF"/>
    <w:rsid w:val="001E2FF2"/>
    <w:rsid w:val="001E63BE"/>
    <w:rsid w:val="002277C4"/>
    <w:rsid w:val="00233C33"/>
    <w:rsid w:val="00243212"/>
    <w:rsid w:val="00275B57"/>
    <w:rsid w:val="00283DDA"/>
    <w:rsid w:val="002858E6"/>
    <w:rsid w:val="00301979"/>
    <w:rsid w:val="00372510"/>
    <w:rsid w:val="003745EE"/>
    <w:rsid w:val="00376B16"/>
    <w:rsid w:val="00396E9B"/>
    <w:rsid w:val="003A3728"/>
    <w:rsid w:val="003C7AC3"/>
    <w:rsid w:val="003C7D2E"/>
    <w:rsid w:val="003E7594"/>
    <w:rsid w:val="00406024"/>
    <w:rsid w:val="0043636E"/>
    <w:rsid w:val="004C56A2"/>
    <w:rsid w:val="004E6557"/>
    <w:rsid w:val="0050606F"/>
    <w:rsid w:val="00510D9E"/>
    <w:rsid w:val="00535497"/>
    <w:rsid w:val="005622DD"/>
    <w:rsid w:val="0058398E"/>
    <w:rsid w:val="0058442A"/>
    <w:rsid w:val="005C7089"/>
    <w:rsid w:val="005E52B9"/>
    <w:rsid w:val="005F2997"/>
    <w:rsid w:val="005F64E7"/>
    <w:rsid w:val="00601BE4"/>
    <w:rsid w:val="006128E5"/>
    <w:rsid w:val="00627B65"/>
    <w:rsid w:val="00643A00"/>
    <w:rsid w:val="00652748"/>
    <w:rsid w:val="006566D4"/>
    <w:rsid w:val="00664E9B"/>
    <w:rsid w:val="00680888"/>
    <w:rsid w:val="006853B0"/>
    <w:rsid w:val="006B20FA"/>
    <w:rsid w:val="006C5134"/>
    <w:rsid w:val="006F2BF1"/>
    <w:rsid w:val="00704310"/>
    <w:rsid w:val="00712E65"/>
    <w:rsid w:val="00713EDE"/>
    <w:rsid w:val="00797919"/>
    <w:rsid w:val="007B086F"/>
    <w:rsid w:val="007C0099"/>
    <w:rsid w:val="007D3433"/>
    <w:rsid w:val="00805EC5"/>
    <w:rsid w:val="008174BA"/>
    <w:rsid w:val="00825270"/>
    <w:rsid w:val="008261A2"/>
    <w:rsid w:val="00826C76"/>
    <w:rsid w:val="00834A68"/>
    <w:rsid w:val="008B1F90"/>
    <w:rsid w:val="008C1792"/>
    <w:rsid w:val="008D64EB"/>
    <w:rsid w:val="00922C60"/>
    <w:rsid w:val="00933D0B"/>
    <w:rsid w:val="009441BA"/>
    <w:rsid w:val="00967A11"/>
    <w:rsid w:val="00967EAA"/>
    <w:rsid w:val="00970924"/>
    <w:rsid w:val="00993D4C"/>
    <w:rsid w:val="00A065CC"/>
    <w:rsid w:val="00A62AC5"/>
    <w:rsid w:val="00A84C4B"/>
    <w:rsid w:val="00A92F3A"/>
    <w:rsid w:val="00A97E1C"/>
    <w:rsid w:val="00AA26AD"/>
    <w:rsid w:val="00AA527D"/>
    <w:rsid w:val="00B16E8F"/>
    <w:rsid w:val="00B24127"/>
    <w:rsid w:val="00B63029"/>
    <w:rsid w:val="00BB580F"/>
    <w:rsid w:val="00BB712D"/>
    <w:rsid w:val="00C213B6"/>
    <w:rsid w:val="00C23CC6"/>
    <w:rsid w:val="00C62062"/>
    <w:rsid w:val="00CD473F"/>
    <w:rsid w:val="00D00FEE"/>
    <w:rsid w:val="00D47E84"/>
    <w:rsid w:val="00DF53ED"/>
    <w:rsid w:val="00E05A44"/>
    <w:rsid w:val="00E060F6"/>
    <w:rsid w:val="00E21EA9"/>
    <w:rsid w:val="00E25078"/>
    <w:rsid w:val="00E40D82"/>
    <w:rsid w:val="00E603A8"/>
    <w:rsid w:val="00E60D59"/>
    <w:rsid w:val="00E7081F"/>
    <w:rsid w:val="00EC0C85"/>
    <w:rsid w:val="00ED7FE9"/>
    <w:rsid w:val="00EF24AE"/>
    <w:rsid w:val="00F036BF"/>
    <w:rsid w:val="00F36441"/>
    <w:rsid w:val="00FC66C7"/>
    <w:rsid w:val="00FD04AC"/>
    <w:rsid w:val="00FF5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57"/>
    <w:rPr>
      <w:color w:val="595959" w:themeColor="text1" w:themeTint="A6"/>
    </w:rPr>
  </w:style>
  <w:style w:type="paragraph" w:styleId="Heading1">
    <w:name w:val="heading 1"/>
    <w:basedOn w:val="Normal"/>
    <w:next w:val="Normal"/>
    <w:link w:val="Heading1Char"/>
    <w:uiPriority w:val="9"/>
    <w:qFormat/>
    <w:rsid w:val="008C1792"/>
    <w:pPr>
      <w:keepNext/>
      <w:keepLines/>
      <w:spacing w:before="480" w:after="0"/>
      <w:outlineLvl w:val="0"/>
    </w:pPr>
    <w:rPr>
      <w:rFonts w:ascii="Tahoma" w:eastAsiaTheme="majorEastAsia" w:hAnsi="Tahoma" w:cstheme="majorBidi"/>
      <w:b/>
      <w:bCs/>
      <w:color w:val="000000" w:themeColor="text1"/>
      <w:sz w:val="28"/>
      <w:szCs w:val="28"/>
    </w:rPr>
  </w:style>
  <w:style w:type="paragraph" w:styleId="Heading2">
    <w:name w:val="heading 2"/>
    <w:basedOn w:val="Normal"/>
    <w:next w:val="Normal"/>
    <w:link w:val="Heading2Char"/>
    <w:uiPriority w:val="9"/>
    <w:unhideWhenUsed/>
    <w:qFormat/>
    <w:rsid w:val="008C1792"/>
    <w:pPr>
      <w:keepNext/>
      <w:keepLines/>
      <w:spacing w:before="200" w:after="0"/>
      <w:outlineLvl w:val="1"/>
    </w:pPr>
    <w:rPr>
      <w:rFonts w:ascii="Tahoma" w:eastAsiaTheme="majorEastAsia" w:hAnsi="Tahoma" w:cstheme="majorBidi"/>
      <w:b/>
      <w:bCs/>
      <w:color w:val="auto"/>
      <w:sz w:val="26"/>
      <w:szCs w:val="26"/>
    </w:rPr>
  </w:style>
  <w:style w:type="paragraph" w:styleId="Heading3">
    <w:name w:val="heading 3"/>
    <w:basedOn w:val="Normal"/>
    <w:next w:val="Normal"/>
    <w:link w:val="Heading3Char"/>
    <w:uiPriority w:val="9"/>
    <w:unhideWhenUsed/>
    <w:qFormat/>
    <w:rsid w:val="008C1792"/>
    <w:pPr>
      <w:keepNext/>
      <w:keepLines/>
      <w:spacing w:before="200" w:after="0"/>
      <w:outlineLvl w:val="2"/>
    </w:pPr>
    <w:rPr>
      <w:rFonts w:ascii="Tahoma" w:eastAsiaTheme="majorEastAsia" w:hAnsi="Tahoma" w:cstheme="majorBidi"/>
      <w:b/>
      <w:bCs/>
      <w:color w:val="404040" w:themeColor="text1" w:themeTint="BF"/>
    </w:rPr>
  </w:style>
  <w:style w:type="paragraph" w:styleId="Heading4">
    <w:name w:val="heading 4"/>
    <w:basedOn w:val="Normal"/>
    <w:next w:val="Normal"/>
    <w:link w:val="Heading4Char"/>
    <w:uiPriority w:val="9"/>
    <w:unhideWhenUsed/>
    <w:qFormat/>
    <w:rsid w:val="00171015"/>
    <w:pPr>
      <w:keepNext/>
      <w:keepLines/>
      <w:spacing w:before="200" w:after="0"/>
      <w:outlineLvl w:val="3"/>
    </w:pPr>
    <w:rPr>
      <w:rFonts w:ascii="Tahoma" w:eastAsiaTheme="majorEastAsia" w:hAnsi="Tahoma" w:cstheme="majorBidi"/>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2062"/>
    <w:pPr>
      <w:spacing w:after="0" w:line="240" w:lineRule="auto"/>
    </w:pPr>
    <w:rPr>
      <w:sz w:val="20"/>
      <w:szCs w:val="20"/>
    </w:rPr>
  </w:style>
  <w:style w:type="character" w:customStyle="1" w:styleId="FootnoteTextChar">
    <w:name w:val="Footnote Text Char"/>
    <w:basedOn w:val="DefaultParagraphFont"/>
    <w:link w:val="FootnoteText"/>
    <w:uiPriority w:val="99"/>
    <w:rsid w:val="00C62062"/>
    <w:rPr>
      <w:sz w:val="20"/>
      <w:szCs w:val="20"/>
    </w:rPr>
  </w:style>
  <w:style w:type="character" w:styleId="FootnoteReference">
    <w:name w:val="footnote reference"/>
    <w:basedOn w:val="DefaultParagraphFont"/>
    <w:uiPriority w:val="99"/>
    <w:semiHidden/>
    <w:unhideWhenUsed/>
    <w:rsid w:val="00C62062"/>
    <w:rPr>
      <w:vertAlign w:val="superscript"/>
    </w:rPr>
  </w:style>
  <w:style w:type="table" w:styleId="TableGrid">
    <w:name w:val="Table Grid"/>
    <w:basedOn w:val="TableNormal"/>
    <w:uiPriority w:val="59"/>
    <w:rsid w:val="00AA2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A26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8C1792"/>
    <w:rPr>
      <w:rFonts w:ascii="Tahoma" w:eastAsiaTheme="majorEastAsia" w:hAnsi="Tahoma" w:cstheme="majorBidi"/>
      <w:b/>
      <w:bCs/>
      <w:color w:val="000000" w:themeColor="text1"/>
      <w:sz w:val="28"/>
      <w:szCs w:val="28"/>
    </w:rPr>
  </w:style>
  <w:style w:type="character" w:customStyle="1" w:styleId="Heading2Char">
    <w:name w:val="Heading 2 Char"/>
    <w:basedOn w:val="DefaultParagraphFont"/>
    <w:link w:val="Heading2"/>
    <w:uiPriority w:val="9"/>
    <w:rsid w:val="008C1792"/>
    <w:rPr>
      <w:rFonts w:ascii="Tahoma" w:eastAsiaTheme="majorEastAsia" w:hAnsi="Tahoma" w:cstheme="majorBidi"/>
      <w:b/>
      <w:bCs/>
      <w:sz w:val="26"/>
      <w:szCs w:val="26"/>
    </w:rPr>
  </w:style>
  <w:style w:type="character" w:customStyle="1" w:styleId="Heading3Char">
    <w:name w:val="Heading 3 Char"/>
    <w:basedOn w:val="DefaultParagraphFont"/>
    <w:link w:val="Heading3"/>
    <w:uiPriority w:val="9"/>
    <w:rsid w:val="008C1792"/>
    <w:rPr>
      <w:rFonts w:ascii="Tahoma" w:eastAsiaTheme="majorEastAsia" w:hAnsi="Tahoma" w:cstheme="majorBidi"/>
      <w:b/>
      <w:bCs/>
      <w:color w:val="404040" w:themeColor="text1" w:themeTint="BF"/>
    </w:rPr>
  </w:style>
  <w:style w:type="character" w:customStyle="1" w:styleId="Heading4Char">
    <w:name w:val="Heading 4 Char"/>
    <w:basedOn w:val="DefaultParagraphFont"/>
    <w:link w:val="Heading4"/>
    <w:uiPriority w:val="9"/>
    <w:rsid w:val="00171015"/>
    <w:rPr>
      <w:rFonts w:ascii="Tahoma" w:eastAsiaTheme="majorEastAsia" w:hAnsi="Tahoma" w:cstheme="majorBidi"/>
      <w:b/>
      <w:bCs/>
      <w:i/>
      <w:iCs/>
      <w:color w:val="7F7F7F" w:themeColor="text1" w:themeTint="80"/>
      <w:sz w:val="20"/>
    </w:rPr>
  </w:style>
  <w:style w:type="paragraph" w:styleId="Header">
    <w:name w:val="header"/>
    <w:basedOn w:val="Normal"/>
    <w:link w:val="HeaderChar"/>
    <w:unhideWhenUsed/>
    <w:rsid w:val="00171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015"/>
    <w:rPr>
      <w:color w:val="7F7F7F" w:themeColor="text1" w:themeTint="80"/>
    </w:rPr>
  </w:style>
  <w:style w:type="paragraph" w:styleId="Footer">
    <w:name w:val="footer"/>
    <w:basedOn w:val="Normal"/>
    <w:link w:val="FooterChar"/>
    <w:unhideWhenUsed/>
    <w:rsid w:val="00171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015"/>
    <w:rPr>
      <w:color w:val="7F7F7F" w:themeColor="text1" w:themeTint="80"/>
    </w:rPr>
  </w:style>
  <w:style w:type="paragraph" w:styleId="BalloonText">
    <w:name w:val="Balloon Text"/>
    <w:basedOn w:val="Normal"/>
    <w:link w:val="BalloonTextChar"/>
    <w:uiPriority w:val="99"/>
    <w:semiHidden/>
    <w:unhideWhenUsed/>
    <w:rsid w:val="00171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15"/>
    <w:rPr>
      <w:rFonts w:ascii="Tahoma" w:hAnsi="Tahoma" w:cs="Tahoma"/>
      <w:color w:val="7F7F7F" w:themeColor="text1" w:themeTint="80"/>
      <w:sz w:val="16"/>
      <w:szCs w:val="16"/>
    </w:rPr>
  </w:style>
  <w:style w:type="character" w:styleId="Hyperlink">
    <w:name w:val="Hyperlink"/>
    <w:basedOn w:val="DefaultParagraphFont"/>
    <w:uiPriority w:val="99"/>
    <w:unhideWhenUsed/>
    <w:rsid w:val="00B24127"/>
    <w:rPr>
      <w:color w:val="0000FF" w:themeColor="hyperlink"/>
      <w:u w:val="single"/>
    </w:rPr>
  </w:style>
  <w:style w:type="character" w:styleId="SubtleEmphasis">
    <w:name w:val="Subtle Emphasis"/>
    <w:basedOn w:val="DefaultParagraphFont"/>
    <w:uiPriority w:val="19"/>
    <w:qFormat/>
    <w:rsid w:val="00AA527D"/>
    <w:rPr>
      <w:rFonts w:asciiTheme="minorHAnsi" w:hAnsiTheme="minorHAnsi"/>
      <w:i/>
      <w:iCs/>
      <w:color w:val="808080" w:themeColor="text1" w:themeTint="7F"/>
    </w:rPr>
  </w:style>
  <w:style w:type="paragraph" w:styleId="ListParagraph">
    <w:name w:val="List Paragraph"/>
    <w:basedOn w:val="Normal"/>
    <w:uiPriority w:val="34"/>
    <w:qFormat/>
    <w:rsid w:val="001C028D"/>
    <w:pPr>
      <w:ind w:left="720"/>
      <w:contextualSpacing/>
    </w:pPr>
  </w:style>
  <w:style w:type="character" w:styleId="FollowedHyperlink">
    <w:name w:val="FollowedHyperlink"/>
    <w:basedOn w:val="DefaultParagraphFont"/>
    <w:uiPriority w:val="99"/>
    <w:semiHidden/>
    <w:unhideWhenUsed/>
    <w:rsid w:val="00535497"/>
    <w:rPr>
      <w:color w:val="800080"/>
      <w:u w:val="single"/>
    </w:rPr>
  </w:style>
  <w:style w:type="paragraph" w:customStyle="1" w:styleId="xl69">
    <w:name w:val="xl69"/>
    <w:basedOn w:val="Normal"/>
    <w:rsid w:val="00535497"/>
    <w:pPr>
      <w:spacing w:before="100" w:beforeAutospacing="1" w:after="100" w:afterAutospacing="1" w:line="240" w:lineRule="auto"/>
      <w:jc w:val="center"/>
    </w:pPr>
    <w:rPr>
      <w:rFonts w:ascii="Calibri" w:eastAsia="Times New Roman" w:hAnsi="Calibri" w:cs="Times New Roman"/>
      <w:color w:val="auto"/>
      <w:sz w:val="16"/>
      <w:szCs w:val="16"/>
      <w:lang w:eastAsia="en-GB"/>
    </w:rPr>
  </w:style>
  <w:style w:type="paragraph" w:customStyle="1" w:styleId="xl70">
    <w:name w:val="xl70"/>
    <w:basedOn w:val="Normal"/>
    <w:rsid w:val="00535497"/>
    <w:pPr>
      <w:spacing w:before="100" w:beforeAutospacing="1" w:after="100" w:afterAutospacing="1" w:line="240" w:lineRule="auto"/>
      <w:jc w:val="center"/>
    </w:pPr>
    <w:rPr>
      <w:rFonts w:ascii="Calibri" w:eastAsia="Times New Roman" w:hAnsi="Calibri" w:cs="Times New Roman"/>
      <w:color w:val="auto"/>
      <w:sz w:val="16"/>
      <w:szCs w:val="16"/>
      <w:lang w:eastAsia="en-GB"/>
    </w:rPr>
  </w:style>
  <w:style w:type="paragraph" w:customStyle="1" w:styleId="xl71">
    <w:name w:val="xl71"/>
    <w:basedOn w:val="Normal"/>
    <w:rsid w:val="00535497"/>
    <w:pPr>
      <w:spacing w:before="100" w:beforeAutospacing="1" w:after="100" w:afterAutospacing="1" w:line="240" w:lineRule="auto"/>
    </w:pPr>
    <w:rPr>
      <w:rFonts w:ascii="Calibri" w:eastAsia="Times New Roman" w:hAnsi="Calibri" w:cs="Times New Roman"/>
      <w:color w:val="auto"/>
      <w:sz w:val="16"/>
      <w:szCs w:val="16"/>
      <w:lang w:eastAsia="en-GB"/>
    </w:rPr>
  </w:style>
  <w:style w:type="paragraph" w:customStyle="1" w:styleId="xl72">
    <w:name w:val="xl72"/>
    <w:basedOn w:val="Normal"/>
    <w:rsid w:val="00535497"/>
    <w:pPr>
      <w:spacing w:before="100" w:beforeAutospacing="1" w:after="100" w:afterAutospacing="1" w:line="240" w:lineRule="auto"/>
      <w:jc w:val="center"/>
    </w:pPr>
    <w:rPr>
      <w:rFonts w:ascii="Calibri" w:eastAsia="Times New Roman" w:hAnsi="Calibri" w:cs="Times New Roman"/>
      <w:color w:val="000000"/>
      <w:sz w:val="16"/>
      <w:szCs w:val="16"/>
      <w:lang w:eastAsia="en-GB"/>
    </w:rPr>
  </w:style>
  <w:style w:type="paragraph" w:customStyle="1" w:styleId="xl73">
    <w:name w:val="xl73"/>
    <w:basedOn w:val="Normal"/>
    <w:rsid w:val="00535497"/>
    <w:pPr>
      <w:spacing w:before="100" w:beforeAutospacing="1" w:after="100" w:afterAutospacing="1" w:line="240" w:lineRule="auto"/>
      <w:jc w:val="center"/>
    </w:pPr>
    <w:rPr>
      <w:rFonts w:ascii="Calibri" w:eastAsia="Times New Roman" w:hAnsi="Calibri" w:cs="Times New Roman"/>
      <w:color w:val="auto"/>
      <w:sz w:val="16"/>
      <w:szCs w:val="16"/>
      <w:lang w:eastAsia="en-GB"/>
    </w:rPr>
  </w:style>
  <w:style w:type="paragraph" w:customStyle="1" w:styleId="xl74">
    <w:name w:val="xl74"/>
    <w:basedOn w:val="Normal"/>
    <w:rsid w:val="00535497"/>
    <w:pPr>
      <w:spacing w:before="100" w:beforeAutospacing="1" w:after="100" w:afterAutospacing="1" w:line="240" w:lineRule="auto"/>
      <w:jc w:val="center"/>
    </w:pPr>
    <w:rPr>
      <w:rFonts w:ascii="Calibri" w:eastAsia="Times New Roman" w:hAnsi="Calibri" w:cs="Times New Roman"/>
      <w:color w:val="000000"/>
      <w:sz w:val="16"/>
      <w:szCs w:val="16"/>
      <w:lang w:eastAsia="en-GB"/>
    </w:rPr>
  </w:style>
  <w:style w:type="paragraph" w:customStyle="1" w:styleId="xl75">
    <w:name w:val="xl75"/>
    <w:basedOn w:val="Normal"/>
    <w:rsid w:val="00535497"/>
    <w:pPr>
      <w:spacing w:before="100" w:beforeAutospacing="1" w:after="100" w:afterAutospacing="1" w:line="240" w:lineRule="auto"/>
      <w:jc w:val="center"/>
    </w:pPr>
    <w:rPr>
      <w:rFonts w:ascii="Calibri" w:eastAsia="Times New Roman" w:hAnsi="Calibri" w:cs="Times New Roman"/>
      <w:color w:val="000000"/>
      <w:sz w:val="16"/>
      <w:szCs w:val="16"/>
      <w:lang w:eastAsia="en-GB"/>
    </w:rPr>
  </w:style>
  <w:style w:type="character" w:styleId="CommentReference">
    <w:name w:val="annotation reference"/>
    <w:basedOn w:val="DefaultParagraphFont"/>
    <w:uiPriority w:val="99"/>
    <w:semiHidden/>
    <w:unhideWhenUsed/>
    <w:rsid w:val="000A6B23"/>
    <w:rPr>
      <w:sz w:val="16"/>
      <w:szCs w:val="16"/>
    </w:rPr>
  </w:style>
  <w:style w:type="paragraph" w:styleId="CommentText">
    <w:name w:val="annotation text"/>
    <w:basedOn w:val="Normal"/>
    <w:link w:val="CommentTextChar"/>
    <w:uiPriority w:val="99"/>
    <w:semiHidden/>
    <w:unhideWhenUsed/>
    <w:rsid w:val="000A6B23"/>
    <w:pPr>
      <w:spacing w:line="240" w:lineRule="auto"/>
    </w:pPr>
    <w:rPr>
      <w:sz w:val="20"/>
      <w:szCs w:val="20"/>
    </w:rPr>
  </w:style>
  <w:style w:type="character" w:customStyle="1" w:styleId="CommentTextChar">
    <w:name w:val="Comment Text Char"/>
    <w:basedOn w:val="DefaultParagraphFont"/>
    <w:link w:val="CommentText"/>
    <w:uiPriority w:val="99"/>
    <w:semiHidden/>
    <w:rsid w:val="000A6B23"/>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0A6B23"/>
    <w:rPr>
      <w:b/>
      <w:bCs/>
    </w:rPr>
  </w:style>
  <w:style w:type="character" w:customStyle="1" w:styleId="CommentSubjectChar">
    <w:name w:val="Comment Subject Char"/>
    <w:basedOn w:val="CommentTextChar"/>
    <w:link w:val="CommentSubject"/>
    <w:uiPriority w:val="99"/>
    <w:semiHidden/>
    <w:rsid w:val="000A6B23"/>
    <w:rPr>
      <w:b/>
      <w:bCs/>
      <w:color w:val="595959" w:themeColor="text1" w:themeTint="A6"/>
      <w:sz w:val="20"/>
      <w:szCs w:val="20"/>
    </w:rPr>
  </w:style>
  <w:style w:type="paragraph" w:styleId="Revision">
    <w:name w:val="Revision"/>
    <w:hidden/>
    <w:uiPriority w:val="99"/>
    <w:semiHidden/>
    <w:rsid w:val="00243212"/>
    <w:pPr>
      <w:spacing w:after="0" w:line="240" w:lineRule="auto"/>
    </w:pPr>
    <w:rPr>
      <w:color w:val="595959" w:themeColor="text1" w:themeTint="A6"/>
    </w:rPr>
  </w:style>
  <w:style w:type="paragraph" w:customStyle="1" w:styleId="Default">
    <w:name w:val="Default"/>
    <w:rsid w:val="005C7089"/>
    <w:pPr>
      <w:autoSpaceDE w:val="0"/>
      <w:autoSpaceDN w:val="0"/>
      <w:adjustRightInd w:val="0"/>
      <w:spacing w:after="0" w:line="240" w:lineRule="auto"/>
    </w:pPr>
    <w:rPr>
      <w:rFonts w:ascii="SMROEZ+Arial-BoldMT" w:hAnsi="SMROEZ+Arial-BoldMT" w:cs="SMROEZ+Arial-Bold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57"/>
    <w:rPr>
      <w:color w:val="595959" w:themeColor="text1" w:themeTint="A6"/>
    </w:rPr>
  </w:style>
  <w:style w:type="paragraph" w:styleId="Heading1">
    <w:name w:val="heading 1"/>
    <w:basedOn w:val="Normal"/>
    <w:next w:val="Normal"/>
    <w:link w:val="Heading1Char"/>
    <w:uiPriority w:val="9"/>
    <w:qFormat/>
    <w:rsid w:val="008C1792"/>
    <w:pPr>
      <w:keepNext/>
      <w:keepLines/>
      <w:spacing w:before="480" w:after="0"/>
      <w:outlineLvl w:val="0"/>
    </w:pPr>
    <w:rPr>
      <w:rFonts w:ascii="Tahoma" w:eastAsiaTheme="majorEastAsia" w:hAnsi="Tahoma" w:cstheme="majorBidi"/>
      <w:b/>
      <w:bCs/>
      <w:color w:val="000000" w:themeColor="text1"/>
      <w:sz w:val="28"/>
      <w:szCs w:val="28"/>
    </w:rPr>
  </w:style>
  <w:style w:type="paragraph" w:styleId="Heading2">
    <w:name w:val="heading 2"/>
    <w:basedOn w:val="Normal"/>
    <w:next w:val="Normal"/>
    <w:link w:val="Heading2Char"/>
    <w:uiPriority w:val="9"/>
    <w:unhideWhenUsed/>
    <w:qFormat/>
    <w:rsid w:val="008C1792"/>
    <w:pPr>
      <w:keepNext/>
      <w:keepLines/>
      <w:spacing w:before="200" w:after="0"/>
      <w:outlineLvl w:val="1"/>
    </w:pPr>
    <w:rPr>
      <w:rFonts w:ascii="Tahoma" w:eastAsiaTheme="majorEastAsia" w:hAnsi="Tahoma" w:cstheme="majorBidi"/>
      <w:b/>
      <w:bCs/>
      <w:color w:val="auto"/>
      <w:sz w:val="26"/>
      <w:szCs w:val="26"/>
    </w:rPr>
  </w:style>
  <w:style w:type="paragraph" w:styleId="Heading3">
    <w:name w:val="heading 3"/>
    <w:basedOn w:val="Normal"/>
    <w:next w:val="Normal"/>
    <w:link w:val="Heading3Char"/>
    <w:uiPriority w:val="9"/>
    <w:unhideWhenUsed/>
    <w:qFormat/>
    <w:rsid w:val="008C1792"/>
    <w:pPr>
      <w:keepNext/>
      <w:keepLines/>
      <w:spacing w:before="200" w:after="0"/>
      <w:outlineLvl w:val="2"/>
    </w:pPr>
    <w:rPr>
      <w:rFonts w:ascii="Tahoma" w:eastAsiaTheme="majorEastAsia" w:hAnsi="Tahoma" w:cstheme="majorBidi"/>
      <w:b/>
      <w:bCs/>
      <w:color w:val="404040" w:themeColor="text1" w:themeTint="BF"/>
    </w:rPr>
  </w:style>
  <w:style w:type="paragraph" w:styleId="Heading4">
    <w:name w:val="heading 4"/>
    <w:basedOn w:val="Normal"/>
    <w:next w:val="Normal"/>
    <w:link w:val="Heading4Char"/>
    <w:uiPriority w:val="9"/>
    <w:unhideWhenUsed/>
    <w:qFormat/>
    <w:rsid w:val="00171015"/>
    <w:pPr>
      <w:keepNext/>
      <w:keepLines/>
      <w:spacing w:before="200" w:after="0"/>
      <w:outlineLvl w:val="3"/>
    </w:pPr>
    <w:rPr>
      <w:rFonts w:ascii="Tahoma" w:eastAsiaTheme="majorEastAsia" w:hAnsi="Tahoma" w:cstheme="majorBidi"/>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2062"/>
    <w:pPr>
      <w:spacing w:after="0" w:line="240" w:lineRule="auto"/>
    </w:pPr>
    <w:rPr>
      <w:sz w:val="20"/>
      <w:szCs w:val="20"/>
    </w:rPr>
  </w:style>
  <w:style w:type="character" w:customStyle="1" w:styleId="FootnoteTextChar">
    <w:name w:val="Footnote Text Char"/>
    <w:basedOn w:val="DefaultParagraphFont"/>
    <w:link w:val="FootnoteText"/>
    <w:uiPriority w:val="99"/>
    <w:rsid w:val="00C62062"/>
    <w:rPr>
      <w:sz w:val="20"/>
      <w:szCs w:val="20"/>
    </w:rPr>
  </w:style>
  <w:style w:type="character" w:styleId="FootnoteReference">
    <w:name w:val="footnote reference"/>
    <w:basedOn w:val="DefaultParagraphFont"/>
    <w:uiPriority w:val="99"/>
    <w:semiHidden/>
    <w:unhideWhenUsed/>
    <w:rsid w:val="00C62062"/>
    <w:rPr>
      <w:vertAlign w:val="superscript"/>
    </w:rPr>
  </w:style>
  <w:style w:type="table" w:styleId="TableGrid">
    <w:name w:val="Table Grid"/>
    <w:basedOn w:val="TableNormal"/>
    <w:uiPriority w:val="59"/>
    <w:rsid w:val="00AA2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A26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8C1792"/>
    <w:rPr>
      <w:rFonts w:ascii="Tahoma" w:eastAsiaTheme="majorEastAsia" w:hAnsi="Tahoma" w:cstheme="majorBidi"/>
      <w:b/>
      <w:bCs/>
      <w:color w:val="000000" w:themeColor="text1"/>
      <w:sz w:val="28"/>
      <w:szCs w:val="28"/>
    </w:rPr>
  </w:style>
  <w:style w:type="character" w:customStyle="1" w:styleId="Heading2Char">
    <w:name w:val="Heading 2 Char"/>
    <w:basedOn w:val="DefaultParagraphFont"/>
    <w:link w:val="Heading2"/>
    <w:uiPriority w:val="9"/>
    <w:rsid w:val="008C1792"/>
    <w:rPr>
      <w:rFonts w:ascii="Tahoma" w:eastAsiaTheme="majorEastAsia" w:hAnsi="Tahoma" w:cstheme="majorBidi"/>
      <w:b/>
      <w:bCs/>
      <w:sz w:val="26"/>
      <w:szCs w:val="26"/>
    </w:rPr>
  </w:style>
  <w:style w:type="character" w:customStyle="1" w:styleId="Heading3Char">
    <w:name w:val="Heading 3 Char"/>
    <w:basedOn w:val="DefaultParagraphFont"/>
    <w:link w:val="Heading3"/>
    <w:uiPriority w:val="9"/>
    <w:rsid w:val="008C1792"/>
    <w:rPr>
      <w:rFonts w:ascii="Tahoma" w:eastAsiaTheme="majorEastAsia" w:hAnsi="Tahoma" w:cstheme="majorBidi"/>
      <w:b/>
      <w:bCs/>
      <w:color w:val="404040" w:themeColor="text1" w:themeTint="BF"/>
    </w:rPr>
  </w:style>
  <w:style w:type="character" w:customStyle="1" w:styleId="Heading4Char">
    <w:name w:val="Heading 4 Char"/>
    <w:basedOn w:val="DefaultParagraphFont"/>
    <w:link w:val="Heading4"/>
    <w:uiPriority w:val="9"/>
    <w:rsid w:val="00171015"/>
    <w:rPr>
      <w:rFonts w:ascii="Tahoma" w:eastAsiaTheme="majorEastAsia" w:hAnsi="Tahoma" w:cstheme="majorBidi"/>
      <w:b/>
      <w:bCs/>
      <w:i/>
      <w:iCs/>
      <w:color w:val="7F7F7F" w:themeColor="text1" w:themeTint="80"/>
      <w:sz w:val="20"/>
    </w:rPr>
  </w:style>
  <w:style w:type="paragraph" w:styleId="Header">
    <w:name w:val="header"/>
    <w:basedOn w:val="Normal"/>
    <w:link w:val="HeaderChar"/>
    <w:unhideWhenUsed/>
    <w:rsid w:val="00171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015"/>
    <w:rPr>
      <w:color w:val="7F7F7F" w:themeColor="text1" w:themeTint="80"/>
    </w:rPr>
  </w:style>
  <w:style w:type="paragraph" w:styleId="Footer">
    <w:name w:val="footer"/>
    <w:basedOn w:val="Normal"/>
    <w:link w:val="FooterChar"/>
    <w:unhideWhenUsed/>
    <w:rsid w:val="00171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015"/>
    <w:rPr>
      <w:color w:val="7F7F7F" w:themeColor="text1" w:themeTint="80"/>
    </w:rPr>
  </w:style>
  <w:style w:type="paragraph" w:styleId="BalloonText">
    <w:name w:val="Balloon Text"/>
    <w:basedOn w:val="Normal"/>
    <w:link w:val="BalloonTextChar"/>
    <w:uiPriority w:val="99"/>
    <w:semiHidden/>
    <w:unhideWhenUsed/>
    <w:rsid w:val="00171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15"/>
    <w:rPr>
      <w:rFonts w:ascii="Tahoma" w:hAnsi="Tahoma" w:cs="Tahoma"/>
      <w:color w:val="7F7F7F" w:themeColor="text1" w:themeTint="80"/>
      <w:sz w:val="16"/>
      <w:szCs w:val="16"/>
    </w:rPr>
  </w:style>
  <w:style w:type="character" w:styleId="Hyperlink">
    <w:name w:val="Hyperlink"/>
    <w:basedOn w:val="DefaultParagraphFont"/>
    <w:uiPriority w:val="99"/>
    <w:unhideWhenUsed/>
    <w:rsid w:val="00B24127"/>
    <w:rPr>
      <w:color w:val="0000FF" w:themeColor="hyperlink"/>
      <w:u w:val="single"/>
    </w:rPr>
  </w:style>
  <w:style w:type="character" w:styleId="SubtleEmphasis">
    <w:name w:val="Subtle Emphasis"/>
    <w:basedOn w:val="DefaultParagraphFont"/>
    <w:uiPriority w:val="19"/>
    <w:qFormat/>
    <w:rsid w:val="00AA527D"/>
    <w:rPr>
      <w:rFonts w:asciiTheme="minorHAnsi" w:hAnsiTheme="minorHAnsi"/>
      <w:i/>
      <w:iCs/>
      <w:color w:val="808080" w:themeColor="text1" w:themeTint="7F"/>
    </w:rPr>
  </w:style>
  <w:style w:type="paragraph" w:styleId="ListParagraph">
    <w:name w:val="List Paragraph"/>
    <w:basedOn w:val="Normal"/>
    <w:uiPriority w:val="34"/>
    <w:qFormat/>
    <w:rsid w:val="001C028D"/>
    <w:pPr>
      <w:ind w:left="720"/>
      <w:contextualSpacing/>
    </w:pPr>
  </w:style>
  <w:style w:type="character" w:styleId="FollowedHyperlink">
    <w:name w:val="FollowedHyperlink"/>
    <w:basedOn w:val="DefaultParagraphFont"/>
    <w:uiPriority w:val="99"/>
    <w:semiHidden/>
    <w:unhideWhenUsed/>
    <w:rsid w:val="00535497"/>
    <w:rPr>
      <w:color w:val="800080"/>
      <w:u w:val="single"/>
    </w:rPr>
  </w:style>
  <w:style w:type="paragraph" w:customStyle="1" w:styleId="xl69">
    <w:name w:val="xl69"/>
    <w:basedOn w:val="Normal"/>
    <w:rsid w:val="00535497"/>
    <w:pPr>
      <w:spacing w:before="100" w:beforeAutospacing="1" w:after="100" w:afterAutospacing="1" w:line="240" w:lineRule="auto"/>
      <w:jc w:val="center"/>
    </w:pPr>
    <w:rPr>
      <w:rFonts w:ascii="Calibri" w:eastAsia="Times New Roman" w:hAnsi="Calibri" w:cs="Times New Roman"/>
      <w:color w:val="auto"/>
      <w:sz w:val="16"/>
      <w:szCs w:val="16"/>
      <w:lang w:eastAsia="en-GB"/>
    </w:rPr>
  </w:style>
  <w:style w:type="paragraph" w:customStyle="1" w:styleId="xl70">
    <w:name w:val="xl70"/>
    <w:basedOn w:val="Normal"/>
    <w:rsid w:val="00535497"/>
    <w:pPr>
      <w:spacing w:before="100" w:beforeAutospacing="1" w:after="100" w:afterAutospacing="1" w:line="240" w:lineRule="auto"/>
      <w:jc w:val="center"/>
    </w:pPr>
    <w:rPr>
      <w:rFonts w:ascii="Calibri" w:eastAsia="Times New Roman" w:hAnsi="Calibri" w:cs="Times New Roman"/>
      <w:color w:val="auto"/>
      <w:sz w:val="16"/>
      <w:szCs w:val="16"/>
      <w:lang w:eastAsia="en-GB"/>
    </w:rPr>
  </w:style>
  <w:style w:type="paragraph" w:customStyle="1" w:styleId="xl71">
    <w:name w:val="xl71"/>
    <w:basedOn w:val="Normal"/>
    <w:rsid w:val="00535497"/>
    <w:pPr>
      <w:spacing w:before="100" w:beforeAutospacing="1" w:after="100" w:afterAutospacing="1" w:line="240" w:lineRule="auto"/>
    </w:pPr>
    <w:rPr>
      <w:rFonts w:ascii="Calibri" w:eastAsia="Times New Roman" w:hAnsi="Calibri" w:cs="Times New Roman"/>
      <w:color w:val="auto"/>
      <w:sz w:val="16"/>
      <w:szCs w:val="16"/>
      <w:lang w:eastAsia="en-GB"/>
    </w:rPr>
  </w:style>
  <w:style w:type="paragraph" w:customStyle="1" w:styleId="xl72">
    <w:name w:val="xl72"/>
    <w:basedOn w:val="Normal"/>
    <w:rsid w:val="00535497"/>
    <w:pPr>
      <w:spacing w:before="100" w:beforeAutospacing="1" w:after="100" w:afterAutospacing="1" w:line="240" w:lineRule="auto"/>
      <w:jc w:val="center"/>
    </w:pPr>
    <w:rPr>
      <w:rFonts w:ascii="Calibri" w:eastAsia="Times New Roman" w:hAnsi="Calibri" w:cs="Times New Roman"/>
      <w:color w:val="000000"/>
      <w:sz w:val="16"/>
      <w:szCs w:val="16"/>
      <w:lang w:eastAsia="en-GB"/>
    </w:rPr>
  </w:style>
  <w:style w:type="paragraph" w:customStyle="1" w:styleId="xl73">
    <w:name w:val="xl73"/>
    <w:basedOn w:val="Normal"/>
    <w:rsid w:val="00535497"/>
    <w:pPr>
      <w:spacing w:before="100" w:beforeAutospacing="1" w:after="100" w:afterAutospacing="1" w:line="240" w:lineRule="auto"/>
      <w:jc w:val="center"/>
    </w:pPr>
    <w:rPr>
      <w:rFonts w:ascii="Calibri" w:eastAsia="Times New Roman" w:hAnsi="Calibri" w:cs="Times New Roman"/>
      <w:color w:val="auto"/>
      <w:sz w:val="16"/>
      <w:szCs w:val="16"/>
      <w:lang w:eastAsia="en-GB"/>
    </w:rPr>
  </w:style>
  <w:style w:type="paragraph" w:customStyle="1" w:styleId="xl74">
    <w:name w:val="xl74"/>
    <w:basedOn w:val="Normal"/>
    <w:rsid w:val="00535497"/>
    <w:pPr>
      <w:spacing w:before="100" w:beforeAutospacing="1" w:after="100" w:afterAutospacing="1" w:line="240" w:lineRule="auto"/>
      <w:jc w:val="center"/>
    </w:pPr>
    <w:rPr>
      <w:rFonts w:ascii="Calibri" w:eastAsia="Times New Roman" w:hAnsi="Calibri" w:cs="Times New Roman"/>
      <w:color w:val="000000"/>
      <w:sz w:val="16"/>
      <w:szCs w:val="16"/>
      <w:lang w:eastAsia="en-GB"/>
    </w:rPr>
  </w:style>
  <w:style w:type="paragraph" w:customStyle="1" w:styleId="xl75">
    <w:name w:val="xl75"/>
    <w:basedOn w:val="Normal"/>
    <w:rsid w:val="00535497"/>
    <w:pPr>
      <w:spacing w:before="100" w:beforeAutospacing="1" w:after="100" w:afterAutospacing="1" w:line="240" w:lineRule="auto"/>
      <w:jc w:val="center"/>
    </w:pPr>
    <w:rPr>
      <w:rFonts w:ascii="Calibri" w:eastAsia="Times New Roman" w:hAnsi="Calibri" w:cs="Times New Roman"/>
      <w:color w:val="000000"/>
      <w:sz w:val="16"/>
      <w:szCs w:val="16"/>
      <w:lang w:eastAsia="en-GB"/>
    </w:rPr>
  </w:style>
  <w:style w:type="character" w:styleId="CommentReference">
    <w:name w:val="annotation reference"/>
    <w:basedOn w:val="DefaultParagraphFont"/>
    <w:uiPriority w:val="99"/>
    <w:semiHidden/>
    <w:unhideWhenUsed/>
    <w:rsid w:val="000A6B23"/>
    <w:rPr>
      <w:sz w:val="16"/>
      <w:szCs w:val="16"/>
    </w:rPr>
  </w:style>
  <w:style w:type="paragraph" w:styleId="CommentText">
    <w:name w:val="annotation text"/>
    <w:basedOn w:val="Normal"/>
    <w:link w:val="CommentTextChar"/>
    <w:uiPriority w:val="99"/>
    <w:semiHidden/>
    <w:unhideWhenUsed/>
    <w:rsid w:val="000A6B23"/>
    <w:pPr>
      <w:spacing w:line="240" w:lineRule="auto"/>
    </w:pPr>
    <w:rPr>
      <w:sz w:val="20"/>
      <w:szCs w:val="20"/>
    </w:rPr>
  </w:style>
  <w:style w:type="character" w:customStyle="1" w:styleId="CommentTextChar">
    <w:name w:val="Comment Text Char"/>
    <w:basedOn w:val="DefaultParagraphFont"/>
    <w:link w:val="CommentText"/>
    <w:uiPriority w:val="99"/>
    <w:semiHidden/>
    <w:rsid w:val="000A6B23"/>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0A6B23"/>
    <w:rPr>
      <w:b/>
      <w:bCs/>
    </w:rPr>
  </w:style>
  <w:style w:type="character" w:customStyle="1" w:styleId="CommentSubjectChar">
    <w:name w:val="Comment Subject Char"/>
    <w:basedOn w:val="CommentTextChar"/>
    <w:link w:val="CommentSubject"/>
    <w:uiPriority w:val="99"/>
    <w:semiHidden/>
    <w:rsid w:val="000A6B23"/>
    <w:rPr>
      <w:b/>
      <w:bCs/>
      <w:color w:val="595959" w:themeColor="text1" w:themeTint="A6"/>
      <w:sz w:val="20"/>
      <w:szCs w:val="20"/>
    </w:rPr>
  </w:style>
  <w:style w:type="paragraph" w:styleId="Revision">
    <w:name w:val="Revision"/>
    <w:hidden/>
    <w:uiPriority w:val="99"/>
    <w:semiHidden/>
    <w:rsid w:val="00243212"/>
    <w:pPr>
      <w:spacing w:after="0" w:line="240" w:lineRule="auto"/>
    </w:pPr>
    <w:rPr>
      <w:color w:val="595959" w:themeColor="text1" w:themeTint="A6"/>
    </w:rPr>
  </w:style>
  <w:style w:type="paragraph" w:customStyle="1" w:styleId="Default">
    <w:name w:val="Default"/>
    <w:rsid w:val="005C7089"/>
    <w:pPr>
      <w:autoSpaceDE w:val="0"/>
      <w:autoSpaceDN w:val="0"/>
      <w:adjustRightInd w:val="0"/>
      <w:spacing w:after="0" w:line="240" w:lineRule="auto"/>
    </w:pPr>
    <w:rPr>
      <w:rFonts w:ascii="SMROEZ+Arial-BoldMT" w:hAnsi="SMROEZ+Arial-BoldMT" w:cs="SMROEZ+Arial-Bold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007">
      <w:bodyDiv w:val="1"/>
      <w:marLeft w:val="0"/>
      <w:marRight w:val="0"/>
      <w:marTop w:val="0"/>
      <w:marBottom w:val="0"/>
      <w:divBdr>
        <w:top w:val="none" w:sz="0" w:space="0" w:color="auto"/>
        <w:left w:val="none" w:sz="0" w:space="0" w:color="auto"/>
        <w:bottom w:val="none" w:sz="0" w:space="0" w:color="auto"/>
        <w:right w:val="none" w:sz="0" w:space="0" w:color="auto"/>
      </w:divBdr>
    </w:div>
    <w:div w:id="147095137">
      <w:bodyDiv w:val="1"/>
      <w:marLeft w:val="0"/>
      <w:marRight w:val="0"/>
      <w:marTop w:val="0"/>
      <w:marBottom w:val="0"/>
      <w:divBdr>
        <w:top w:val="none" w:sz="0" w:space="0" w:color="auto"/>
        <w:left w:val="none" w:sz="0" w:space="0" w:color="auto"/>
        <w:bottom w:val="none" w:sz="0" w:space="0" w:color="auto"/>
        <w:right w:val="none" w:sz="0" w:space="0" w:color="auto"/>
      </w:divBdr>
    </w:div>
    <w:div w:id="275257720">
      <w:bodyDiv w:val="1"/>
      <w:marLeft w:val="0"/>
      <w:marRight w:val="0"/>
      <w:marTop w:val="0"/>
      <w:marBottom w:val="0"/>
      <w:divBdr>
        <w:top w:val="none" w:sz="0" w:space="0" w:color="auto"/>
        <w:left w:val="none" w:sz="0" w:space="0" w:color="auto"/>
        <w:bottom w:val="none" w:sz="0" w:space="0" w:color="auto"/>
        <w:right w:val="none" w:sz="0" w:space="0" w:color="auto"/>
      </w:divBdr>
    </w:div>
    <w:div w:id="995838894">
      <w:bodyDiv w:val="1"/>
      <w:marLeft w:val="0"/>
      <w:marRight w:val="0"/>
      <w:marTop w:val="0"/>
      <w:marBottom w:val="0"/>
      <w:divBdr>
        <w:top w:val="none" w:sz="0" w:space="0" w:color="auto"/>
        <w:left w:val="none" w:sz="0" w:space="0" w:color="auto"/>
        <w:bottom w:val="none" w:sz="0" w:space="0" w:color="auto"/>
        <w:right w:val="none" w:sz="0" w:space="0" w:color="auto"/>
      </w:divBdr>
    </w:div>
    <w:div w:id="1408383234">
      <w:bodyDiv w:val="1"/>
      <w:marLeft w:val="0"/>
      <w:marRight w:val="0"/>
      <w:marTop w:val="0"/>
      <w:marBottom w:val="0"/>
      <w:divBdr>
        <w:top w:val="none" w:sz="0" w:space="0" w:color="auto"/>
        <w:left w:val="none" w:sz="0" w:space="0" w:color="auto"/>
        <w:bottom w:val="none" w:sz="0" w:space="0" w:color="auto"/>
        <w:right w:val="none" w:sz="0" w:space="0" w:color="auto"/>
      </w:divBdr>
    </w:div>
    <w:div w:id="173847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snc.org.uk/services-commissioning/locally-commissioned-services/service-specifications-and-resources/en12-seasonal-influenza-vaccination/" TargetMode="External"/><Relationship Id="rId10" Type="http://schemas.openxmlformats.org/officeDocument/2006/relationships/hyperlink" Target="https://www.gov.uk/government/collections/vaccine-uptake" TargetMode="External"/><Relationship Id="rId4" Type="http://schemas.microsoft.com/office/2007/relationships/stylesWithEffects" Target="stylesWithEffects.xml"/><Relationship Id="rId9" Type="http://schemas.openxmlformats.org/officeDocument/2006/relationships/hyperlink" Target="https://www.gov.uk/government/publications/seasonal-flu-vaccine-uptake-in-gp-patients-1-september-2013-to-31-january-2014" TargetMode="External"/><Relationship Id="rId14" Type="http://schemas.openxmlformats.org/officeDocument/2006/relationships/hyperlink" Target="http://psnc.org.uk/services-commissioning/locally-commissioned-services/winte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onlinelibrary.wiley.com/doi/10.1111/ijpp.12037/full" TargetMode="External"/><Relationship Id="rId13" Type="http://schemas.openxmlformats.org/officeDocument/2006/relationships/hyperlink" Target="http://www.nhsemployers.org/~/media/Employers/Documents/Primary%20care%20contracts/QOF/2014-15/2014-15%20General%20Medical%20Services%20contract%20-%20%20Quality%20and%20Outcomes%20Framework%20-%20Guidannce%20for%20GMS%20contract%202014-15.pdf" TargetMode="External"/><Relationship Id="rId3" Type="http://schemas.openxmlformats.org/officeDocument/2006/relationships/hyperlink" Target="https://www.gov.uk/government/publications/public-health-commissioning-in-the-nhs-from-2013" TargetMode="External"/><Relationship Id="rId7" Type="http://schemas.openxmlformats.org/officeDocument/2006/relationships/hyperlink" Target="http://www.ncbi.nlm.nih.gov/pmc/articles/PMC2921287" TargetMode="External"/><Relationship Id="rId12" Type="http://schemas.openxmlformats.org/officeDocument/2006/relationships/hyperlink" Target="http://www.england.nhs.uk/wp-content/uploads/2013/12/winter-press-com-pharm-serv.pdf" TargetMode="External"/><Relationship Id="rId2" Type="http://schemas.openxmlformats.org/officeDocument/2006/relationships/hyperlink" Target="https://www.gov.uk/government/uploads/system/uploads/attachment_data/file/192992/s7A-master-131114-final.pdf.pdf" TargetMode="External"/><Relationship Id="rId1" Type="http://schemas.openxmlformats.org/officeDocument/2006/relationships/hyperlink" Target="https://www.gov.uk/government/statistics/seasonal-flu-vaccine-uptake-in-gp-patients-in-england-winter-season-2014-to-2015" TargetMode="External"/><Relationship Id="rId6" Type="http://schemas.openxmlformats.org/officeDocument/2006/relationships/hyperlink" Target="http://www.sciencedirect.com/science/article/pii/S0264410X12003829" TargetMode="External"/><Relationship Id="rId11" Type="http://schemas.openxmlformats.org/officeDocument/2006/relationships/hyperlink" Target="https://www.whatdotheyknow.com/request/influenza_vaccination_201112" TargetMode="External"/><Relationship Id="rId5" Type="http://schemas.openxmlformats.org/officeDocument/2006/relationships/hyperlink" Target="http://www.biomedcentral.com/1472-6963/14/35" TargetMode="External"/><Relationship Id="rId15" Type="http://schemas.openxmlformats.org/officeDocument/2006/relationships/hyperlink" Target="http://psnc.org.uk/our-news/nice-competency-frameworks-for-patient-group-directions-pgds/" TargetMode="External"/><Relationship Id="rId10" Type="http://schemas.openxmlformats.org/officeDocument/2006/relationships/hyperlink" Target="http://www.publications.parliament.uk/pa/cm201012/cmselect/cmhealth/1048/1048vw115.htm" TargetMode="External"/><Relationship Id="rId4" Type="http://schemas.openxmlformats.org/officeDocument/2006/relationships/hyperlink" Target="https://www.gov.uk/government/uploads/system/uploads/attachment_data/file/207008/130613_Flu_Letter_v_29_Gateway_GW_signed.pdf" TargetMode="External"/><Relationship Id="rId9" Type="http://schemas.openxmlformats.org/officeDocument/2006/relationships/hyperlink" Target="http://www.cdc.gov/mmwr/pdf/rr/rr4901.pdf" TargetMode="External"/><Relationship Id="rId14" Type="http://schemas.openxmlformats.org/officeDocument/2006/relationships/hyperlink" Target="http://www.england.nhs.uk/wp-content/uploads/2013/06/052813-PGDImmunisations-lett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Over 65</c:v>
                </c:pt>
              </c:strCache>
            </c:strRef>
          </c:tx>
          <c:marker>
            <c:symbol val="none"/>
          </c:marker>
          <c:cat>
            <c:strRef>
              <c:f>Sheet1!$A$2:$A$8</c:f>
              <c:strCache>
                <c:ptCount val="7"/>
                <c:pt idx="0">
                  <c:v>2006/07</c:v>
                </c:pt>
                <c:pt idx="1">
                  <c:v>2007/08</c:v>
                </c:pt>
                <c:pt idx="2">
                  <c:v>2008/09</c:v>
                </c:pt>
                <c:pt idx="3">
                  <c:v>2009/10</c:v>
                </c:pt>
                <c:pt idx="4">
                  <c:v>2010/11</c:v>
                </c:pt>
                <c:pt idx="5">
                  <c:v>2011/12</c:v>
                </c:pt>
                <c:pt idx="6">
                  <c:v>2012/13</c:v>
                </c:pt>
              </c:strCache>
            </c:strRef>
          </c:cat>
          <c:val>
            <c:numRef>
              <c:f>Sheet1!$B$2:$B$8</c:f>
              <c:numCache>
                <c:formatCode>General</c:formatCode>
                <c:ptCount val="7"/>
                <c:pt idx="0">
                  <c:v>73</c:v>
                </c:pt>
                <c:pt idx="1">
                  <c:v>73</c:v>
                </c:pt>
                <c:pt idx="2">
                  <c:v>72.2</c:v>
                </c:pt>
                <c:pt idx="3">
                  <c:v>69.900000000000006</c:v>
                </c:pt>
                <c:pt idx="4">
                  <c:v>70.3</c:v>
                </c:pt>
                <c:pt idx="5">
                  <c:v>70.400000000000006</c:v>
                </c:pt>
                <c:pt idx="6">
                  <c:v>72.099999999999994</c:v>
                </c:pt>
              </c:numCache>
            </c:numRef>
          </c:val>
          <c:smooth val="0"/>
        </c:ser>
        <c:ser>
          <c:idx val="1"/>
          <c:order val="1"/>
          <c:tx>
            <c:strRef>
              <c:f>Sheet1!$C$1</c:f>
              <c:strCache>
                <c:ptCount val="1"/>
                <c:pt idx="0">
                  <c:v>Under 65 At Risk</c:v>
                </c:pt>
              </c:strCache>
            </c:strRef>
          </c:tx>
          <c:marker>
            <c:symbol val="none"/>
          </c:marker>
          <c:cat>
            <c:strRef>
              <c:f>Sheet1!$A$2:$A$8</c:f>
              <c:strCache>
                <c:ptCount val="7"/>
                <c:pt idx="0">
                  <c:v>2006/07</c:v>
                </c:pt>
                <c:pt idx="1">
                  <c:v>2007/08</c:v>
                </c:pt>
                <c:pt idx="2">
                  <c:v>2008/09</c:v>
                </c:pt>
                <c:pt idx="3">
                  <c:v>2009/10</c:v>
                </c:pt>
                <c:pt idx="4">
                  <c:v>2010/11</c:v>
                </c:pt>
                <c:pt idx="5">
                  <c:v>2011/12</c:v>
                </c:pt>
                <c:pt idx="6">
                  <c:v>2012/13</c:v>
                </c:pt>
              </c:strCache>
            </c:strRef>
          </c:cat>
          <c:val>
            <c:numRef>
              <c:f>Sheet1!$C$2:$C$8</c:f>
              <c:numCache>
                <c:formatCode>General</c:formatCode>
                <c:ptCount val="7"/>
                <c:pt idx="0">
                  <c:v>44</c:v>
                </c:pt>
                <c:pt idx="1">
                  <c:v>46.4</c:v>
                </c:pt>
                <c:pt idx="2">
                  <c:v>45.2</c:v>
                </c:pt>
                <c:pt idx="3">
                  <c:v>48.1</c:v>
                </c:pt>
                <c:pt idx="4">
                  <c:v>51.5</c:v>
                </c:pt>
                <c:pt idx="5">
                  <c:v>51.8</c:v>
                </c:pt>
                <c:pt idx="6">
                  <c:v>53.6</c:v>
                </c:pt>
              </c:numCache>
            </c:numRef>
          </c:val>
          <c:smooth val="0"/>
        </c:ser>
        <c:ser>
          <c:idx val="2"/>
          <c:order val="2"/>
          <c:tx>
            <c:strRef>
              <c:f>Sheet1!$D$1</c:f>
              <c:strCache>
                <c:ptCount val="1"/>
                <c:pt idx="0">
                  <c:v>Pregnant</c:v>
                </c:pt>
              </c:strCache>
            </c:strRef>
          </c:tx>
          <c:marker>
            <c:symbol val="none"/>
          </c:marker>
          <c:cat>
            <c:strRef>
              <c:f>Sheet1!$A$2:$A$8</c:f>
              <c:strCache>
                <c:ptCount val="7"/>
                <c:pt idx="0">
                  <c:v>2006/07</c:v>
                </c:pt>
                <c:pt idx="1">
                  <c:v>2007/08</c:v>
                </c:pt>
                <c:pt idx="2">
                  <c:v>2008/09</c:v>
                </c:pt>
                <c:pt idx="3">
                  <c:v>2009/10</c:v>
                </c:pt>
                <c:pt idx="4">
                  <c:v>2010/11</c:v>
                </c:pt>
                <c:pt idx="5">
                  <c:v>2011/12</c:v>
                </c:pt>
                <c:pt idx="6">
                  <c:v>2012/13</c:v>
                </c:pt>
              </c:strCache>
            </c:strRef>
          </c:cat>
          <c:val>
            <c:numRef>
              <c:f>Sheet1!$D$2:$D$8</c:f>
              <c:numCache>
                <c:formatCode>General</c:formatCode>
                <c:ptCount val="7"/>
                <c:pt idx="5">
                  <c:v>27.7</c:v>
                </c:pt>
                <c:pt idx="6">
                  <c:v>39.4</c:v>
                </c:pt>
              </c:numCache>
            </c:numRef>
          </c:val>
          <c:smooth val="0"/>
        </c:ser>
        <c:ser>
          <c:idx val="3"/>
          <c:order val="3"/>
          <c:tx>
            <c:strRef>
              <c:f>Sheet1!$E$1</c:f>
              <c:strCache>
                <c:ptCount val="1"/>
                <c:pt idx="0">
                  <c:v>This Year's Target</c:v>
                </c:pt>
              </c:strCache>
            </c:strRef>
          </c:tx>
          <c:spPr>
            <a:ln>
              <a:solidFill>
                <a:schemeClr val="accent6">
                  <a:lumMod val="50000"/>
                </a:schemeClr>
              </a:solidFill>
              <a:prstDash val="dash"/>
            </a:ln>
          </c:spPr>
          <c:marker>
            <c:symbol val="none"/>
          </c:marker>
          <c:cat>
            <c:strRef>
              <c:f>Sheet1!$A$2:$A$8</c:f>
              <c:strCache>
                <c:ptCount val="7"/>
                <c:pt idx="0">
                  <c:v>2006/07</c:v>
                </c:pt>
                <c:pt idx="1">
                  <c:v>2007/08</c:v>
                </c:pt>
                <c:pt idx="2">
                  <c:v>2008/09</c:v>
                </c:pt>
                <c:pt idx="3">
                  <c:v>2009/10</c:v>
                </c:pt>
                <c:pt idx="4">
                  <c:v>2010/11</c:v>
                </c:pt>
                <c:pt idx="5">
                  <c:v>2011/12</c:v>
                </c:pt>
                <c:pt idx="6">
                  <c:v>2012/13</c:v>
                </c:pt>
              </c:strCache>
            </c:strRef>
          </c:cat>
          <c:val>
            <c:numRef>
              <c:f>Sheet1!$E$2:$E$8</c:f>
              <c:numCache>
                <c:formatCode>General</c:formatCode>
                <c:ptCount val="7"/>
                <c:pt idx="0">
                  <c:v>75</c:v>
                </c:pt>
                <c:pt idx="1">
                  <c:v>75</c:v>
                </c:pt>
                <c:pt idx="2">
                  <c:v>75</c:v>
                </c:pt>
                <c:pt idx="3">
                  <c:v>75</c:v>
                </c:pt>
                <c:pt idx="4">
                  <c:v>75</c:v>
                </c:pt>
                <c:pt idx="5">
                  <c:v>75</c:v>
                </c:pt>
                <c:pt idx="6">
                  <c:v>75</c:v>
                </c:pt>
              </c:numCache>
            </c:numRef>
          </c:val>
          <c:smooth val="0"/>
        </c:ser>
        <c:dLbls>
          <c:showLegendKey val="0"/>
          <c:showVal val="0"/>
          <c:showCatName val="0"/>
          <c:showSerName val="0"/>
          <c:showPercent val="0"/>
          <c:showBubbleSize val="0"/>
        </c:dLbls>
        <c:marker val="1"/>
        <c:smooth val="0"/>
        <c:axId val="81784192"/>
        <c:axId val="82650240"/>
      </c:lineChart>
      <c:catAx>
        <c:axId val="81784192"/>
        <c:scaling>
          <c:orientation val="minMax"/>
        </c:scaling>
        <c:delete val="0"/>
        <c:axPos val="b"/>
        <c:majorTickMark val="out"/>
        <c:minorTickMark val="none"/>
        <c:tickLblPos val="nextTo"/>
        <c:crossAx val="82650240"/>
        <c:crosses val="autoZero"/>
        <c:auto val="1"/>
        <c:lblAlgn val="ctr"/>
        <c:lblOffset val="100"/>
        <c:noMultiLvlLbl val="0"/>
      </c:catAx>
      <c:valAx>
        <c:axId val="82650240"/>
        <c:scaling>
          <c:orientation val="minMax"/>
        </c:scaling>
        <c:delete val="0"/>
        <c:axPos val="l"/>
        <c:majorGridlines/>
        <c:numFmt formatCode="General" sourceLinked="1"/>
        <c:majorTickMark val="out"/>
        <c:minorTickMark val="none"/>
        <c:tickLblPos val="nextTo"/>
        <c:crossAx val="8178419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7DCC5-36B1-4000-8F4E-862FCB9A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21</Pages>
  <Words>8081</Words>
  <Characters>46067</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Regent (UK) Services Ltd</Company>
  <LinksUpToDate>false</LinksUpToDate>
  <CharactersWithSpaces>54040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Warner</dc:creator>
  <cp:lastModifiedBy>Gary Warner</cp:lastModifiedBy>
  <cp:revision>5</cp:revision>
  <cp:lastPrinted>2013-06-11T19:19:00Z</cp:lastPrinted>
  <dcterms:created xsi:type="dcterms:W3CDTF">2013-06-20T16:03:00Z</dcterms:created>
  <dcterms:modified xsi:type="dcterms:W3CDTF">2015-06-15T16:05:00Z</dcterms:modified>
</cp:coreProperties>
</file>