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179E" w14:textId="592879CE" w:rsidR="00264427" w:rsidRDefault="00A64FF7" w:rsidP="00883BA0">
      <w:pPr>
        <w:spacing w:after="0" w:line="240" w:lineRule="auto"/>
        <w:jc w:val="both"/>
        <w:rPr>
          <w:rFonts w:cs="Arial"/>
          <w:b/>
          <w:color w:val="519680"/>
          <w:sz w:val="36"/>
          <w:szCs w:val="24"/>
        </w:rPr>
      </w:pPr>
      <w:r w:rsidRPr="00883BA0">
        <w:rPr>
          <w:rFonts w:cs="Arial"/>
          <w:b/>
          <w:color w:val="519680"/>
          <w:sz w:val="36"/>
          <w:szCs w:val="24"/>
        </w:rPr>
        <w:t xml:space="preserve">Commissioning a </w:t>
      </w:r>
      <w:r w:rsidR="004C668B" w:rsidRPr="00883BA0">
        <w:rPr>
          <w:rFonts w:cs="Arial"/>
          <w:b/>
          <w:color w:val="519680"/>
          <w:sz w:val="36"/>
          <w:szCs w:val="24"/>
        </w:rPr>
        <w:t>COPD Rescue P</w:t>
      </w:r>
      <w:r w:rsidRPr="00883BA0">
        <w:rPr>
          <w:rFonts w:cs="Arial"/>
          <w:b/>
          <w:color w:val="519680"/>
          <w:sz w:val="36"/>
          <w:szCs w:val="24"/>
        </w:rPr>
        <w:t xml:space="preserve">ack </w:t>
      </w:r>
      <w:r w:rsidR="004C668B" w:rsidRPr="00883BA0">
        <w:rPr>
          <w:rFonts w:cs="Arial"/>
          <w:b/>
          <w:color w:val="519680"/>
          <w:sz w:val="36"/>
          <w:szCs w:val="24"/>
        </w:rPr>
        <w:t xml:space="preserve">Supply Service </w:t>
      </w:r>
      <w:r w:rsidRPr="00883BA0">
        <w:rPr>
          <w:rFonts w:cs="Arial"/>
          <w:b/>
          <w:color w:val="519680"/>
          <w:sz w:val="36"/>
          <w:szCs w:val="24"/>
        </w:rPr>
        <w:t>from community pharmacies</w:t>
      </w:r>
      <w:r w:rsidR="00A27667" w:rsidRPr="00883BA0">
        <w:rPr>
          <w:rFonts w:cs="Arial"/>
          <w:b/>
          <w:color w:val="519680"/>
          <w:sz w:val="36"/>
          <w:szCs w:val="24"/>
        </w:rPr>
        <w:t>: Implementation plan</w:t>
      </w:r>
    </w:p>
    <w:p w14:paraId="00D5B639" w14:textId="77777777" w:rsidR="00883BA0" w:rsidRPr="00883BA0" w:rsidRDefault="00883BA0" w:rsidP="00883BA0">
      <w:pPr>
        <w:spacing w:after="0" w:line="240" w:lineRule="auto"/>
        <w:jc w:val="both"/>
        <w:rPr>
          <w:rFonts w:cs="Arial"/>
          <w:b/>
          <w:color w:val="519680"/>
          <w:sz w:val="36"/>
          <w:szCs w:val="24"/>
        </w:rPr>
      </w:pPr>
    </w:p>
    <w:p w14:paraId="4F40CA3E" w14:textId="77777777" w:rsidR="00883BA0" w:rsidRDefault="00A64FF7" w:rsidP="00883BA0">
      <w:pPr>
        <w:spacing w:after="0" w:line="240" w:lineRule="auto"/>
        <w:jc w:val="both"/>
        <w:rPr>
          <w:rFonts w:cs="Arial"/>
        </w:rPr>
      </w:pPr>
      <w:r w:rsidRPr="00A27667">
        <w:rPr>
          <w:rFonts w:cs="Arial"/>
        </w:rPr>
        <w:t xml:space="preserve">This implementation plan can be used as a ‘how to’ guide by </w:t>
      </w:r>
      <w:r w:rsidR="00A27667" w:rsidRPr="00A27667">
        <w:rPr>
          <w:rFonts w:cs="Arial"/>
        </w:rPr>
        <w:t>C</w:t>
      </w:r>
      <w:r w:rsidR="00695123" w:rsidRPr="00A27667">
        <w:rPr>
          <w:rFonts w:cs="Arial"/>
        </w:rPr>
        <w:t xml:space="preserve">linical </w:t>
      </w:r>
      <w:r w:rsidR="00A27667" w:rsidRPr="00A27667">
        <w:rPr>
          <w:rFonts w:cs="Arial"/>
        </w:rPr>
        <w:t>Commissioning G</w:t>
      </w:r>
      <w:r w:rsidR="00695123" w:rsidRPr="00A27667">
        <w:rPr>
          <w:rFonts w:cs="Arial"/>
        </w:rPr>
        <w:t>roups</w:t>
      </w:r>
      <w:r w:rsidRPr="00A27667">
        <w:rPr>
          <w:rFonts w:cs="Arial"/>
        </w:rPr>
        <w:t xml:space="preserve"> </w:t>
      </w:r>
      <w:r w:rsidR="00695123" w:rsidRPr="00A27667">
        <w:rPr>
          <w:rFonts w:cs="Arial"/>
        </w:rPr>
        <w:t>(CCGs)</w:t>
      </w:r>
      <w:r w:rsidR="00E06428" w:rsidRPr="00A27667">
        <w:rPr>
          <w:rFonts w:cs="Arial"/>
        </w:rPr>
        <w:t xml:space="preserve"> that</w:t>
      </w:r>
      <w:r w:rsidRPr="00A27667">
        <w:rPr>
          <w:rFonts w:cs="Arial"/>
        </w:rPr>
        <w:t xml:space="preserve"> want to rapidly commission a</w:t>
      </w:r>
      <w:r w:rsidR="004C668B" w:rsidRPr="00A27667">
        <w:rPr>
          <w:rFonts w:cs="Arial"/>
        </w:rPr>
        <w:t xml:space="preserve"> COPD Rescue Pack Supply Service from</w:t>
      </w:r>
      <w:r w:rsidRPr="00A27667">
        <w:rPr>
          <w:rFonts w:cs="Arial"/>
        </w:rPr>
        <w:t xml:space="preserve"> community pharmac</w:t>
      </w:r>
      <w:r w:rsidR="004C668B" w:rsidRPr="00A27667">
        <w:rPr>
          <w:rFonts w:cs="Arial"/>
        </w:rPr>
        <w:t>ies</w:t>
      </w:r>
      <w:r w:rsidRPr="00A27667">
        <w:rPr>
          <w:rFonts w:cs="Arial"/>
        </w:rPr>
        <w:t>.</w:t>
      </w:r>
    </w:p>
    <w:p w14:paraId="11AAEB3B" w14:textId="21BC48C7" w:rsidR="00A64FF7" w:rsidRPr="00A27667" w:rsidRDefault="00A64FF7" w:rsidP="00883BA0">
      <w:pPr>
        <w:spacing w:after="0" w:line="240" w:lineRule="auto"/>
        <w:jc w:val="both"/>
        <w:rPr>
          <w:rFonts w:cs="Arial"/>
        </w:rPr>
      </w:pPr>
      <w:r w:rsidRPr="00A27667">
        <w:rPr>
          <w:rFonts w:cs="Arial"/>
        </w:rPr>
        <w:t xml:space="preserve"> </w:t>
      </w:r>
    </w:p>
    <w:p w14:paraId="470B01EE" w14:textId="77777777" w:rsidR="00883BA0" w:rsidRDefault="00A64FF7" w:rsidP="00883BA0">
      <w:pPr>
        <w:spacing w:after="0" w:line="240" w:lineRule="auto"/>
        <w:jc w:val="both"/>
        <w:rPr>
          <w:rFonts w:cs="Arial"/>
        </w:rPr>
      </w:pPr>
      <w:r w:rsidRPr="00A27667">
        <w:rPr>
          <w:rFonts w:cs="Arial"/>
        </w:rPr>
        <w:t xml:space="preserve">The implementation plan outlines steps to be taken once a decision is made to commission the service. </w:t>
      </w:r>
    </w:p>
    <w:p w14:paraId="1BA635CB" w14:textId="77777777" w:rsidR="00883BA0" w:rsidRPr="000D23BF" w:rsidRDefault="00883BA0" w:rsidP="00883BA0">
      <w:pPr>
        <w:spacing w:after="0" w:line="240" w:lineRule="auto"/>
        <w:jc w:val="both"/>
        <w:rPr>
          <w:rFonts w:cs="Arial"/>
          <w:b/>
          <w:color w:val="519680"/>
        </w:rPr>
      </w:pPr>
    </w:p>
    <w:p w14:paraId="5432C9D8" w14:textId="3EE96A77" w:rsidR="00883BA0" w:rsidRPr="00883BA0" w:rsidRDefault="00883BA0" w:rsidP="00883BA0">
      <w:pPr>
        <w:spacing w:after="0" w:line="240" w:lineRule="auto"/>
        <w:jc w:val="both"/>
        <w:rPr>
          <w:rFonts w:cs="Arial"/>
          <w:b/>
          <w:color w:val="519680"/>
          <w:sz w:val="28"/>
        </w:rPr>
      </w:pPr>
      <w:r w:rsidRPr="00883BA0">
        <w:rPr>
          <w:rFonts w:cs="Arial"/>
          <w:b/>
          <w:color w:val="519680"/>
          <w:sz w:val="28"/>
        </w:rPr>
        <w:t>Working with the LPC</w:t>
      </w:r>
    </w:p>
    <w:p w14:paraId="650F0050" w14:textId="0C55D757" w:rsidR="00A64FF7" w:rsidRDefault="00A64FF7" w:rsidP="00883BA0">
      <w:pPr>
        <w:spacing w:after="0" w:line="240" w:lineRule="auto"/>
        <w:jc w:val="both"/>
        <w:rPr>
          <w:rFonts w:cs="Arial"/>
          <w:color w:val="519680"/>
        </w:rPr>
      </w:pPr>
      <w:r w:rsidRPr="00A27667">
        <w:rPr>
          <w:rFonts w:cs="Arial"/>
        </w:rPr>
        <w:t xml:space="preserve">When commissioning </w:t>
      </w:r>
      <w:r w:rsidR="00695123" w:rsidRPr="00A27667">
        <w:rPr>
          <w:rFonts w:cs="Arial"/>
        </w:rPr>
        <w:t>community pharmacy locally commissioned</w:t>
      </w:r>
      <w:r w:rsidRPr="00A27667">
        <w:rPr>
          <w:rFonts w:cs="Arial"/>
        </w:rPr>
        <w:t xml:space="preserve"> services, </w:t>
      </w:r>
      <w:r w:rsidR="00695123" w:rsidRPr="00A27667">
        <w:rPr>
          <w:rFonts w:cs="Arial"/>
        </w:rPr>
        <w:t>CCGs</w:t>
      </w:r>
      <w:r w:rsidRPr="00A27667">
        <w:rPr>
          <w:rFonts w:cs="Arial"/>
        </w:rPr>
        <w:t xml:space="preserve"> are advised to plan the implementation in conjunction with the </w:t>
      </w:r>
      <w:r w:rsidR="00695123" w:rsidRPr="00A27667">
        <w:rPr>
          <w:rFonts w:cs="Arial"/>
        </w:rPr>
        <w:t>Local Pharmaceutical Committee (</w:t>
      </w:r>
      <w:r w:rsidRPr="00A27667">
        <w:rPr>
          <w:rFonts w:cs="Arial"/>
        </w:rPr>
        <w:t>LPC</w:t>
      </w:r>
      <w:r w:rsidR="00695123" w:rsidRPr="00A27667">
        <w:rPr>
          <w:rFonts w:cs="Arial"/>
        </w:rPr>
        <w:t>)</w:t>
      </w:r>
      <w:r w:rsidRPr="00A27667">
        <w:rPr>
          <w:rFonts w:cs="Arial"/>
        </w:rPr>
        <w:t xml:space="preserve"> to facilitate rapid implementation of the service by pharmacy contractors. The example template specifications and standard proformas referred to in the implementa</w:t>
      </w:r>
      <w:r w:rsidR="00C924CF" w:rsidRPr="00A27667">
        <w:rPr>
          <w:rFonts w:cs="Arial"/>
        </w:rPr>
        <w:t>t</w:t>
      </w:r>
      <w:r w:rsidRPr="00A27667">
        <w:rPr>
          <w:rFonts w:cs="Arial"/>
        </w:rPr>
        <w:t xml:space="preserve">ion plan below can be found at </w:t>
      </w:r>
      <w:hyperlink r:id="rId6" w:history="1">
        <w:r w:rsidR="00A27667" w:rsidRPr="00A27667">
          <w:rPr>
            <w:rStyle w:val="Hyperlink"/>
            <w:rFonts w:cs="Arial"/>
            <w:color w:val="519680"/>
          </w:rPr>
          <w:t>psnc.org.uk/COPD</w:t>
        </w:r>
      </w:hyperlink>
      <w:r w:rsidR="00A27667" w:rsidRPr="00A27667">
        <w:rPr>
          <w:rFonts w:cs="Arial"/>
          <w:color w:val="519680"/>
        </w:rPr>
        <w:t xml:space="preserve"> </w:t>
      </w:r>
    </w:p>
    <w:p w14:paraId="0120D81E" w14:textId="77777777" w:rsidR="00883BA0" w:rsidRPr="00A27667" w:rsidRDefault="00883BA0" w:rsidP="00883BA0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943"/>
        <w:gridCol w:w="4036"/>
        <w:gridCol w:w="105"/>
        <w:gridCol w:w="3932"/>
      </w:tblGrid>
      <w:tr w:rsidR="00A64FF7" w:rsidRPr="00A27667" w14:paraId="0F4FE720" w14:textId="77777777" w:rsidTr="00883BA0">
        <w:tc>
          <w:tcPr>
            <w:tcW w:w="9016" w:type="dxa"/>
            <w:gridSpan w:val="4"/>
            <w:shd w:val="clear" w:color="auto" w:fill="B2D6CB"/>
          </w:tcPr>
          <w:p w14:paraId="2940665E" w14:textId="77777777" w:rsidR="00A64FF7" w:rsidRPr="00883BA0" w:rsidRDefault="00A64FF7" w:rsidP="00883BA0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Starting point</w:t>
            </w:r>
          </w:p>
          <w:p w14:paraId="0B8BDAA7" w14:textId="28CBB08A" w:rsidR="00A27667" w:rsidRPr="00A27667" w:rsidRDefault="00A27667" w:rsidP="00883BA0">
            <w:pPr>
              <w:jc w:val="both"/>
              <w:rPr>
                <w:rFonts w:cs="Arial"/>
                <w:b/>
              </w:rPr>
            </w:pPr>
          </w:p>
        </w:tc>
      </w:tr>
      <w:tr w:rsidR="00A64FF7" w:rsidRPr="00A27667" w14:paraId="14BFC2BE" w14:textId="77777777" w:rsidTr="007B2EDE">
        <w:tc>
          <w:tcPr>
            <w:tcW w:w="943" w:type="dxa"/>
            <w:shd w:val="clear" w:color="auto" w:fill="B2D6CB"/>
          </w:tcPr>
          <w:p w14:paraId="076281C8" w14:textId="77777777" w:rsidR="00A64FF7" w:rsidRPr="00883BA0" w:rsidRDefault="00A64FF7" w:rsidP="00883BA0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1.</w:t>
            </w:r>
          </w:p>
        </w:tc>
        <w:tc>
          <w:tcPr>
            <w:tcW w:w="8073" w:type="dxa"/>
            <w:gridSpan w:val="3"/>
          </w:tcPr>
          <w:p w14:paraId="034F92B1" w14:textId="77777777" w:rsidR="00A64FF7" w:rsidRDefault="00A64FF7" w:rsidP="00883BA0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Inform key stakeholders</w:t>
            </w:r>
            <w:r w:rsidR="00E06428" w:rsidRPr="00A27667">
              <w:rPr>
                <w:rFonts w:cs="Arial"/>
              </w:rPr>
              <w:t>,</w:t>
            </w:r>
            <w:r w:rsidRPr="00A27667">
              <w:rPr>
                <w:rFonts w:cs="Arial"/>
              </w:rPr>
              <w:t xml:space="preserve"> e.g. Pharmacy Local Professional Network (LPN), Local Pharmaceutical Committee (LPC), Local Medical Committee (LMC), </w:t>
            </w:r>
            <w:r w:rsidR="00695123" w:rsidRPr="00A27667">
              <w:rPr>
                <w:rFonts w:cs="Arial"/>
              </w:rPr>
              <w:t>local NHS England team,</w:t>
            </w:r>
            <w:r w:rsidRPr="00A27667">
              <w:rPr>
                <w:rFonts w:cs="Arial"/>
              </w:rPr>
              <w:t xml:space="preserve"> patient groups, GPs, urgent and emergency care providers and seek support for implementation of the service. </w:t>
            </w:r>
          </w:p>
          <w:p w14:paraId="6919903F" w14:textId="3D190131" w:rsidR="00693F43" w:rsidRPr="00A27667" w:rsidRDefault="00693F43" w:rsidP="00883BA0">
            <w:pPr>
              <w:jc w:val="both"/>
              <w:rPr>
                <w:rFonts w:cs="Arial"/>
                <w:b/>
              </w:rPr>
            </w:pPr>
          </w:p>
        </w:tc>
      </w:tr>
      <w:tr w:rsidR="00A64FF7" w:rsidRPr="00A27667" w14:paraId="2F273C87" w14:textId="77777777" w:rsidTr="00883BA0">
        <w:tc>
          <w:tcPr>
            <w:tcW w:w="9016" w:type="dxa"/>
            <w:gridSpan w:val="4"/>
            <w:shd w:val="clear" w:color="auto" w:fill="B2D6CB"/>
          </w:tcPr>
          <w:p w14:paraId="77296012" w14:textId="77777777" w:rsidR="00A64FF7" w:rsidRPr="00883BA0" w:rsidRDefault="00A64FF7" w:rsidP="00883BA0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Service initiation</w:t>
            </w:r>
          </w:p>
          <w:p w14:paraId="1B9E9E2F" w14:textId="26A3DB86" w:rsidR="00A27667" w:rsidRPr="00883BA0" w:rsidRDefault="00A27667" w:rsidP="00883BA0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4855421B" w14:textId="77777777" w:rsidTr="007B2EDE">
        <w:tc>
          <w:tcPr>
            <w:tcW w:w="943" w:type="dxa"/>
            <w:shd w:val="clear" w:color="auto" w:fill="B2D6CB"/>
          </w:tcPr>
          <w:p w14:paraId="101A92BC" w14:textId="4F26E225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41" w:type="dxa"/>
            <w:gridSpan w:val="2"/>
          </w:tcPr>
          <w:p w14:paraId="3B68C34C" w14:textId="77777777" w:rsidR="00C837B2" w:rsidRDefault="00C837B2" w:rsidP="00C837B2">
            <w:pPr>
              <w:jc w:val="both"/>
            </w:pPr>
            <w:r w:rsidRPr="0079318D">
              <w:t xml:space="preserve">Define the Key Performance Indicators (KPIs) for the service so these can be monitored by the commissioner and </w:t>
            </w:r>
            <w:r>
              <w:t>pharmacy contractors and include these in the service specification</w:t>
            </w:r>
          </w:p>
          <w:p w14:paraId="667BF38C" w14:textId="1B1623D1" w:rsidR="00693F43" w:rsidRPr="00A27667" w:rsidRDefault="00693F43" w:rsidP="00C837B2">
            <w:pPr>
              <w:jc w:val="both"/>
              <w:rPr>
                <w:rFonts w:cs="Arial"/>
              </w:rPr>
            </w:pPr>
          </w:p>
        </w:tc>
        <w:tc>
          <w:tcPr>
            <w:tcW w:w="3932" w:type="dxa"/>
          </w:tcPr>
          <w:p w14:paraId="38A14C78" w14:textId="77777777" w:rsidR="00C837B2" w:rsidRPr="00C837B2" w:rsidRDefault="00C837B2" w:rsidP="00C837B2">
            <w:pPr>
              <w:jc w:val="both"/>
              <w:rPr>
                <w:rFonts w:cs="Arial"/>
                <w:b/>
                <w:color w:val="519680"/>
              </w:rPr>
            </w:pPr>
            <w:r w:rsidRPr="00C837B2">
              <w:rPr>
                <w:rFonts w:cs="Arial"/>
                <w:b/>
                <w:color w:val="519680"/>
              </w:rPr>
              <w:t xml:space="preserve">Template documents </w:t>
            </w:r>
            <w:r w:rsidRPr="00C837B2">
              <w:rPr>
                <w:rFonts w:cs="Arial"/>
                <w:b/>
                <w:color w:val="519680"/>
              </w:rPr>
              <w:t>available:</w:t>
            </w:r>
          </w:p>
          <w:p w14:paraId="3C3B41BA" w14:textId="3651A035" w:rsidR="00C837B2" w:rsidRPr="00C837B2" w:rsidRDefault="00C837B2" w:rsidP="00C837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</w:t>
            </w:r>
            <w:r w:rsidRPr="00C837B2">
              <w:rPr>
                <w:rFonts w:cs="Arial"/>
              </w:rPr>
              <w:t>ervice specification</w:t>
            </w:r>
          </w:p>
        </w:tc>
      </w:tr>
      <w:tr w:rsidR="00C837B2" w:rsidRPr="00A27667" w14:paraId="382B16E4" w14:textId="77777777" w:rsidTr="007B2EDE">
        <w:tc>
          <w:tcPr>
            <w:tcW w:w="943" w:type="dxa"/>
            <w:shd w:val="clear" w:color="auto" w:fill="B2D6CB"/>
          </w:tcPr>
          <w:p w14:paraId="0F49DD83" w14:textId="2B6C5666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C837B2" w:rsidRPr="00883BA0">
              <w:rPr>
                <w:rFonts w:cs="Arial"/>
                <w:b/>
              </w:rPr>
              <w:t xml:space="preserve">. </w:t>
            </w:r>
          </w:p>
        </w:tc>
        <w:tc>
          <w:tcPr>
            <w:tcW w:w="4141" w:type="dxa"/>
            <w:gridSpan w:val="2"/>
          </w:tcPr>
          <w:p w14:paraId="6886EBEF" w14:textId="77777777" w:rsidR="00C837B2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Define the service (including inclusion and exclusion criteria, which should be agreed with relevant local GP clinical leads).</w:t>
            </w:r>
          </w:p>
          <w:p w14:paraId="1FC3B598" w14:textId="1F931485" w:rsidR="00693F43" w:rsidRPr="00A27667" w:rsidRDefault="00693F43" w:rsidP="00C837B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932" w:type="dxa"/>
          </w:tcPr>
          <w:p w14:paraId="23D83E37" w14:textId="77777777" w:rsidR="00C837B2" w:rsidRPr="00C837B2" w:rsidRDefault="00C837B2" w:rsidP="00C837B2">
            <w:pPr>
              <w:jc w:val="both"/>
              <w:rPr>
                <w:rFonts w:cs="Arial"/>
                <w:b/>
              </w:rPr>
            </w:pPr>
            <w:r w:rsidRPr="00C837B2">
              <w:rPr>
                <w:rFonts w:cs="Arial"/>
                <w:b/>
                <w:color w:val="519680"/>
              </w:rPr>
              <w:t>T</w:t>
            </w:r>
            <w:r w:rsidRPr="00C837B2">
              <w:rPr>
                <w:rFonts w:cs="Arial"/>
                <w:b/>
                <w:color w:val="519680"/>
              </w:rPr>
              <w:t>emplate</w:t>
            </w:r>
            <w:r w:rsidRPr="00C837B2">
              <w:rPr>
                <w:rFonts w:cs="Arial"/>
                <w:b/>
                <w:color w:val="519680"/>
              </w:rPr>
              <w:t xml:space="preserve"> documents </w:t>
            </w:r>
            <w:r w:rsidRPr="00C837B2">
              <w:rPr>
                <w:rFonts w:cs="Arial"/>
                <w:b/>
                <w:color w:val="519680"/>
              </w:rPr>
              <w:t>available:</w:t>
            </w:r>
          </w:p>
          <w:p w14:paraId="321A5B3E" w14:textId="3E655B31" w:rsidR="00C837B2" w:rsidRPr="00C837B2" w:rsidRDefault="00C837B2" w:rsidP="00C837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Se</w:t>
            </w:r>
            <w:r w:rsidRPr="00C837B2">
              <w:rPr>
                <w:rFonts w:cs="Arial"/>
              </w:rPr>
              <w:t xml:space="preserve">rvice specification </w:t>
            </w:r>
          </w:p>
        </w:tc>
      </w:tr>
      <w:tr w:rsidR="00C837B2" w:rsidRPr="00A27667" w14:paraId="2AC8458E" w14:textId="77777777" w:rsidTr="007B2EDE">
        <w:tc>
          <w:tcPr>
            <w:tcW w:w="943" w:type="dxa"/>
            <w:shd w:val="clear" w:color="auto" w:fill="B2D6CB"/>
          </w:tcPr>
          <w:p w14:paraId="16577BF3" w14:textId="5C0A2501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8073" w:type="dxa"/>
            <w:gridSpan w:val="3"/>
          </w:tcPr>
          <w:p w14:paraId="774B51EE" w14:textId="77777777" w:rsidR="00C837B2" w:rsidRDefault="00C837B2" w:rsidP="00C837B2">
            <w:pPr>
              <w:jc w:val="both"/>
            </w:pPr>
            <w:r w:rsidRPr="0079318D">
              <w:t>Decide whether the service can be provided by all pharmacy contractors or whether the service will just be available from a limited number of contractors.</w:t>
            </w:r>
          </w:p>
          <w:p w14:paraId="353AC5F0" w14:textId="3E87B584" w:rsidR="00693F43" w:rsidRPr="00A27667" w:rsidRDefault="00693F43" w:rsidP="00C837B2">
            <w:pPr>
              <w:jc w:val="both"/>
              <w:rPr>
                <w:rFonts w:cs="Arial"/>
              </w:rPr>
            </w:pPr>
          </w:p>
        </w:tc>
      </w:tr>
      <w:tr w:rsidR="00C837B2" w:rsidRPr="00A27667" w14:paraId="58A3F867" w14:textId="77777777" w:rsidTr="007B2EDE">
        <w:tc>
          <w:tcPr>
            <w:tcW w:w="943" w:type="dxa"/>
            <w:shd w:val="clear" w:color="auto" w:fill="B2D6CB"/>
          </w:tcPr>
          <w:p w14:paraId="6819F999" w14:textId="3B1B1249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C837B2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47895B71" w14:textId="77777777" w:rsidR="00C837B2" w:rsidRPr="00A27667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 xml:space="preserve">Choose the method by which you will collect the service activity data and pay providers: a) Web-based system, e.g. </w:t>
            </w:r>
            <w:proofErr w:type="spellStart"/>
            <w:r w:rsidRPr="00A27667">
              <w:rPr>
                <w:rFonts w:cs="Arial"/>
              </w:rPr>
              <w:t>PharmOutcomes</w:t>
            </w:r>
            <w:proofErr w:type="spellEnd"/>
            <w:r w:rsidRPr="00A27667">
              <w:rPr>
                <w:rFonts w:cs="Arial"/>
              </w:rPr>
              <w:t xml:space="preserve">, Sonar </w:t>
            </w:r>
          </w:p>
          <w:p w14:paraId="0ED0F5BE" w14:textId="77777777" w:rsidR="00C837B2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b) Paper based system</w:t>
            </w:r>
          </w:p>
          <w:p w14:paraId="7B85D75D" w14:textId="1EBB3445" w:rsidR="00693F43" w:rsidRPr="00A27667" w:rsidRDefault="00693F43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1E2453B1" w14:textId="77777777" w:rsidTr="007B2EDE">
        <w:tc>
          <w:tcPr>
            <w:tcW w:w="943" w:type="dxa"/>
            <w:shd w:val="clear" w:color="auto" w:fill="B2D6CB"/>
          </w:tcPr>
          <w:p w14:paraId="48FEB205" w14:textId="4B46761D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8073" w:type="dxa"/>
            <w:gridSpan w:val="3"/>
          </w:tcPr>
          <w:p w14:paraId="468BA4D0" w14:textId="77777777" w:rsidR="00C837B2" w:rsidRDefault="00C837B2" w:rsidP="00C837B2">
            <w:pPr>
              <w:jc w:val="both"/>
            </w:pPr>
            <w:r w:rsidRPr="0079318D">
              <w:t>Consider setting up a referral scheme to allow GP practices to refer patients into the</w:t>
            </w:r>
            <w:r>
              <w:t xml:space="preserve"> COPD Rescue Pack Supply Service</w:t>
            </w:r>
            <w:r w:rsidRPr="0079318D">
              <w:t>.</w:t>
            </w:r>
          </w:p>
          <w:p w14:paraId="6E00575C" w14:textId="017026C3" w:rsidR="00693F43" w:rsidRPr="00A27667" w:rsidRDefault="00693F43" w:rsidP="00C837B2">
            <w:pPr>
              <w:jc w:val="both"/>
              <w:rPr>
                <w:rFonts w:cs="Arial"/>
              </w:rPr>
            </w:pPr>
          </w:p>
        </w:tc>
      </w:tr>
      <w:tr w:rsidR="00C837B2" w:rsidRPr="00A27667" w14:paraId="60D6D225" w14:textId="77777777" w:rsidTr="007B2EDE">
        <w:tc>
          <w:tcPr>
            <w:tcW w:w="943" w:type="dxa"/>
            <w:shd w:val="clear" w:color="auto" w:fill="B2D6CB"/>
          </w:tcPr>
          <w:p w14:paraId="257D7DBB" w14:textId="241D7221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C837B2" w:rsidRPr="00883BA0">
              <w:rPr>
                <w:rFonts w:cs="Arial"/>
                <w:b/>
              </w:rPr>
              <w:t>.</w:t>
            </w:r>
          </w:p>
        </w:tc>
        <w:tc>
          <w:tcPr>
            <w:tcW w:w="4036" w:type="dxa"/>
          </w:tcPr>
          <w:p w14:paraId="445454A6" w14:textId="72404509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  <w:r w:rsidRPr="00A27667">
              <w:rPr>
                <w:rFonts w:cs="Arial"/>
              </w:rPr>
              <w:t xml:space="preserve">Prepare the documents and supporting information, e.g. service agreement and specification, sign-up and assurance sheet, record form and GP notification template </w:t>
            </w:r>
          </w:p>
        </w:tc>
        <w:tc>
          <w:tcPr>
            <w:tcW w:w="4037" w:type="dxa"/>
            <w:gridSpan w:val="2"/>
          </w:tcPr>
          <w:p w14:paraId="7DF7550E" w14:textId="51683B3F" w:rsidR="00C837B2" w:rsidRDefault="00C837B2" w:rsidP="00C837B2">
            <w:p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  <w:b/>
                <w:color w:val="519680"/>
              </w:rPr>
              <w:t>Template d</w:t>
            </w:r>
            <w:r w:rsidRPr="00A27667">
              <w:rPr>
                <w:rFonts w:cs="Arial"/>
                <w:b/>
                <w:color w:val="519680"/>
              </w:rPr>
              <w:t xml:space="preserve">ocuments </w:t>
            </w:r>
            <w:r>
              <w:rPr>
                <w:rFonts w:cs="Arial"/>
                <w:b/>
                <w:color w:val="519680"/>
              </w:rPr>
              <w:t>available:</w:t>
            </w:r>
          </w:p>
          <w:p w14:paraId="26B5AE90" w14:textId="51271787" w:rsidR="00C837B2" w:rsidRPr="00C837B2" w:rsidRDefault="00C837B2" w:rsidP="00C837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</w:t>
            </w:r>
            <w:r w:rsidRPr="00C837B2">
              <w:rPr>
                <w:rFonts w:cs="Arial"/>
              </w:rPr>
              <w:t>rvice specification</w:t>
            </w:r>
            <w:r>
              <w:rPr>
                <w:rFonts w:cs="Arial"/>
              </w:rPr>
              <w:t>;</w:t>
            </w:r>
          </w:p>
          <w:p w14:paraId="4580A0C7" w14:textId="63BE749A" w:rsidR="00C837B2" w:rsidRPr="00C837B2" w:rsidRDefault="00C837B2" w:rsidP="00C837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Service sign up form;</w:t>
            </w:r>
          </w:p>
          <w:p w14:paraId="1C8C1AA1" w14:textId="6D13CFF6" w:rsidR="00C837B2" w:rsidRPr="00C837B2" w:rsidRDefault="00C837B2" w:rsidP="00C837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Record and consent form;</w:t>
            </w:r>
          </w:p>
          <w:p w14:paraId="2C1DEF87" w14:textId="28548C85" w:rsidR="00C837B2" w:rsidRPr="00C837B2" w:rsidRDefault="00C837B2" w:rsidP="00C837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Patient information leaflets; and</w:t>
            </w:r>
          </w:p>
          <w:p w14:paraId="5A4D4181" w14:textId="0CA99D95" w:rsidR="00C837B2" w:rsidRPr="00A27667" w:rsidRDefault="00C837B2" w:rsidP="00693F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GP notification form.</w:t>
            </w:r>
          </w:p>
        </w:tc>
      </w:tr>
      <w:tr w:rsidR="00C837B2" w:rsidRPr="00A27667" w14:paraId="7A82C78D" w14:textId="77777777" w:rsidTr="007B2EDE">
        <w:tc>
          <w:tcPr>
            <w:tcW w:w="943" w:type="dxa"/>
            <w:shd w:val="clear" w:color="auto" w:fill="B2D6CB"/>
          </w:tcPr>
          <w:p w14:paraId="2C48BEF1" w14:textId="68A640A3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8</w:t>
            </w:r>
            <w:r w:rsidR="00C837B2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538A88A5" w14:textId="77777777" w:rsidR="00C837B2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Communicate offer to all pharmacy contractors and secure expressions of interest.</w:t>
            </w:r>
          </w:p>
          <w:p w14:paraId="7DD1F3CC" w14:textId="2E6AD56D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205B6DC3" w14:textId="77777777" w:rsidTr="007B2EDE">
        <w:tc>
          <w:tcPr>
            <w:tcW w:w="943" w:type="dxa"/>
            <w:shd w:val="clear" w:color="auto" w:fill="B2D6CB"/>
          </w:tcPr>
          <w:p w14:paraId="062E628A" w14:textId="1786557B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C837B2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6137A02E" w14:textId="77777777" w:rsidR="00C837B2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Organise set up of electronic data capture system (if that approach is being used).</w:t>
            </w:r>
          </w:p>
          <w:p w14:paraId="3C86F46A" w14:textId="04A8F7D0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00C85D7D" w14:textId="77777777" w:rsidTr="007B2EDE">
        <w:tc>
          <w:tcPr>
            <w:tcW w:w="943" w:type="dxa"/>
            <w:shd w:val="clear" w:color="auto" w:fill="B2D6CB"/>
          </w:tcPr>
          <w:p w14:paraId="6E8E90DA" w14:textId="09F46136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837B2" w:rsidRPr="00883BA0">
              <w:rPr>
                <w:rFonts w:cs="Arial"/>
                <w:b/>
              </w:rPr>
              <w:t>.</w:t>
            </w:r>
          </w:p>
        </w:tc>
        <w:tc>
          <w:tcPr>
            <w:tcW w:w="4141" w:type="dxa"/>
            <w:gridSpan w:val="2"/>
          </w:tcPr>
          <w:p w14:paraId="6E57F22E" w14:textId="60EA6D7D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  <w:r w:rsidRPr="00A27667">
              <w:rPr>
                <w:rFonts w:cs="Arial"/>
              </w:rPr>
              <w:t>Ensure eligible pharmacy contactors provide signed agreement to provide the service.</w:t>
            </w:r>
          </w:p>
        </w:tc>
        <w:tc>
          <w:tcPr>
            <w:tcW w:w="3932" w:type="dxa"/>
          </w:tcPr>
          <w:p w14:paraId="7B223D3A" w14:textId="77777777" w:rsidR="007B2EDE" w:rsidRPr="00C837B2" w:rsidRDefault="007B2EDE" w:rsidP="007B2EDE">
            <w:pPr>
              <w:jc w:val="both"/>
              <w:rPr>
                <w:rFonts w:cs="Arial"/>
                <w:b/>
                <w:color w:val="519680"/>
              </w:rPr>
            </w:pPr>
            <w:r w:rsidRPr="00C837B2">
              <w:rPr>
                <w:rFonts w:cs="Arial"/>
                <w:b/>
                <w:color w:val="519680"/>
              </w:rPr>
              <w:t>Template documents available:</w:t>
            </w:r>
          </w:p>
          <w:p w14:paraId="3CD100F9" w14:textId="21C205D6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Service sign up form</w:t>
            </w:r>
          </w:p>
          <w:p w14:paraId="3EF2B9A2" w14:textId="38B6185A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0B0D867B" w14:textId="77777777" w:rsidTr="00883BA0">
        <w:tc>
          <w:tcPr>
            <w:tcW w:w="9016" w:type="dxa"/>
            <w:gridSpan w:val="4"/>
            <w:shd w:val="clear" w:color="auto" w:fill="B2D6CB"/>
          </w:tcPr>
          <w:p w14:paraId="43E7C90E" w14:textId="77777777" w:rsidR="00C837B2" w:rsidRPr="00883BA0" w:rsidRDefault="00C837B2" w:rsidP="00C837B2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Service launch</w:t>
            </w:r>
          </w:p>
          <w:p w14:paraId="21B72B86" w14:textId="432A2C06" w:rsidR="00C837B2" w:rsidRPr="00883BA0" w:rsidRDefault="00C837B2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6DD2F25A" w14:textId="77777777" w:rsidTr="007B2EDE">
        <w:tc>
          <w:tcPr>
            <w:tcW w:w="943" w:type="dxa"/>
            <w:shd w:val="clear" w:color="auto" w:fill="B2D6CB"/>
          </w:tcPr>
          <w:p w14:paraId="20ECD0A6" w14:textId="1EBF4257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C837B2" w:rsidRPr="00883BA0">
              <w:rPr>
                <w:rFonts w:cs="Arial"/>
                <w:b/>
              </w:rPr>
              <w:t xml:space="preserve">. </w:t>
            </w:r>
          </w:p>
        </w:tc>
        <w:tc>
          <w:tcPr>
            <w:tcW w:w="8073" w:type="dxa"/>
            <w:gridSpan w:val="3"/>
          </w:tcPr>
          <w:p w14:paraId="0D36B024" w14:textId="77777777" w:rsidR="00C837B2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Inform key stakeholders.</w:t>
            </w:r>
          </w:p>
          <w:p w14:paraId="380D35BA" w14:textId="260E49EC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45CA44E8" w14:textId="77777777" w:rsidTr="007B2EDE">
        <w:tc>
          <w:tcPr>
            <w:tcW w:w="943" w:type="dxa"/>
            <w:shd w:val="clear" w:color="auto" w:fill="B2D6CB"/>
          </w:tcPr>
          <w:p w14:paraId="50A85DAE" w14:textId="401D60D2" w:rsidR="00C837B2" w:rsidRPr="00883BA0" w:rsidRDefault="00693F43" w:rsidP="00C837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C837B2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7A191827" w14:textId="77777777" w:rsidR="00C837B2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Provide eligible pharmacy contractors with access to the service on web-based system (if that approach is being used).</w:t>
            </w:r>
          </w:p>
          <w:p w14:paraId="661EC722" w14:textId="620F255C" w:rsidR="00693F43" w:rsidRPr="00A27667" w:rsidRDefault="00693F43" w:rsidP="00C837B2">
            <w:pPr>
              <w:jc w:val="both"/>
              <w:rPr>
                <w:rFonts w:cs="Arial"/>
                <w:b/>
              </w:rPr>
            </w:pPr>
          </w:p>
        </w:tc>
      </w:tr>
      <w:tr w:rsidR="00C837B2" w:rsidRPr="00A27667" w14:paraId="7A65A1C8" w14:textId="77777777" w:rsidTr="007B2EDE">
        <w:tc>
          <w:tcPr>
            <w:tcW w:w="943" w:type="dxa"/>
            <w:shd w:val="clear" w:color="auto" w:fill="B2D6CB"/>
          </w:tcPr>
          <w:p w14:paraId="7BC26526" w14:textId="362263D5" w:rsidR="00C837B2" w:rsidRPr="00883BA0" w:rsidRDefault="00C837B2" w:rsidP="00C837B2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1</w:t>
            </w:r>
            <w:r w:rsidR="00693F43">
              <w:rPr>
                <w:rFonts w:cs="Arial"/>
                <w:b/>
              </w:rPr>
              <w:t>3</w:t>
            </w:r>
            <w:r w:rsidRPr="00883BA0">
              <w:rPr>
                <w:rFonts w:cs="Arial"/>
                <w:b/>
              </w:rPr>
              <w:t>.</w:t>
            </w:r>
          </w:p>
        </w:tc>
        <w:tc>
          <w:tcPr>
            <w:tcW w:w="4141" w:type="dxa"/>
            <w:gridSpan w:val="2"/>
          </w:tcPr>
          <w:p w14:paraId="6BAF6015" w14:textId="3F2156EA" w:rsidR="00C837B2" w:rsidRPr="00A27667" w:rsidRDefault="00C837B2" w:rsidP="00C837B2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Inform pharmacy contractors they can provide the service and distribute any paperwork they will require to provide the service.</w:t>
            </w:r>
          </w:p>
        </w:tc>
        <w:tc>
          <w:tcPr>
            <w:tcW w:w="3932" w:type="dxa"/>
          </w:tcPr>
          <w:p w14:paraId="0D954562" w14:textId="77777777" w:rsidR="007B2EDE" w:rsidRDefault="007B2EDE" w:rsidP="007B2EDE">
            <w:p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  <w:b/>
                <w:color w:val="519680"/>
              </w:rPr>
              <w:t>Template d</w:t>
            </w:r>
            <w:r w:rsidRPr="00A27667">
              <w:rPr>
                <w:rFonts w:cs="Arial"/>
                <w:b/>
                <w:color w:val="519680"/>
              </w:rPr>
              <w:t xml:space="preserve">ocuments </w:t>
            </w:r>
            <w:r>
              <w:rPr>
                <w:rFonts w:cs="Arial"/>
                <w:b/>
                <w:color w:val="519680"/>
              </w:rPr>
              <w:t>available:</w:t>
            </w:r>
          </w:p>
          <w:p w14:paraId="329387F0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</w:t>
            </w:r>
            <w:r w:rsidRPr="00C837B2">
              <w:rPr>
                <w:rFonts w:cs="Arial"/>
              </w:rPr>
              <w:t>rvice specification</w:t>
            </w:r>
            <w:r>
              <w:rPr>
                <w:rFonts w:cs="Arial"/>
              </w:rPr>
              <w:t>;</w:t>
            </w:r>
          </w:p>
          <w:p w14:paraId="60D2C9AB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Service sign up form;</w:t>
            </w:r>
          </w:p>
          <w:p w14:paraId="118F89E7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Record and consent form;</w:t>
            </w:r>
          </w:p>
          <w:p w14:paraId="4AAA2228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Patient information leaflets; and</w:t>
            </w:r>
          </w:p>
          <w:p w14:paraId="7BED3E0E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GP notification form.</w:t>
            </w:r>
          </w:p>
          <w:p w14:paraId="4205FA71" w14:textId="02F50A35" w:rsidR="00C837B2" w:rsidRPr="00A27667" w:rsidRDefault="00C837B2" w:rsidP="00C837B2">
            <w:pPr>
              <w:jc w:val="both"/>
              <w:rPr>
                <w:rFonts w:cs="Arial"/>
                <w:b/>
              </w:rPr>
            </w:pPr>
          </w:p>
        </w:tc>
      </w:tr>
      <w:tr w:rsidR="007B2EDE" w:rsidRPr="00A27667" w14:paraId="7A519C2C" w14:textId="77777777" w:rsidTr="007B2EDE">
        <w:tc>
          <w:tcPr>
            <w:tcW w:w="943" w:type="dxa"/>
            <w:shd w:val="clear" w:color="auto" w:fill="B2D6CB"/>
          </w:tcPr>
          <w:p w14:paraId="7B537C91" w14:textId="36A072AF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</w:t>
            </w:r>
          </w:p>
        </w:tc>
        <w:tc>
          <w:tcPr>
            <w:tcW w:w="4141" w:type="dxa"/>
            <w:gridSpan w:val="2"/>
          </w:tcPr>
          <w:p w14:paraId="0AC56EF2" w14:textId="77777777" w:rsidR="007B2EDE" w:rsidRDefault="007B2EDE" w:rsidP="007B2EDE">
            <w:pPr>
              <w:jc w:val="both"/>
            </w:pPr>
            <w:r w:rsidRPr="0079318D">
              <w:t xml:space="preserve">Advise pharmacy contractors to contact their local GP practices to notify them of the </w:t>
            </w:r>
            <w:r>
              <w:t>COPD Rescue Pack Supply Service</w:t>
            </w:r>
            <w:r w:rsidRPr="0079318D">
              <w:t xml:space="preserve"> and encourage them to work with their GP practice so patients are referred to the service.</w:t>
            </w:r>
          </w:p>
          <w:p w14:paraId="4CDEC5C1" w14:textId="2FC0994A" w:rsidR="00693F43" w:rsidRPr="00A27667" w:rsidRDefault="00693F43" w:rsidP="007B2EDE">
            <w:pPr>
              <w:jc w:val="both"/>
              <w:rPr>
                <w:rFonts w:cs="Arial"/>
              </w:rPr>
            </w:pPr>
          </w:p>
        </w:tc>
        <w:tc>
          <w:tcPr>
            <w:tcW w:w="3932" w:type="dxa"/>
          </w:tcPr>
          <w:p w14:paraId="67489C47" w14:textId="77777777" w:rsidR="007B2EDE" w:rsidRPr="0079318D" w:rsidRDefault="007B2EDE" w:rsidP="007B2EDE">
            <w:pPr>
              <w:rPr>
                <w:b/>
                <w:color w:val="519680"/>
              </w:rPr>
            </w:pPr>
            <w:r w:rsidRPr="0079318D">
              <w:rPr>
                <w:b/>
                <w:color w:val="519680"/>
              </w:rPr>
              <w:t>Template documents available:</w:t>
            </w:r>
          </w:p>
          <w:p w14:paraId="67A03EFC" w14:textId="5A546284" w:rsidR="007B2EDE" w:rsidRPr="0079318D" w:rsidRDefault="007B2EDE" w:rsidP="007B2EDE">
            <w:pPr>
              <w:pStyle w:val="ListParagraph"/>
              <w:numPr>
                <w:ilvl w:val="0"/>
                <w:numId w:val="2"/>
              </w:numPr>
            </w:pPr>
            <w:r w:rsidRPr="0079318D">
              <w:t>GP practice</w:t>
            </w:r>
            <w:r>
              <w:t xml:space="preserve"> briefing document</w:t>
            </w:r>
          </w:p>
          <w:p w14:paraId="1955595A" w14:textId="114FE58E" w:rsidR="007B2EDE" w:rsidRDefault="007B2EDE" w:rsidP="007B2EDE">
            <w:pPr>
              <w:jc w:val="both"/>
              <w:rPr>
                <w:rFonts w:cs="Arial"/>
                <w:b/>
                <w:color w:val="519680"/>
              </w:rPr>
            </w:pPr>
          </w:p>
        </w:tc>
      </w:tr>
      <w:tr w:rsidR="007B2EDE" w:rsidRPr="00A27667" w14:paraId="71622899" w14:textId="77777777" w:rsidTr="00487813">
        <w:tc>
          <w:tcPr>
            <w:tcW w:w="943" w:type="dxa"/>
            <w:shd w:val="clear" w:color="auto" w:fill="B2D6CB"/>
          </w:tcPr>
          <w:p w14:paraId="256D2A2A" w14:textId="5F8BCF44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</w:t>
            </w:r>
          </w:p>
        </w:tc>
        <w:tc>
          <w:tcPr>
            <w:tcW w:w="8073" w:type="dxa"/>
            <w:gridSpan w:val="3"/>
          </w:tcPr>
          <w:p w14:paraId="0D0D615F" w14:textId="77777777" w:rsidR="007B2EDE" w:rsidRDefault="007B2EDE" w:rsidP="007B2EDE">
            <w:pPr>
              <w:jc w:val="both"/>
            </w:pPr>
            <w:r w:rsidRPr="0079318D">
              <w:t xml:space="preserve">Encourage the LPC to also contact the LMC to highlight that a </w:t>
            </w:r>
            <w:r>
              <w:t>COPD Rescue Pack Supply Service</w:t>
            </w:r>
            <w:r w:rsidRPr="0079318D">
              <w:t xml:space="preserve"> is now available in the area and ask them to share this across the GP network to encourage referrals. </w:t>
            </w:r>
          </w:p>
          <w:p w14:paraId="1691C5E9" w14:textId="533E0331" w:rsidR="00693F43" w:rsidRPr="007B2EDE" w:rsidRDefault="00693F43" w:rsidP="007B2EDE">
            <w:pPr>
              <w:jc w:val="both"/>
              <w:rPr>
                <w:b/>
                <w:color w:val="519680"/>
              </w:rPr>
            </w:pPr>
          </w:p>
        </w:tc>
      </w:tr>
      <w:tr w:rsidR="007B2EDE" w:rsidRPr="00A27667" w14:paraId="2D506993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B2D6CB"/>
          </w:tcPr>
          <w:p w14:paraId="1B9A2B75" w14:textId="77777777" w:rsidR="007B2EDE" w:rsidRPr="00883BA0" w:rsidRDefault="007B2EDE" w:rsidP="007B2EDE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Service delivery and maintenance</w:t>
            </w:r>
          </w:p>
          <w:p w14:paraId="12FDCA8E" w14:textId="6EA719EA" w:rsidR="007B2EDE" w:rsidRPr="00A27667" w:rsidRDefault="007B2EDE" w:rsidP="007B2EDE">
            <w:pPr>
              <w:jc w:val="both"/>
              <w:rPr>
                <w:rFonts w:cs="Arial"/>
              </w:rPr>
            </w:pPr>
          </w:p>
        </w:tc>
      </w:tr>
      <w:tr w:rsidR="007B2EDE" w:rsidRPr="00A27667" w14:paraId="361191C0" w14:textId="77777777" w:rsidTr="007B2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2FB2E4A7" w14:textId="101E1AEC" w:rsidR="007B2EDE" w:rsidRPr="00883BA0" w:rsidRDefault="007B2EDE" w:rsidP="007B2EDE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1</w:t>
            </w:r>
            <w:r w:rsidR="00693F43">
              <w:rPr>
                <w:rFonts w:cs="Arial"/>
                <w:b/>
              </w:rPr>
              <w:t>6</w:t>
            </w:r>
            <w:r w:rsidRPr="00883BA0">
              <w:rPr>
                <w:rFonts w:cs="Arial"/>
                <w:b/>
              </w:rPr>
              <w:t xml:space="preserve">. </w:t>
            </w:r>
          </w:p>
        </w:tc>
        <w:tc>
          <w:tcPr>
            <w:tcW w:w="4141" w:type="dxa"/>
            <w:gridSpan w:val="2"/>
          </w:tcPr>
          <w:p w14:paraId="3F142AD0" w14:textId="77777777" w:rsidR="007B2EDE" w:rsidRPr="00A27667" w:rsidRDefault="007B2EDE" w:rsidP="007B2EDE">
            <w:pPr>
              <w:jc w:val="both"/>
              <w:rPr>
                <w:rFonts w:cs="Arial"/>
                <w:b/>
              </w:rPr>
            </w:pPr>
            <w:r w:rsidRPr="00A27667">
              <w:rPr>
                <w:rFonts w:cs="Arial"/>
              </w:rPr>
              <w:t>Community pharmacies provide COPD rescue packs under PGD where appropriate to eligible NHS patients and record activity on web-based system or using agreed paperwork.</w:t>
            </w:r>
          </w:p>
        </w:tc>
        <w:tc>
          <w:tcPr>
            <w:tcW w:w="3932" w:type="dxa"/>
          </w:tcPr>
          <w:p w14:paraId="351D25C0" w14:textId="77777777" w:rsidR="007B2EDE" w:rsidRDefault="007B2EDE" w:rsidP="007B2EDE">
            <w:p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  <w:b/>
                <w:color w:val="519680"/>
              </w:rPr>
              <w:t>Template d</w:t>
            </w:r>
            <w:r w:rsidRPr="00A27667">
              <w:rPr>
                <w:rFonts w:cs="Arial"/>
                <w:b/>
                <w:color w:val="519680"/>
              </w:rPr>
              <w:t xml:space="preserve">ocuments </w:t>
            </w:r>
            <w:r>
              <w:rPr>
                <w:rFonts w:cs="Arial"/>
                <w:b/>
                <w:color w:val="519680"/>
              </w:rPr>
              <w:t>available:</w:t>
            </w:r>
          </w:p>
          <w:p w14:paraId="3A3E0BA5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</w:t>
            </w:r>
            <w:r w:rsidRPr="00C837B2">
              <w:rPr>
                <w:rFonts w:cs="Arial"/>
              </w:rPr>
              <w:t>rvice specification</w:t>
            </w:r>
            <w:r>
              <w:rPr>
                <w:rFonts w:cs="Arial"/>
              </w:rPr>
              <w:t>;</w:t>
            </w:r>
          </w:p>
          <w:p w14:paraId="79518B0F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Service sign up form;</w:t>
            </w:r>
          </w:p>
          <w:p w14:paraId="4850C1A6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Record and consent form;</w:t>
            </w:r>
          </w:p>
          <w:p w14:paraId="5D21D93E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Patient information leaflets; and</w:t>
            </w:r>
          </w:p>
          <w:p w14:paraId="7697F47D" w14:textId="77777777" w:rsidR="007B2EDE" w:rsidRPr="00C837B2" w:rsidRDefault="007B2EDE" w:rsidP="007B2E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519680"/>
              </w:rPr>
            </w:pPr>
            <w:r>
              <w:rPr>
                <w:rFonts w:cs="Arial"/>
              </w:rPr>
              <w:t>GP notification form.</w:t>
            </w:r>
          </w:p>
          <w:p w14:paraId="7CFAA179" w14:textId="075ABD13" w:rsidR="007B2EDE" w:rsidRPr="00A27667" w:rsidRDefault="007B2EDE" w:rsidP="007B2EDE">
            <w:pPr>
              <w:jc w:val="both"/>
              <w:rPr>
                <w:rFonts w:cs="Arial"/>
                <w:b/>
              </w:rPr>
            </w:pPr>
          </w:p>
        </w:tc>
      </w:tr>
      <w:tr w:rsidR="007B2EDE" w:rsidRPr="00A27667" w14:paraId="0AEA2720" w14:textId="77777777" w:rsidTr="007B2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5B1130B7" w14:textId="6A885B40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4141" w:type="dxa"/>
            <w:gridSpan w:val="2"/>
          </w:tcPr>
          <w:p w14:paraId="3D86BEA3" w14:textId="77777777" w:rsidR="007B2EDE" w:rsidRPr="00A27667" w:rsidRDefault="007B2EDE" w:rsidP="007B2EDE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Patient’s GP practice informed by post / fax / email of the supply of a COPD rescue pack.</w:t>
            </w:r>
          </w:p>
        </w:tc>
        <w:tc>
          <w:tcPr>
            <w:tcW w:w="3932" w:type="dxa"/>
          </w:tcPr>
          <w:p w14:paraId="314D6C64" w14:textId="0906A6F6" w:rsidR="007B2EDE" w:rsidRDefault="007B2EDE" w:rsidP="007B2EDE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  <w:b/>
                <w:color w:val="519680"/>
              </w:rPr>
              <w:t>Documents to assist with this task</w:t>
            </w:r>
            <w:r>
              <w:rPr>
                <w:rFonts w:cs="Arial"/>
                <w:b/>
                <w:color w:val="519680"/>
              </w:rPr>
              <w:t>:</w:t>
            </w:r>
          </w:p>
          <w:p w14:paraId="7104298E" w14:textId="77777777" w:rsidR="007B2EDE" w:rsidRDefault="007B2EDE" w:rsidP="007B2E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COPD Rescue Pack </w:t>
            </w:r>
            <w:r w:rsidRPr="00A27667">
              <w:rPr>
                <w:rFonts w:cs="Arial"/>
              </w:rPr>
              <w:t xml:space="preserve">GP </w:t>
            </w:r>
            <w:r>
              <w:rPr>
                <w:rFonts w:cs="Arial"/>
              </w:rPr>
              <w:t>Practice N</w:t>
            </w:r>
            <w:r w:rsidRPr="00A27667">
              <w:rPr>
                <w:rFonts w:cs="Arial"/>
              </w:rPr>
              <w:t xml:space="preserve">otification </w:t>
            </w:r>
            <w:r>
              <w:rPr>
                <w:rFonts w:cs="Arial"/>
              </w:rPr>
              <w:t>Form</w:t>
            </w:r>
            <w:r w:rsidRPr="00A27667">
              <w:rPr>
                <w:rFonts w:cs="Arial"/>
              </w:rPr>
              <w:t xml:space="preserve"> </w:t>
            </w:r>
          </w:p>
          <w:p w14:paraId="754C4B1A" w14:textId="555D2292" w:rsidR="00693F43" w:rsidRPr="00A27667" w:rsidRDefault="00693F43" w:rsidP="007B2EDE">
            <w:pPr>
              <w:jc w:val="both"/>
              <w:rPr>
                <w:rFonts w:cs="Arial"/>
              </w:rPr>
            </w:pPr>
          </w:p>
        </w:tc>
      </w:tr>
      <w:tr w:rsidR="007B2EDE" w:rsidRPr="00A27667" w14:paraId="6309F988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53EBA1B5" w14:textId="30E703BE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7EB96F75" w14:textId="77777777" w:rsidR="007B2EDE" w:rsidRPr="0079318D" w:rsidRDefault="007B2EDE" w:rsidP="007B2EDE">
            <w:r w:rsidRPr="00A27667">
              <w:rPr>
                <w:rFonts w:cs="Arial"/>
              </w:rPr>
              <w:t>Mo</w:t>
            </w:r>
            <w:r>
              <w:rPr>
                <w:rFonts w:cs="Arial"/>
              </w:rPr>
              <w:t xml:space="preserve">nitor data on service provision </w:t>
            </w:r>
            <w:r w:rsidRPr="0079318D">
              <w:t>and review the service to ensure it is delivering the KPIs.</w:t>
            </w:r>
          </w:p>
          <w:p w14:paraId="11A7879B" w14:textId="2336BD52" w:rsidR="007B2EDE" w:rsidRPr="00A27667" w:rsidRDefault="007B2EDE" w:rsidP="007B2EDE">
            <w:pPr>
              <w:jc w:val="both"/>
              <w:rPr>
                <w:rFonts w:cs="Arial"/>
              </w:rPr>
            </w:pPr>
          </w:p>
        </w:tc>
      </w:tr>
      <w:tr w:rsidR="007B2EDE" w:rsidRPr="00A27667" w14:paraId="2A62418E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10B6C767" w14:textId="354AF055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4F0C6A99" w14:textId="2FA4E72A" w:rsidR="007B2EDE" w:rsidRPr="00A27667" w:rsidRDefault="007B2EDE" w:rsidP="00693F43">
            <w:pPr>
              <w:rPr>
                <w:rFonts w:cs="Arial"/>
              </w:rPr>
            </w:pPr>
            <w:r w:rsidRPr="0079318D">
              <w:t>Support pharmacy contractors by highlighting local success stories and sharing good practice (the LPC may be able to assist with this).</w:t>
            </w:r>
          </w:p>
        </w:tc>
      </w:tr>
      <w:tr w:rsidR="007B2EDE" w:rsidRPr="00A27667" w14:paraId="2D2C256C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1679B37D" w14:textId="51087E0B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</w:t>
            </w:r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403608B1" w14:textId="77777777" w:rsidR="007B2EDE" w:rsidRPr="0079318D" w:rsidRDefault="007B2EDE" w:rsidP="007B2EDE">
            <w:r w:rsidRPr="0079318D">
              <w:t>Encourage GP practices to refer patients to the Minor Ailment Service using the commissioner’s communication channels.</w:t>
            </w:r>
          </w:p>
          <w:p w14:paraId="55E78026" w14:textId="6BA82C65" w:rsidR="007B2EDE" w:rsidRPr="00A27667" w:rsidRDefault="007B2EDE" w:rsidP="007B2EDE">
            <w:pPr>
              <w:jc w:val="both"/>
              <w:rPr>
                <w:rFonts w:cs="Arial"/>
              </w:rPr>
            </w:pPr>
          </w:p>
        </w:tc>
      </w:tr>
      <w:tr w:rsidR="007B2EDE" w:rsidRPr="00A27667" w14:paraId="620FBD3E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68C64AFC" w14:textId="4EEBA7FF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21.</w:t>
            </w:r>
          </w:p>
        </w:tc>
        <w:tc>
          <w:tcPr>
            <w:tcW w:w="8073" w:type="dxa"/>
            <w:gridSpan w:val="3"/>
          </w:tcPr>
          <w:p w14:paraId="47428F5E" w14:textId="77777777" w:rsidR="007B2EDE" w:rsidRDefault="007B2EDE" w:rsidP="007B2EDE">
            <w:r w:rsidRPr="0079318D">
              <w:t>Continue to raise patients’ awareness of the Minor Ailment Service; consider using local press to highlight the service.</w:t>
            </w:r>
          </w:p>
          <w:p w14:paraId="1A3799B0" w14:textId="644507A1" w:rsidR="00693F43" w:rsidRPr="0079318D" w:rsidRDefault="00693F43" w:rsidP="007B2EDE"/>
        </w:tc>
      </w:tr>
      <w:tr w:rsidR="007B2EDE" w:rsidRPr="00A27667" w14:paraId="6C377CB9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26A15F21" w14:textId="764BBEFB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</w:t>
            </w:r>
          </w:p>
        </w:tc>
        <w:tc>
          <w:tcPr>
            <w:tcW w:w="8073" w:type="dxa"/>
            <w:gridSpan w:val="3"/>
          </w:tcPr>
          <w:p w14:paraId="3C05AD2D" w14:textId="77777777" w:rsidR="007B2EDE" w:rsidRDefault="007B2EDE" w:rsidP="007B2EDE">
            <w:r>
              <w:t>Pay pharmacy contractors.</w:t>
            </w:r>
          </w:p>
          <w:p w14:paraId="17CB458A" w14:textId="5F82E7DB" w:rsidR="00693F43" w:rsidRPr="0079318D" w:rsidRDefault="00693F43" w:rsidP="007B2EDE"/>
        </w:tc>
      </w:tr>
      <w:tr w:rsidR="007B2EDE" w:rsidRPr="00A27667" w14:paraId="69BBCCCF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B2D6CB"/>
          </w:tcPr>
          <w:p w14:paraId="07A03F7E" w14:textId="77777777" w:rsidR="007B2EDE" w:rsidRPr="00883BA0" w:rsidRDefault="007B2EDE" w:rsidP="007B2EDE">
            <w:pPr>
              <w:jc w:val="both"/>
              <w:rPr>
                <w:rFonts w:cs="Arial"/>
                <w:b/>
              </w:rPr>
            </w:pPr>
            <w:r w:rsidRPr="00883BA0">
              <w:rPr>
                <w:rFonts w:cs="Arial"/>
                <w:b/>
              </w:rPr>
              <w:t>Service closure</w:t>
            </w:r>
          </w:p>
          <w:p w14:paraId="11A45E21" w14:textId="0481EE51" w:rsidR="007B2EDE" w:rsidRPr="00883BA0" w:rsidRDefault="007B2EDE" w:rsidP="007B2EDE">
            <w:pPr>
              <w:jc w:val="both"/>
              <w:rPr>
                <w:rFonts w:cs="Arial"/>
                <w:b/>
              </w:rPr>
            </w:pPr>
          </w:p>
        </w:tc>
      </w:tr>
      <w:tr w:rsidR="007B2EDE" w:rsidRPr="00A27667" w14:paraId="203FD094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64AD2393" w14:textId="2F4305A7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73946ED0" w14:textId="77777777" w:rsidR="007B2EDE" w:rsidRDefault="007B2EDE" w:rsidP="007B2EDE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Inform key stakeholders.</w:t>
            </w:r>
          </w:p>
          <w:p w14:paraId="613A9A56" w14:textId="29B082BE" w:rsidR="007B2EDE" w:rsidRPr="00A27667" w:rsidRDefault="007B2EDE" w:rsidP="007B2EDE">
            <w:pPr>
              <w:jc w:val="both"/>
              <w:rPr>
                <w:rFonts w:cs="Arial"/>
              </w:rPr>
            </w:pPr>
          </w:p>
        </w:tc>
      </w:tr>
      <w:tr w:rsidR="007B2EDE" w:rsidRPr="00A27667" w14:paraId="44C319A6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shd w:val="clear" w:color="auto" w:fill="B2D6CB"/>
          </w:tcPr>
          <w:p w14:paraId="4B31707E" w14:textId="5467A382" w:rsidR="007B2EDE" w:rsidRPr="00883BA0" w:rsidRDefault="00693F43" w:rsidP="007B2ED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3DF8AFB9" w14:textId="77777777" w:rsidR="007B2EDE" w:rsidRDefault="007B2EDE" w:rsidP="007B2EDE">
            <w:pPr>
              <w:jc w:val="both"/>
              <w:rPr>
                <w:rFonts w:cs="Arial"/>
              </w:rPr>
            </w:pPr>
            <w:r w:rsidRPr="00A27667">
              <w:rPr>
                <w:rFonts w:cs="Arial"/>
              </w:rPr>
              <w:t>Remove access to service on web-based system or set deadline for final paper submission.</w:t>
            </w:r>
          </w:p>
          <w:p w14:paraId="42B56A7D" w14:textId="40D17169" w:rsidR="00693F43" w:rsidRPr="00A27667" w:rsidRDefault="00693F43" w:rsidP="007B2EDE">
            <w:pPr>
              <w:jc w:val="both"/>
              <w:rPr>
                <w:rFonts w:cs="Arial"/>
              </w:rPr>
            </w:pPr>
          </w:p>
        </w:tc>
      </w:tr>
      <w:tr w:rsidR="007B2EDE" w:rsidRPr="00A27667" w14:paraId="2B70B657" w14:textId="77777777" w:rsidTr="0088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3" w:type="dxa"/>
            <w:shd w:val="clear" w:color="auto" w:fill="B2D6CB"/>
          </w:tcPr>
          <w:p w14:paraId="0BBBBFC9" w14:textId="69F3A3F8" w:rsidR="007B2EDE" w:rsidRPr="00883BA0" w:rsidRDefault="00693F43" w:rsidP="007B2E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bookmarkStart w:id="0" w:name="_GoBack"/>
            <w:bookmarkEnd w:id="0"/>
            <w:r w:rsidR="007B2EDE" w:rsidRPr="00883BA0">
              <w:rPr>
                <w:rFonts w:cs="Arial"/>
                <w:b/>
              </w:rPr>
              <w:t>.</w:t>
            </w:r>
          </w:p>
        </w:tc>
        <w:tc>
          <w:tcPr>
            <w:tcW w:w="8073" w:type="dxa"/>
            <w:gridSpan w:val="3"/>
          </w:tcPr>
          <w:p w14:paraId="6F0D714F" w14:textId="77777777" w:rsidR="007B2EDE" w:rsidRDefault="007B2EDE" w:rsidP="007B2EDE">
            <w:pPr>
              <w:rPr>
                <w:rFonts w:cs="Arial"/>
              </w:rPr>
            </w:pPr>
            <w:r w:rsidRPr="00A27667">
              <w:rPr>
                <w:rFonts w:cs="Arial"/>
              </w:rPr>
              <w:t>Complete payments for service provided.</w:t>
            </w:r>
          </w:p>
          <w:p w14:paraId="3CB94AA0" w14:textId="206C1FD2" w:rsidR="007B2EDE" w:rsidRPr="00A27667" w:rsidRDefault="007B2EDE" w:rsidP="007B2EDE">
            <w:pPr>
              <w:rPr>
                <w:rFonts w:cs="Arial"/>
              </w:rPr>
            </w:pPr>
          </w:p>
        </w:tc>
      </w:tr>
    </w:tbl>
    <w:p w14:paraId="7D2280C4" w14:textId="77777777" w:rsidR="00A27667" w:rsidRPr="00A27667" w:rsidRDefault="00A27667">
      <w:pPr>
        <w:rPr>
          <w:rFonts w:cs="Arial"/>
          <w:b/>
        </w:rPr>
      </w:pPr>
    </w:p>
    <w:sectPr w:rsidR="00A27667" w:rsidRPr="00A2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651"/>
    <w:multiLevelType w:val="hybridMultilevel"/>
    <w:tmpl w:val="45ECD2D6"/>
    <w:lvl w:ilvl="0" w:tplc="22161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E0094"/>
    <w:multiLevelType w:val="hybridMultilevel"/>
    <w:tmpl w:val="A7340CCE"/>
    <w:lvl w:ilvl="0" w:tplc="9B7E9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7"/>
    <w:rsid w:val="000D23BF"/>
    <w:rsid w:val="0020486C"/>
    <w:rsid w:val="004C668B"/>
    <w:rsid w:val="00693F43"/>
    <w:rsid w:val="00695123"/>
    <w:rsid w:val="006C07BB"/>
    <w:rsid w:val="007B2EDE"/>
    <w:rsid w:val="00812B3E"/>
    <w:rsid w:val="00883BA0"/>
    <w:rsid w:val="009A6681"/>
    <w:rsid w:val="00A27667"/>
    <w:rsid w:val="00A64FF7"/>
    <w:rsid w:val="00C837B2"/>
    <w:rsid w:val="00C924CF"/>
    <w:rsid w:val="00CC06E5"/>
    <w:rsid w:val="00E06428"/>
    <w:rsid w:val="00E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6224"/>
  <w15:chartTrackingRefBased/>
  <w15:docId w15:val="{39C177D3-4D48-4683-AA2E-743CB607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6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66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766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nc.org.uk/COP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7E90-7D39-4C17-A6ED-E0FA9CD5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12</cp:revision>
  <dcterms:created xsi:type="dcterms:W3CDTF">2016-08-08T14:43:00Z</dcterms:created>
  <dcterms:modified xsi:type="dcterms:W3CDTF">2017-07-25T09:44:00Z</dcterms:modified>
</cp:coreProperties>
</file>