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4454" w14:textId="77777777" w:rsidR="008341C2" w:rsidRDefault="008341C2">
      <w:pPr>
        <w:rPr>
          <w:noProof/>
          <w:lang w:eastAsia="en-GB"/>
        </w:rPr>
      </w:pPr>
      <w:bookmarkStart w:id="0" w:name="_GoBack"/>
      <w:bookmarkEnd w:id="0"/>
      <w:r>
        <w:rPr>
          <w:noProof/>
          <w:lang w:eastAsia="en-GB"/>
        </w:rPr>
        <w:drawing>
          <wp:inline distT="0" distB="0" distL="0" distR="0" wp14:anchorId="41C5446E" wp14:editId="41C5446F">
            <wp:extent cx="5731510" cy="547370"/>
            <wp:effectExtent l="0" t="0" r="254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47370"/>
                    </a:xfrm>
                    <a:prstGeom prst="rect">
                      <a:avLst/>
                    </a:prstGeom>
                  </pic:spPr>
                </pic:pic>
              </a:graphicData>
            </a:graphic>
          </wp:inline>
        </w:drawing>
      </w:r>
    </w:p>
    <w:p w14:paraId="41C54455" w14:textId="77777777" w:rsidR="008341C2" w:rsidRDefault="008341C2">
      <w:pPr>
        <w:rPr>
          <w:noProof/>
          <w:lang w:eastAsia="en-GB"/>
        </w:rPr>
      </w:pPr>
      <w:r>
        <w:rPr>
          <w:noProof/>
          <w:lang w:eastAsia="en-GB"/>
        </w:rPr>
        <w:t>Templates for Minor Ailments services are available in the PharmOutcomes library</w:t>
      </w:r>
      <w:r w:rsidR="00E537BF">
        <w:rPr>
          <w:noProof/>
          <w:lang w:eastAsia="en-GB"/>
        </w:rPr>
        <w:t xml:space="preserve"> and can be easily imported into a commissioning area and edited to exactly match the requirements of local Patient Group Directions (PGDs) and Service Level Agreements.</w:t>
      </w:r>
    </w:p>
    <w:p w14:paraId="41C54456" w14:textId="77777777" w:rsidR="00E537BF" w:rsidRDefault="00E537BF">
      <w:pPr>
        <w:rPr>
          <w:noProof/>
          <w:lang w:eastAsia="en-GB"/>
        </w:rPr>
      </w:pPr>
      <w:r>
        <w:rPr>
          <w:noProof/>
          <w:lang w:eastAsia="en-GB"/>
        </w:rPr>
        <w:t xml:space="preserve">Access to the service template can be restricted to those practitioners who are able to demonstrate that the appropriate training and premises requirements have been met: </w:t>
      </w:r>
    </w:p>
    <w:p w14:paraId="41C54457" w14:textId="77777777" w:rsidR="00C356DD" w:rsidRDefault="00BA4A1E">
      <w:r>
        <w:rPr>
          <w:noProof/>
          <w:lang w:eastAsia="en-GB"/>
        </w:rPr>
        <w:drawing>
          <wp:inline distT="0" distB="0" distL="0" distR="0" wp14:anchorId="41C54470" wp14:editId="41C54471">
            <wp:extent cx="4298950" cy="2321890"/>
            <wp:effectExtent l="95250" t="57150" r="25400" b="59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5651" cy="2330910"/>
                    </a:xfrm>
                    <a:prstGeom prst="rect">
                      <a:avLst/>
                    </a:prstGeom>
                    <a:effectLst>
                      <a:outerShdw blurRad="50800" dist="38100" dir="10800000" algn="r" rotWithShape="0">
                        <a:prstClr val="black">
                          <a:alpha val="40000"/>
                        </a:prstClr>
                      </a:outerShdw>
                    </a:effectLst>
                  </pic:spPr>
                </pic:pic>
              </a:graphicData>
            </a:graphic>
          </wp:inline>
        </w:drawing>
      </w:r>
    </w:p>
    <w:p w14:paraId="41C54458" w14:textId="77777777" w:rsidR="00BA4A1E" w:rsidRDefault="00E537BF">
      <w:r>
        <w:t>PharmOutcomes can also refer directly to a practitioner’s CPPE Declaration of Competence status to check self-declarations of competence to provide a Minor Ailments service:</w:t>
      </w:r>
      <w:r w:rsidR="00BA4A1E">
        <w:rPr>
          <w:noProof/>
          <w:lang w:eastAsia="en-GB"/>
        </w:rPr>
        <w:drawing>
          <wp:inline distT="0" distB="0" distL="0" distR="0" wp14:anchorId="41C54472" wp14:editId="41C54473">
            <wp:extent cx="5731510" cy="2969895"/>
            <wp:effectExtent l="95250" t="57150" r="21590" b="590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69895"/>
                    </a:xfrm>
                    <a:prstGeom prst="rect">
                      <a:avLst/>
                    </a:prstGeom>
                    <a:effectLst>
                      <a:outerShdw blurRad="50800" dist="38100" dir="10800000" algn="r" rotWithShape="0">
                        <a:prstClr val="black">
                          <a:alpha val="40000"/>
                        </a:prstClr>
                      </a:outerShdw>
                    </a:effectLst>
                  </pic:spPr>
                </pic:pic>
              </a:graphicData>
            </a:graphic>
          </wp:inline>
        </w:drawing>
      </w:r>
    </w:p>
    <w:p w14:paraId="41C5445B" w14:textId="77777777" w:rsidR="00E537BF" w:rsidRDefault="00E537BF">
      <w:pPr>
        <w:rPr>
          <w:noProof/>
          <w:lang w:eastAsia="en-GB"/>
        </w:rPr>
      </w:pPr>
      <w:r>
        <w:rPr>
          <w:noProof/>
          <w:lang w:eastAsia="en-GB"/>
        </w:rPr>
        <w:drawing>
          <wp:inline distT="0" distB="0" distL="0" distR="0" wp14:anchorId="41C54474" wp14:editId="41C54475">
            <wp:extent cx="2317750" cy="627621"/>
            <wp:effectExtent l="95250" t="57150" r="25400" b="584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8221" cy="635872"/>
                    </a:xfrm>
                    <a:prstGeom prst="rect">
                      <a:avLst/>
                    </a:prstGeom>
                    <a:effectLst>
                      <a:outerShdw blurRad="50800" dist="38100" dir="10800000" algn="r" rotWithShape="0">
                        <a:prstClr val="black">
                          <a:alpha val="40000"/>
                        </a:prstClr>
                      </a:outerShdw>
                    </a:effectLst>
                  </pic:spPr>
                </pic:pic>
              </a:graphicData>
            </a:graphic>
          </wp:inline>
        </w:drawing>
      </w:r>
    </w:p>
    <w:p w14:paraId="41C5445C" w14:textId="77777777" w:rsidR="00E537BF" w:rsidRDefault="00E537BF">
      <w:pPr>
        <w:rPr>
          <w:noProof/>
          <w:lang w:eastAsia="en-GB"/>
        </w:rPr>
      </w:pPr>
      <w:r>
        <w:rPr>
          <w:noProof/>
          <w:lang w:eastAsia="en-GB"/>
        </w:rPr>
        <w:t>The platform can collect and s</w:t>
      </w:r>
      <w:r w:rsidR="00161A4A">
        <w:rPr>
          <w:noProof/>
          <w:lang w:eastAsia="en-GB"/>
        </w:rPr>
        <w:t>tore the appropriate Patient Identifiable Data as adequate security exists to allow this. Patient data is automatically anonymised for commissioner reports.</w:t>
      </w:r>
    </w:p>
    <w:p w14:paraId="41C5445D" w14:textId="77777777" w:rsidR="00BA4A1E" w:rsidRDefault="00BA4A1E">
      <w:r>
        <w:rPr>
          <w:noProof/>
          <w:lang w:eastAsia="en-GB"/>
        </w:rPr>
        <w:lastRenderedPageBreak/>
        <w:drawing>
          <wp:inline distT="0" distB="0" distL="0" distR="0" wp14:anchorId="41C54476" wp14:editId="41C54477">
            <wp:extent cx="3956050" cy="3766268"/>
            <wp:effectExtent l="95250" t="57150" r="25400" b="628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4452" cy="3774267"/>
                    </a:xfrm>
                    <a:prstGeom prst="rect">
                      <a:avLst/>
                    </a:prstGeom>
                    <a:effectLst>
                      <a:outerShdw blurRad="50800" dist="38100" dir="10800000" algn="r" rotWithShape="0">
                        <a:prstClr val="black">
                          <a:alpha val="40000"/>
                        </a:prstClr>
                      </a:outerShdw>
                    </a:effectLst>
                  </pic:spPr>
                </pic:pic>
              </a:graphicData>
            </a:graphic>
          </wp:inline>
        </w:drawing>
      </w:r>
    </w:p>
    <w:p w14:paraId="41C5445E" w14:textId="77777777" w:rsidR="00161A4A" w:rsidRDefault="00161A4A">
      <w:r>
        <w:t>GP Practice details can be recorded by reference to the national dataset. This enables GP notifications to be configured to automatically send my secure email when data is saved.</w:t>
      </w:r>
    </w:p>
    <w:p w14:paraId="41C5445F" w14:textId="77777777" w:rsidR="00BA4A1E" w:rsidRDefault="00BA4A1E">
      <w:r>
        <w:rPr>
          <w:noProof/>
          <w:lang w:eastAsia="en-GB"/>
        </w:rPr>
        <w:drawing>
          <wp:inline distT="0" distB="0" distL="0" distR="0" wp14:anchorId="41C54478" wp14:editId="41C54479">
            <wp:extent cx="4512310" cy="1084334"/>
            <wp:effectExtent l="95250" t="57150" r="21590" b="590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7755" cy="1109673"/>
                    </a:xfrm>
                    <a:prstGeom prst="rect">
                      <a:avLst/>
                    </a:prstGeom>
                    <a:effectLst>
                      <a:outerShdw blurRad="50800" dist="38100" dir="10800000" algn="r" rotWithShape="0">
                        <a:prstClr val="black">
                          <a:alpha val="40000"/>
                        </a:prstClr>
                      </a:outerShdw>
                    </a:effectLst>
                  </pic:spPr>
                </pic:pic>
              </a:graphicData>
            </a:graphic>
          </wp:inline>
        </w:drawing>
      </w:r>
    </w:p>
    <w:p w14:paraId="41C54461" w14:textId="77777777" w:rsidR="00161A4A" w:rsidRDefault="00161A4A">
      <w:r>
        <w:t>Consultation information can then be captured to exactly match the service specification. For example, choosing a presenting condition from a list will prompt inclusion and exclusion criteria for the associated PGD(s) to appear:</w:t>
      </w:r>
    </w:p>
    <w:p w14:paraId="41C54462" w14:textId="77777777" w:rsidR="00BA4A1E" w:rsidRDefault="00BA4A1E">
      <w:r>
        <w:rPr>
          <w:noProof/>
          <w:lang w:eastAsia="en-GB"/>
        </w:rPr>
        <w:drawing>
          <wp:inline distT="0" distB="0" distL="0" distR="0" wp14:anchorId="41C5447A" wp14:editId="77947EF7">
            <wp:extent cx="3371236" cy="2721714"/>
            <wp:effectExtent l="95250" t="57150" r="19685" b="596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92328" cy="2738743"/>
                    </a:xfrm>
                    <a:prstGeom prst="rect">
                      <a:avLst/>
                    </a:prstGeom>
                    <a:effectLst>
                      <a:outerShdw blurRad="50800" dist="38100" dir="10800000" algn="r" rotWithShape="0">
                        <a:prstClr val="black">
                          <a:alpha val="40000"/>
                        </a:prstClr>
                      </a:outerShdw>
                    </a:effectLst>
                  </pic:spPr>
                </pic:pic>
              </a:graphicData>
            </a:graphic>
          </wp:inline>
        </w:drawing>
      </w:r>
    </w:p>
    <w:p w14:paraId="41C54463" w14:textId="77777777" w:rsidR="00BA4A1E" w:rsidRDefault="00BA4A1E"/>
    <w:p w14:paraId="41C54464" w14:textId="77777777" w:rsidR="00BA4A1E" w:rsidRDefault="00BA4A1E">
      <w:r>
        <w:rPr>
          <w:noProof/>
          <w:lang w:eastAsia="en-GB"/>
        </w:rPr>
        <w:lastRenderedPageBreak/>
        <w:drawing>
          <wp:inline distT="0" distB="0" distL="0" distR="0" wp14:anchorId="41C5447C" wp14:editId="56EBDBB0">
            <wp:extent cx="4853686" cy="2000412"/>
            <wp:effectExtent l="95250" t="57150" r="23495" b="571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0825" cy="2003354"/>
                    </a:xfrm>
                    <a:prstGeom prst="rect">
                      <a:avLst/>
                    </a:prstGeom>
                    <a:effectLst>
                      <a:outerShdw blurRad="50800" dist="38100" dir="10800000" algn="r" rotWithShape="0">
                        <a:prstClr val="black">
                          <a:alpha val="40000"/>
                        </a:prstClr>
                      </a:outerShdw>
                    </a:effectLst>
                  </pic:spPr>
                </pic:pic>
              </a:graphicData>
            </a:graphic>
          </wp:inline>
        </w:drawing>
      </w:r>
    </w:p>
    <w:p w14:paraId="41C54469" w14:textId="77777777" w:rsidR="00161A4A" w:rsidRDefault="00161A4A">
      <w:pPr>
        <w:rPr>
          <w:noProof/>
          <w:lang w:eastAsia="en-GB"/>
        </w:rPr>
      </w:pPr>
      <w:r>
        <w:rPr>
          <w:noProof/>
          <w:lang w:eastAsia="en-GB"/>
        </w:rPr>
        <w:t>Specific warnings can be configured to prevent inappropriate medicine supply. In the example below, a warning appears when an exclusion is ticked; this warning will prevent medicine supply fields appearing.</w:t>
      </w:r>
    </w:p>
    <w:p w14:paraId="41C5446A" w14:textId="77777777" w:rsidR="00BA4A1E" w:rsidRDefault="00BA4A1E">
      <w:r>
        <w:rPr>
          <w:noProof/>
          <w:lang w:eastAsia="en-GB"/>
        </w:rPr>
        <w:drawing>
          <wp:inline distT="0" distB="0" distL="0" distR="0" wp14:anchorId="41C5447E" wp14:editId="392796DB">
            <wp:extent cx="4031614" cy="2681786"/>
            <wp:effectExtent l="95250" t="57150" r="26670" b="615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6639" cy="2725040"/>
                    </a:xfrm>
                    <a:prstGeom prst="rect">
                      <a:avLst/>
                    </a:prstGeom>
                    <a:effectLst>
                      <a:outerShdw blurRad="50800" dist="38100" dir="10800000" algn="r" rotWithShape="0">
                        <a:prstClr val="black">
                          <a:alpha val="40000"/>
                        </a:prstClr>
                      </a:outerShdw>
                    </a:effectLst>
                  </pic:spPr>
                </pic:pic>
              </a:graphicData>
            </a:graphic>
          </wp:inline>
        </w:drawing>
      </w:r>
    </w:p>
    <w:p w14:paraId="41C5446B" w14:textId="77777777" w:rsidR="00161A4A" w:rsidRDefault="00161A4A">
      <w:r>
        <w:t xml:space="preserve">If medicine supply is appropriate, </w:t>
      </w:r>
      <w:r w:rsidR="006A3333">
        <w:t xml:space="preserve">a link to the Dictionary of Medicines and Devices (DM&amp;D) can be used to obtain up to date prices for products supplied. This can then be used to automatically generate invoices for product reimbursement at current prices with no updates necessary by the commissioner. </w:t>
      </w:r>
    </w:p>
    <w:p w14:paraId="41C5446D" w14:textId="77777777" w:rsidR="00BA4A1E" w:rsidRDefault="00BA4A1E">
      <w:r>
        <w:rPr>
          <w:noProof/>
          <w:lang w:eastAsia="en-GB"/>
        </w:rPr>
        <w:drawing>
          <wp:inline distT="0" distB="0" distL="0" distR="0" wp14:anchorId="41C54480" wp14:editId="6D1BC50E">
            <wp:extent cx="3895046" cy="2742844"/>
            <wp:effectExtent l="95250" t="57150" r="10795" b="577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17944" cy="2758969"/>
                    </a:xfrm>
                    <a:prstGeom prst="rect">
                      <a:avLst/>
                    </a:prstGeom>
                    <a:effectLst>
                      <a:outerShdw blurRad="50800" dist="38100" dir="10800000" algn="r" rotWithShape="0">
                        <a:prstClr val="black">
                          <a:alpha val="40000"/>
                        </a:prstClr>
                      </a:outerShdw>
                    </a:effectLst>
                  </pic:spPr>
                </pic:pic>
              </a:graphicData>
            </a:graphic>
          </wp:inline>
        </w:drawing>
      </w:r>
    </w:p>
    <w:sectPr w:rsidR="00BA4A1E" w:rsidSect="00C82514">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54484" w14:textId="77777777" w:rsidR="00CC2627" w:rsidRDefault="00CC2627" w:rsidP="00161A4A">
      <w:pPr>
        <w:spacing w:after="0" w:line="240" w:lineRule="auto"/>
      </w:pPr>
      <w:r>
        <w:separator/>
      </w:r>
    </w:p>
  </w:endnote>
  <w:endnote w:type="continuationSeparator" w:id="0">
    <w:p w14:paraId="41C54485" w14:textId="77777777" w:rsidR="00CC2627" w:rsidRDefault="00CC2627" w:rsidP="0016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4482" w14:textId="77777777" w:rsidR="00CC2627" w:rsidRDefault="00CC2627" w:rsidP="00161A4A">
      <w:pPr>
        <w:spacing w:after="0" w:line="240" w:lineRule="auto"/>
      </w:pPr>
      <w:r>
        <w:separator/>
      </w:r>
    </w:p>
  </w:footnote>
  <w:footnote w:type="continuationSeparator" w:id="0">
    <w:p w14:paraId="41C54483" w14:textId="77777777" w:rsidR="00CC2627" w:rsidRDefault="00CC2627" w:rsidP="00161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1E"/>
    <w:rsid w:val="00161A4A"/>
    <w:rsid w:val="00343366"/>
    <w:rsid w:val="00665BDF"/>
    <w:rsid w:val="006A3333"/>
    <w:rsid w:val="008341C2"/>
    <w:rsid w:val="00BA4A1E"/>
    <w:rsid w:val="00BD4032"/>
    <w:rsid w:val="00C356DD"/>
    <w:rsid w:val="00C82514"/>
    <w:rsid w:val="00CC2627"/>
    <w:rsid w:val="00E5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4454"/>
  <w15:chartTrackingRefBased/>
  <w15:docId w15:val="{5137E4E3-DDA7-4190-A7FC-A411317B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A4A"/>
  </w:style>
  <w:style w:type="paragraph" w:styleId="Footer">
    <w:name w:val="footer"/>
    <w:basedOn w:val="Normal"/>
    <w:link w:val="FooterChar"/>
    <w:uiPriority w:val="99"/>
    <w:unhideWhenUsed/>
    <w:rsid w:val="00161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008F7-C2F8-4B8E-B8F0-835AEBD0F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C58D5-7640-4780-AE0B-69DE7B308139}">
  <ds:schemaRefs>
    <ds:schemaRef ds:uri="http://schemas.microsoft.com/sharepoint/v3/contenttype/forms"/>
  </ds:schemaRefs>
</ds:datastoreItem>
</file>

<file path=customXml/itemProps3.xml><?xml version="1.0" encoding="utf-8"?>
<ds:datastoreItem xmlns:ds="http://schemas.openxmlformats.org/officeDocument/2006/customXml" ds:itemID="{7725EDD2-6DE4-4CF1-9C79-7F0EB50B12C7}">
  <ds:schemaRefs>
    <ds:schemaRef ds:uri="http://purl.org/dc/terms/"/>
    <ds:schemaRef ds:uri="http://schemas.openxmlformats.org/package/2006/metadata/core-properties"/>
    <ds:schemaRef ds:uri="1c7d3551-5694-4f12-b35a-d9a7a462ea4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18753c5-2901-411e-a100-706a3d2780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Harvey</dc:creator>
  <cp:keywords/>
  <dc:description/>
  <cp:lastModifiedBy>vicki james</cp:lastModifiedBy>
  <cp:revision>2</cp:revision>
  <dcterms:created xsi:type="dcterms:W3CDTF">2018-04-09T14:41:00Z</dcterms:created>
  <dcterms:modified xsi:type="dcterms:W3CDTF">2018-04-09T14:41:00Z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