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15ACC" w14:textId="77777777" w:rsidR="00C25F54" w:rsidRPr="001413EE" w:rsidRDefault="00C25F54" w:rsidP="00C25F54">
      <w:pPr>
        <w:pStyle w:val="Heading1"/>
      </w:pPr>
      <w:bookmarkStart w:id="0" w:name="_Toc420764557"/>
      <w:bookmarkStart w:id="1" w:name="_GoBack"/>
      <w:bookmarkEnd w:id="1"/>
      <w:r w:rsidRPr="003F151E">
        <w:t>Template Standa</w:t>
      </w:r>
      <w:r>
        <w:t>rd Operating Procedure for TCAM</w:t>
      </w:r>
      <w:bookmarkEnd w:id="0"/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534"/>
        <w:gridCol w:w="2863"/>
        <w:gridCol w:w="2268"/>
        <w:gridCol w:w="2694"/>
        <w:gridCol w:w="1701"/>
        <w:gridCol w:w="1134"/>
      </w:tblGrid>
      <w:tr w:rsidR="00C25F54" w:rsidRPr="00BB2BD7" w14:paraId="7BD7AC37" w14:textId="77777777" w:rsidTr="00852847">
        <w:tc>
          <w:tcPr>
            <w:tcW w:w="3397" w:type="dxa"/>
            <w:gridSpan w:val="2"/>
          </w:tcPr>
          <w:p w14:paraId="1AF528BE" w14:textId="77777777" w:rsidR="00C25F54" w:rsidRPr="00BB2BD7" w:rsidRDefault="00C25F54" w:rsidP="00852847">
            <w:pPr>
              <w:rPr>
                <w:rFonts w:ascii="Arial" w:hAnsi="Arial"/>
                <w:b/>
                <w:sz w:val="22"/>
                <w:szCs w:val="22"/>
              </w:rPr>
            </w:pPr>
            <w:r w:rsidRPr="00BB2BD7">
              <w:rPr>
                <w:rFonts w:ascii="Arial" w:hAnsi="Arial"/>
                <w:b/>
                <w:sz w:val="22"/>
                <w:szCs w:val="22"/>
              </w:rPr>
              <w:t>Pharmacy Name</w:t>
            </w:r>
          </w:p>
        </w:tc>
        <w:tc>
          <w:tcPr>
            <w:tcW w:w="4962" w:type="dxa"/>
            <w:gridSpan w:val="2"/>
          </w:tcPr>
          <w:p w14:paraId="4A28B253" w14:textId="77777777" w:rsidR="00C25F54" w:rsidRPr="00BB2BD7" w:rsidRDefault="00C25F54" w:rsidP="0085284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4E07ED" w14:textId="77777777" w:rsidR="00C25F54" w:rsidRPr="00BB2BD7" w:rsidRDefault="00C25F54" w:rsidP="00852847">
            <w:pPr>
              <w:rPr>
                <w:rFonts w:ascii="Arial" w:hAnsi="Arial"/>
                <w:b/>
                <w:sz w:val="22"/>
                <w:szCs w:val="22"/>
              </w:rPr>
            </w:pPr>
            <w:r w:rsidRPr="00BB2BD7">
              <w:rPr>
                <w:rFonts w:ascii="Arial" w:hAnsi="Arial"/>
                <w:b/>
                <w:sz w:val="22"/>
                <w:szCs w:val="22"/>
              </w:rPr>
              <w:t>SOP version</w:t>
            </w:r>
          </w:p>
        </w:tc>
        <w:tc>
          <w:tcPr>
            <w:tcW w:w="1134" w:type="dxa"/>
          </w:tcPr>
          <w:p w14:paraId="4A92C68B" w14:textId="77777777" w:rsidR="00C25F54" w:rsidRPr="00BB2BD7" w:rsidRDefault="00C25F54" w:rsidP="0085284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25F54" w:rsidRPr="00BB2BD7" w14:paraId="6E82E131" w14:textId="77777777" w:rsidTr="00852847">
        <w:tc>
          <w:tcPr>
            <w:tcW w:w="3397" w:type="dxa"/>
            <w:gridSpan w:val="2"/>
          </w:tcPr>
          <w:p w14:paraId="1BF6C580" w14:textId="77777777" w:rsidR="00C25F54" w:rsidRPr="00BB2BD7" w:rsidRDefault="00C25F54" w:rsidP="00852847">
            <w:pPr>
              <w:rPr>
                <w:rFonts w:ascii="Arial" w:hAnsi="Arial"/>
                <w:b/>
                <w:sz w:val="22"/>
                <w:szCs w:val="22"/>
              </w:rPr>
            </w:pPr>
            <w:r w:rsidRPr="00BB2BD7">
              <w:rPr>
                <w:rFonts w:ascii="Arial" w:hAnsi="Arial"/>
                <w:b/>
                <w:sz w:val="22"/>
                <w:szCs w:val="22"/>
              </w:rPr>
              <w:t>Date of SOP preparation:</w:t>
            </w:r>
          </w:p>
        </w:tc>
        <w:tc>
          <w:tcPr>
            <w:tcW w:w="2268" w:type="dxa"/>
          </w:tcPr>
          <w:p w14:paraId="65037B5E" w14:textId="77777777" w:rsidR="00C25F54" w:rsidRPr="00BB2BD7" w:rsidRDefault="00C25F54" w:rsidP="0085284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51A0A402" w14:textId="77777777" w:rsidR="00C25F54" w:rsidRPr="00BB2BD7" w:rsidRDefault="00C25F54" w:rsidP="00852847">
            <w:pPr>
              <w:rPr>
                <w:rFonts w:ascii="Arial" w:hAnsi="Arial"/>
                <w:b/>
                <w:sz w:val="22"/>
                <w:szCs w:val="22"/>
              </w:rPr>
            </w:pPr>
            <w:r w:rsidRPr="00BB2BD7">
              <w:rPr>
                <w:rFonts w:ascii="Arial" w:hAnsi="Arial"/>
                <w:b/>
                <w:sz w:val="22"/>
                <w:szCs w:val="22"/>
              </w:rPr>
              <w:t>Date SOP effective from:</w:t>
            </w:r>
          </w:p>
        </w:tc>
        <w:tc>
          <w:tcPr>
            <w:tcW w:w="1134" w:type="dxa"/>
          </w:tcPr>
          <w:p w14:paraId="1AC0B8EB" w14:textId="77777777" w:rsidR="00C25F54" w:rsidRPr="00BB2BD7" w:rsidRDefault="00C25F54" w:rsidP="0085284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25F54" w:rsidRPr="00BB2BD7" w14:paraId="4913DD36" w14:textId="77777777" w:rsidTr="00852847">
        <w:tc>
          <w:tcPr>
            <w:tcW w:w="3397" w:type="dxa"/>
            <w:gridSpan w:val="2"/>
          </w:tcPr>
          <w:p w14:paraId="2E05FC21" w14:textId="77777777" w:rsidR="00C25F54" w:rsidRPr="00BB2BD7" w:rsidRDefault="00C25F54" w:rsidP="00852847">
            <w:pPr>
              <w:rPr>
                <w:rFonts w:ascii="Arial" w:hAnsi="Arial"/>
                <w:b/>
                <w:sz w:val="22"/>
                <w:szCs w:val="22"/>
              </w:rPr>
            </w:pPr>
            <w:r w:rsidRPr="00BB2BD7">
              <w:rPr>
                <w:rFonts w:ascii="Arial" w:hAnsi="Arial"/>
                <w:b/>
                <w:sz w:val="22"/>
                <w:szCs w:val="22"/>
              </w:rPr>
              <w:t>SOP prepared by:</w:t>
            </w:r>
          </w:p>
        </w:tc>
        <w:tc>
          <w:tcPr>
            <w:tcW w:w="2268" w:type="dxa"/>
          </w:tcPr>
          <w:p w14:paraId="36A6440C" w14:textId="77777777" w:rsidR="00C25F54" w:rsidRPr="00BB2BD7" w:rsidRDefault="00C25F54" w:rsidP="0085284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238D53D5" w14:textId="77777777" w:rsidR="00C25F54" w:rsidRPr="00BB2BD7" w:rsidRDefault="00C25F54" w:rsidP="00852847">
            <w:pPr>
              <w:rPr>
                <w:rFonts w:ascii="Arial" w:hAnsi="Arial"/>
                <w:b/>
                <w:sz w:val="22"/>
                <w:szCs w:val="22"/>
              </w:rPr>
            </w:pPr>
            <w:r w:rsidRPr="00BB2BD7">
              <w:rPr>
                <w:rFonts w:ascii="Arial" w:hAnsi="Arial"/>
                <w:b/>
                <w:sz w:val="22"/>
                <w:szCs w:val="22"/>
              </w:rPr>
              <w:t>Review date for SOP:</w:t>
            </w:r>
          </w:p>
        </w:tc>
        <w:tc>
          <w:tcPr>
            <w:tcW w:w="1134" w:type="dxa"/>
          </w:tcPr>
          <w:p w14:paraId="7FD5D330" w14:textId="77777777" w:rsidR="00C25F54" w:rsidRPr="00BB2BD7" w:rsidRDefault="00C25F54" w:rsidP="0085284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25F54" w:rsidRPr="00BB2BD7" w14:paraId="4D2BB32C" w14:textId="77777777" w:rsidTr="00852847">
        <w:tc>
          <w:tcPr>
            <w:tcW w:w="11194" w:type="dxa"/>
            <w:gridSpan w:val="6"/>
          </w:tcPr>
          <w:p w14:paraId="1A1A355D" w14:textId="77777777" w:rsidR="00C25F54" w:rsidRPr="00BB2BD7" w:rsidRDefault="00C25F54" w:rsidP="00852847">
            <w:pPr>
              <w:rPr>
                <w:rFonts w:ascii="Arial" w:hAnsi="Arial"/>
                <w:sz w:val="22"/>
                <w:szCs w:val="22"/>
              </w:rPr>
            </w:pPr>
            <w:r w:rsidRPr="00BB2BD7">
              <w:rPr>
                <w:rFonts w:ascii="Arial" w:hAnsi="Arial"/>
                <w:b/>
                <w:sz w:val="22"/>
                <w:szCs w:val="22"/>
              </w:rPr>
              <w:t>Objective</w:t>
            </w:r>
            <w:r w:rsidRPr="00BB2BD7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7A7DF4F7" w14:textId="77777777" w:rsidR="00C25F54" w:rsidRPr="00BB2BD7" w:rsidRDefault="00C25F54" w:rsidP="00852847">
            <w:pPr>
              <w:rPr>
                <w:rFonts w:ascii="Arial" w:hAnsi="Arial"/>
                <w:sz w:val="22"/>
                <w:szCs w:val="22"/>
              </w:rPr>
            </w:pPr>
            <w:r w:rsidRPr="00BB2BD7">
              <w:rPr>
                <w:rFonts w:ascii="Arial" w:hAnsi="Arial"/>
                <w:sz w:val="22"/>
                <w:szCs w:val="22"/>
              </w:rPr>
              <w:t>T</w:t>
            </w:r>
            <w:r>
              <w:rPr>
                <w:rFonts w:ascii="Arial" w:hAnsi="Arial"/>
                <w:sz w:val="22"/>
                <w:szCs w:val="22"/>
              </w:rPr>
              <w:t xml:space="preserve">o define the procedures of the Transfer of Care Around Medicines </w:t>
            </w:r>
            <w:r w:rsidRPr="00BB2BD7">
              <w:rPr>
                <w:rFonts w:ascii="Arial" w:hAnsi="Arial"/>
                <w:sz w:val="22"/>
                <w:szCs w:val="22"/>
              </w:rPr>
              <w:t xml:space="preserve"> (</w:t>
            </w:r>
            <w:r>
              <w:rPr>
                <w:rFonts w:ascii="Arial" w:hAnsi="Arial"/>
                <w:sz w:val="22"/>
                <w:szCs w:val="22"/>
              </w:rPr>
              <w:t>TCAM</w:t>
            </w:r>
            <w:r w:rsidRPr="00BB2BD7">
              <w:rPr>
                <w:rFonts w:ascii="Arial" w:hAnsi="Arial"/>
                <w:sz w:val="22"/>
                <w:szCs w:val="22"/>
              </w:rPr>
              <w:t>)</w:t>
            </w:r>
            <w:r>
              <w:rPr>
                <w:rFonts w:ascii="Arial" w:hAnsi="Arial"/>
                <w:sz w:val="22"/>
                <w:szCs w:val="22"/>
              </w:rPr>
              <w:t>’</w:t>
            </w:r>
            <w:r w:rsidRPr="00BB2BD7">
              <w:rPr>
                <w:rFonts w:ascii="Arial" w:hAnsi="Arial"/>
                <w:sz w:val="22"/>
                <w:szCs w:val="22"/>
              </w:rPr>
              <w:t xml:space="preserve"> in </w:t>
            </w:r>
            <w:r>
              <w:rPr>
                <w:rFonts w:ascii="Arial" w:hAnsi="Arial"/>
                <w:sz w:val="22"/>
                <w:szCs w:val="22"/>
              </w:rPr>
              <w:t>order to ensure that the scheme</w:t>
            </w:r>
            <w:r w:rsidRPr="00BB2BD7">
              <w:rPr>
                <w:rFonts w:ascii="Arial" w:hAnsi="Arial"/>
                <w:sz w:val="22"/>
                <w:szCs w:val="22"/>
              </w:rPr>
              <w:t xml:space="preserve"> is conducted as </w:t>
            </w:r>
            <w:r>
              <w:rPr>
                <w:rFonts w:ascii="Arial" w:hAnsi="Arial"/>
                <w:sz w:val="22"/>
                <w:szCs w:val="22"/>
              </w:rPr>
              <w:t>specified</w:t>
            </w:r>
            <w:r w:rsidRPr="00BB2BD7">
              <w:rPr>
                <w:rFonts w:ascii="Arial" w:hAnsi="Arial"/>
                <w:sz w:val="22"/>
                <w:szCs w:val="22"/>
              </w:rPr>
              <w:t xml:space="preserve"> and is provided to a high quality in a consistent, professional and accurate manner.</w:t>
            </w:r>
          </w:p>
        </w:tc>
      </w:tr>
      <w:tr w:rsidR="00C25F54" w:rsidRPr="00BB2BD7" w14:paraId="6E34A392" w14:textId="77777777" w:rsidTr="00852847">
        <w:tc>
          <w:tcPr>
            <w:tcW w:w="11194" w:type="dxa"/>
            <w:gridSpan w:val="6"/>
          </w:tcPr>
          <w:p w14:paraId="20857A2D" w14:textId="77777777" w:rsidR="00C25F54" w:rsidRPr="00BB2BD7" w:rsidRDefault="00C25F54" w:rsidP="00852847">
            <w:pPr>
              <w:rPr>
                <w:rFonts w:ascii="Arial" w:hAnsi="Arial"/>
                <w:sz w:val="22"/>
                <w:szCs w:val="22"/>
              </w:rPr>
            </w:pPr>
            <w:r w:rsidRPr="00BB2BD7">
              <w:rPr>
                <w:rFonts w:ascii="Arial" w:hAnsi="Arial"/>
                <w:b/>
                <w:sz w:val="22"/>
                <w:szCs w:val="22"/>
              </w:rPr>
              <w:t>Scope</w:t>
            </w:r>
            <w:r w:rsidRPr="00BB2BD7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BACC5FF" w14:textId="77777777" w:rsidR="00C25F54" w:rsidRPr="00BB2BD7" w:rsidRDefault="00C25F54" w:rsidP="00852847">
            <w:pPr>
              <w:rPr>
                <w:rFonts w:ascii="Arial" w:hAnsi="Arial"/>
                <w:sz w:val="22"/>
                <w:szCs w:val="22"/>
              </w:rPr>
            </w:pPr>
            <w:r w:rsidRPr="00BB2BD7">
              <w:rPr>
                <w:rFonts w:ascii="Arial" w:hAnsi="Arial"/>
                <w:sz w:val="22"/>
                <w:szCs w:val="22"/>
              </w:rPr>
              <w:t>This procedure applies to all staff participating in the provision of the</w:t>
            </w:r>
            <w:r>
              <w:rPr>
                <w:rFonts w:ascii="Arial" w:hAnsi="Arial"/>
                <w:sz w:val="22"/>
                <w:szCs w:val="22"/>
              </w:rPr>
              <w:t xml:space="preserve"> scheme</w:t>
            </w:r>
            <w:r w:rsidRPr="00BB2BD7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C25F54" w:rsidRPr="00BB2BD7" w14:paraId="363A5971" w14:textId="77777777" w:rsidTr="00852847">
        <w:tc>
          <w:tcPr>
            <w:tcW w:w="11194" w:type="dxa"/>
            <w:gridSpan w:val="6"/>
          </w:tcPr>
          <w:p w14:paraId="7474135E" w14:textId="77777777" w:rsidR="00C25F54" w:rsidRPr="00BB2BD7" w:rsidRDefault="00C25F54" w:rsidP="00852847">
            <w:pPr>
              <w:rPr>
                <w:rFonts w:ascii="Arial" w:hAnsi="Arial"/>
                <w:sz w:val="22"/>
                <w:szCs w:val="22"/>
              </w:rPr>
            </w:pPr>
            <w:r w:rsidRPr="00BB2BD7">
              <w:rPr>
                <w:rFonts w:ascii="Arial" w:hAnsi="Arial"/>
                <w:b/>
                <w:sz w:val="22"/>
                <w:szCs w:val="22"/>
              </w:rPr>
              <w:t>Responsibilities</w:t>
            </w:r>
            <w:r w:rsidRPr="00BB2BD7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417FCC1" w14:textId="77777777" w:rsidR="00C25F54" w:rsidRDefault="00C25F54" w:rsidP="00852847">
            <w:pPr>
              <w:rPr>
                <w:rFonts w:ascii="Arial" w:hAnsi="Arial"/>
                <w:sz w:val="22"/>
                <w:szCs w:val="22"/>
              </w:rPr>
            </w:pPr>
            <w:r w:rsidRPr="00E50269">
              <w:rPr>
                <w:rFonts w:ascii="Arial" w:hAnsi="Arial"/>
                <w:sz w:val="22"/>
                <w:szCs w:val="22"/>
              </w:rPr>
              <w:t xml:space="preserve">The manager or appointed deputy in charge of the community pharmacy is responsible for ensuring that the Service is carried out within this SOP and in line with the service </w:t>
            </w:r>
          </w:p>
          <w:p w14:paraId="4748387A" w14:textId="77777777" w:rsidR="00C25F54" w:rsidRPr="00BB2BD7" w:rsidRDefault="00C25F54" w:rsidP="00852847">
            <w:pPr>
              <w:rPr>
                <w:rFonts w:ascii="Arial" w:hAnsi="Arial"/>
                <w:sz w:val="22"/>
                <w:szCs w:val="22"/>
              </w:rPr>
            </w:pPr>
          </w:p>
          <w:p w14:paraId="38AB7B49" w14:textId="77777777" w:rsidR="00C25F54" w:rsidRPr="00BB2BD7" w:rsidRDefault="00C25F54" w:rsidP="00852847">
            <w:pPr>
              <w:rPr>
                <w:rFonts w:ascii="Arial" w:hAnsi="Arial"/>
                <w:sz w:val="22"/>
                <w:szCs w:val="22"/>
              </w:rPr>
            </w:pPr>
            <w:r w:rsidRPr="00BB2BD7">
              <w:rPr>
                <w:rFonts w:ascii="Arial" w:hAnsi="Arial"/>
                <w:sz w:val="22"/>
                <w:szCs w:val="22"/>
              </w:rPr>
              <w:t>Each person delivering</w:t>
            </w:r>
            <w:r>
              <w:rPr>
                <w:rFonts w:ascii="Arial" w:hAnsi="Arial"/>
                <w:sz w:val="22"/>
                <w:szCs w:val="22"/>
              </w:rPr>
              <w:t xml:space="preserve"> the scheme </w:t>
            </w:r>
            <w:r w:rsidRPr="00BB2BD7">
              <w:rPr>
                <w:rFonts w:ascii="Arial" w:hAnsi="Arial"/>
                <w:sz w:val="22"/>
                <w:szCs w:val="22"/>
              </w:rPr>
              <w:t xml:space="preserve">is responsible for ensuring that they work under this SOP. </w:t>
            </w:r>
          </w:p>
          <w:p w14:paraId="25A566A1" w14:textId="77777777" w:rsidR="00C25F54" w:rsidRPr="00BB2BD7" w:rsidRDefault="00C25F54" w:rsidP="00852847">
            <w:pPr>
              <w:rPr>
                <w:rFonts w:ascii="Arial" w:hAnsi="Arial"/>
                <w:sz w:val="22"/>
                <w:szCs w:val="22"/>
              </w:rPr>
            </w:pPr>
          </w:p>
          <w:p w14:paraId="555EF06D" w14:textId="77777777" w:rsidR="00C25F54" w:rsidRPr="001562B8" w:rsidRDefault="00C25F54" w:rsidP="00852847">
            <w:pPr>
              <w:rPr>
                <w:rFonts w:ascii="Arial" w:hAnsi="Arial"/>
                <w:sz w:val="22"/>
                <w:szCs w:val="22"/>
              </w:rPr>
            </w:pPr>
            <w:r w:rsidRPr="00BB2BD7">
              <w:rPr>
                <w:rFonts w:ascii="Arial" w:hAnsi="Arial"/>
                <w:sz w:val="22"/>
                <w:szCs w:val="22"/>
              </w:rPr>
              <w:t>All employees are responsib</w:t>
            </w:r>
            <w:r>
              <w:rPr>
                <w:rFonts w:ascii="Arial" w:hAnsi="Arial"/>
                <w:sz w:val="22"/>
                <w:szCs w:val="22"/>
              </w:rPr>
              <w:t>le for treating all users</w:t>
            </w:r>
            <w:r w:rsidRPr="00BB2BD7">
              <w:rPr>
                <w:rFonts w:ascii="Arial" w:hAnsi="Arial"/>
                <w:sz w:val="22"/>
                <w:szCs w:val="22"/>
              </w:rPr>
              <w:t xml:space="preserve"> with respect and courtesy.</w:t>
            </w:r>
          </w:p>
        </w:tc>
      </w:tr>
      <w:tr w:rsidR="00C25F54" w:rsidRPr="00BB2BD7" w14:paraId="615788A4" w14:textId="77777777" w:rsidTr="00852847">
        <w:tc>
          <w:tcPr>
            <w:tcW w:w="11194" w:type="dxa"/>
            <w:gridSpan w:val="6"/>
          </w:tcPr>
          <w:p w14:paraId="778627B4" w14:textId="77777777" w:rsidR="00C25F54" w:rsidRPr="00CB2F46" w:rsidRDefault="00C25F54" w:rsidP="00852847">
            <w:pPr>
              <w:rPr>
                <w:rFonts w:ascii="Arial" w:hAnsi="Arial"/>
                <w:b/>
                <w:sz w:val="22"/>
                <w:szCs w:val="22"/>
              </w:rPr>
            </w:pPr>
            <w:r w:rsidRPr="00CB2F46">
              <w:rPr>
                <w:rFonts w:ascii="Arial" w:hAnsi="Arial"/>
                <w:b/>
                <w:sz w:val="22"/>
                <w:szCs w:val="22"/>
              </w:rPr>
              <w:t xml:space="preserve">Person Requirements </w:t>
            </w:r>
          </w:p>
          <w:p w14:paraId="70AE148E" w14:textId="77777777" w:rsidR="00C25F54" w:rsidRPr="00CB2F46" w:rsidRDefault="00C25F54" w:rsidP="00852847">
            <w:pPr>
              <w:rPr>
                <w:rFonts w:ascii="Arial" w:hAnsi="Arial"/>
                <w:sz w:val="22"/>
                <w:szCs w:val="22"/>
              </w:rPr>
            </w:pPr>
            <w:r w:rsidRPr="00CB2F46">
              <w:rPr>
                <w:rFonts w:ascii="Arial" w:hAnsi="Arial"/>
                <w:sz w:val="22"/>
                <w:szCs w:val="22"/>
              </w:rPr>
              <w:t xml:space="preserve">The pharmacist is responsible ensuring any supplies made meet their professional and legal responsibilities </w:t>
            </w:r>
          </w:p>
        </w:tc>
      </w:tr>
      <w:tr w:rsidR="00C25F54" w:rsidRPr="00BB2BD7" w14:paraId="355807EC" w14:textId="77777777" w:rsidTr="00852847">
        <w:tc>
          <w:tcPr>
            <w:tcW w:w="11194" w:type="dxa"/>
            <w:gridSpan w:val="6"/>
          </w:tcPr>
          <w:p w14:paraId="7621DB8F" w14:textId="77777777" w:rsidR="00C25F54" w:rsidRPr="00BB2BD7" w:rsidRDefault="00C25F54" w:rsidP="00852847">
            <w:pPr>
              <w:rPr>
                <w:rFonts w:ascii="Arial" w:hAnsi="Arial"/>
                <w:b/>
                <w:sz w:val="22"/>
                <w:szCs w:val="22"/>
              </w:rPr>
            </w:pPr>
            <w:r w:rsidRPr="00BB2BD7">
              <w:rPr>
                <w:rFonts w:ascii="Arial" w:hAnsi="Arial"/>
                <w:b/>
                <w:sz w:val="22"/>
                <w:szCs w:val="22"/>
              </w:rPr>
              <w:t>Facilities</w:t>
            </w:r>
          </w:p>
          <w:p w14:paraId="0BF0F0F1" w14:textId="77777777" w:rsidR="00C25F54" w:rsidRPr="00BB2BD7" w:rsidRDefault="00C25F54" w:rsidP="00852847">
            <w:pPr>
              <w:rPr>
                <w:rFonts w:ascii="Arial" w:hAnsi="Arial"/>
                <w:sz w:val="22"/>
                <w:szCs w:val="22"/>
              </w:rPr>
            </w:pPr>
            <w:r w:rsidRPr="00BB2BD7">
              <w:rPr>
                <w:rFonts w:ascii="Arial" w:hAnsi="Arial"/>
                <w:sz w:val="22"/>
                <w:szCs w:val="22"/>
              </w:rPr>
              <w:t>The part of the pharmacy used to deliver the</w:t>
            </w:r>
            <w:r>
              <w:rPr>
                <w:rFonts w:ascii="Arial" w:hAnsi="Arial"/>
                <w:sz w:val="22"/>
                <w:szCs w:val="22"/>
              </w:rPr>
              <w:t xml:space="preserve"> scheme</w:t>
            </w:r>
            <w:r w:rsidRPr="00BB2BD7">
              <w:rPr>
                <w:rFonts w:ascii="Arial" w:hAnsi="Arial"/>
                <w:sz w:val="22"/>
                <w:szCs w:val="22"/>
              </w:rPr>
              <w:t xml:space="preserve"> should provide a sufficient level of privacy for those</w:t>
            </w:r>
            <w:r>
              <w:rPr>
                <w:rFonts w:ascii="Arial" w:hAnsi="Arial"/>
                <w:sz w:val="22"/>
                <w:szCs w:val="22"/>
              </w:rPr>
              <w:t xml:space="preserve"> being support</w:t>
            </w:r>
            <w:r w:rsidRPr="00BB2BD7">
              <w:rPr>
                <w:rFonts w:ascii="Arial" w:hAnsi="Arial"/>
                <w:sz w:val="22"/>
                <w:szCs w:val="22"/>
              </w:rPr>
              <w:t>; this may be the consultation room.</w:t>
            </w:r>
          </w:p>
        </w:tc>
      </w:tr>
      <w:tr w:rsidR="00C25F54" w:rsidRPr="00BB2BD7" w14:paraId="39369450" w14:textId="77777777" w:rsidTr="00852847">
        <w:tc>
          <w:tcPr>
            <w:tcW w:w="11194" w:type="dxa"/>
            <w:gridSpan w:val="6"/>
          </w:tcPr>
          <w:p w14:paraId="0D34AF52" w14:textId="77777777" w:rsidR="00C25F54" w:rsidRPr="00BB2BD7" w:rsidRDefault="00C25F54" w:rsidP="00852847">
            <w:pPr>
              <w:rPr>
                <w:rFonts w:ascii="Arial" w:hAnsi="Arial"/>
                <w:b/>
                <w:sz w:val="22"/>
                <w:szCs w:val="22"/>
              </w:rPr>
            </w:pPr>
            <w:r w:rsidRPr="00BB2BD7">
              <w:rPr>
                <w:rFonts w:ascii="Arial" w:hAnsi="Arial"/>
                <w:b/>
                <w:sz w:val="22"/>
                <w:szCs w:val="22"/>
              </w:rPr>
              <w:t>The process stages</w:t>
            </w:r>
          </w:p>
        </w:tc>
      </w:tr>
      <w:tr w:rsidR="00C25F54" w:rsidRPr="00BB2BD7" w14:paraId="6CE1FACB" w14:textId="77777777" w:rsidTr="00852847">
        <w:tc>
          <w:tcPr>
            <w:tcW w:w="534" w:type="dxa"/>
          </w:tcPr>
          <w:p w14:paraId="7DE48B63" w14:textId="77777777" w:rsidR="00C25F54" w:rsidRPr="00BB2BD7" w:rsidRDefault="00C25F54" w:rsidP="00852847">
            <w:pPr>
              <w:rPr>
                <w:rFonts w:ascii="Arial" w:hAnsi="Arial"/>
                <w:sz w:val="22"/>
                <w:szCs w:val="22"/>
              </w:rPr>
            </w:pPr>
            <w:r w:rsidRPr="00BB2BD7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0660" w:type="dxa"/>
            <w:gridSpan w:val="5"/>
          </w:tcPr>
          <w:p w14:paraId="43C45C5C" w14:textId="77777777" w:rsidR="00C25F54" w:rsidRPr="00610153" w:rsidRDefault="00C25F54" w:rsidP="00852847">
            <w:pPr>
              <w:rPr>
                <w:rFonts w:ascii="Arial" w:hAnsi="Arial"/>
                <w:b/>
                <w:sz w:val="22"/>
                <w:szCs w:val="22"/>
              </w:rPr>
            </w:pPr>
            <w:r w:rsidRPr="00610153">
              <w:rPr>
                <w:rFonts w:ascii="Arial" w:hAnsi="Arial"/>
                <w:b/>
                <w:sz w:val="22"/>
                <w:szCs w:val="22"/>
              </w:rPr>
              <w:t>Patient Hospital Discharge</w:t>
            </w:r>
          </w:p>
          <w:p w14:paraId="5F1817F3" w14:textId="77777777" w:rsidR="00C25F54" w:rsidRDefault="00C25F54" w:rsidP="0085284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Pharmacy staff regularly check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Pharmoutcomes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services page for referral. </w:t>
            </w:r>
          </w:p>
          <w:p w14:paraId="3A5BC003" w14:textId="77777777" w:rsidR="00C25F54" w:rsidRPr="00BB2BD7" w:rsidRDefault="00C25F54" w:rsidP="00852847">
            <w:pPr>
              <w:rPr>
                <w:rFonts w:ascii="Arial" w:hAnsi="Arial"/>
                <w:sz w:val="22"/>
                <w:szCs w:val="22"/>
              </w:rPr>
            </w:pPr>
            <w:r w:rsidRPr="00610153">
              <w:rPr>
                <w:rFonts w:ascii="Arial" w:hAnsi="Arial"/>
                <w:sz w:val="22"/>
                <w:szCs w:val="22"/>
              </w:rPr>
              <w:t xml:space="preserve">Patient is discharged from hospital and pharmacy receives email notification from hospital on </w:t>
            </w:r>
            <w:proofErr w:type="spellStart"/>
            <w:r w:rsidRPr="00610153">
              <w:rPr>
                <w:rFonts w:ascii="Arial" w:hAnsi="Arial"/>
                <w:sz w:val="22"/>
                <w:szCs w:val="22"/>
              </w:rPr>
              <w:t>Pharmoutcomes</w:t>
            </w:r>
            <w:proofErr w:type="spellEnd"/>
            <w:r w:rsidRPr="00BB2BD7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C25F54" w:rsidRPr="00BB2BD7" w14:paraId="18C907B5" w14:textId="77777777" w:rsidTr="00852847">
        <w:tc>
          <w:tcPr>
            <w:tcW w:w="534" w:type="dxa"/>
          </w:tcPr>
          <w:p w14:paraId="345F376E" w14:textId="77777777" w:rsidR="00C25F54" w:rsidRPr="00BB2BD7" w:rsidRDefault="00C25F54" w:rsidP="00852847">
            <w:pPr>
              <w:rPr>
                <w:rFonts w:ascii="Arial" w:hAnsi="Arial"/>
                <w:sz w:val="22"/>
                <w:szCs w:val="22"/>
              </w:rPr>
            </w:pPr>
            <w:r w:rsidRPr="00BB2BD7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0660" w:type="dxa"/>
            <w:gridSpan w:val="5"/>
          </w:tcPr>
          <w:p w14:paraId="43DE5033" w14:textId="77777777" w:rsidR="00C25F54" w:rsidRPr="00610153" w:rsidRDefault="00C25F54" w:rsidP="00852847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610153">
              <w:rPr>
                <w:rFonts w:ascii="Arial" w:hAnsi="Arial"/>
                <w:b/>
                <w:sz w:val="22"/>
                <w:szCs w:val="22"/>
              </w:rPr>
              <w:t>Pharmoutcomes</w:t>
            </w:r>
            <w:proofErr w:type="spellEnd"/>
            <w:r w:rsidRPr="00610153">
              <w:rPr>
                <w:rFonts w:ascii="Arial" w:hAnsi="Arial"/>
                <w:b/>
                <w:sz w:val="22"/>
                <w:szCs w:val="22"/>
              </w:rPr>
              <w:t xml:space="preserve"> Referral</w:t>
            </w:r>
          </w:p>
          <w:p w14:paraId="42B79B2E" w14:textId="77777777" w:rsidR="00C25F54" w:rsidRPr="00610153" w:rsidRDefault="00C25F54" w:rsidP="0085284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Pharmacy review</w:t>
            </w:r>
            <w:r w:rsidRPr="00610153">
              <w:rPr>
                <w:rFonts w:ascii="Arial" w:hAnsi="Arial"/>
                <w:sz w:val="22"/>
                <w:szCs w:val="22"/>
              </w:rPr>
              <w:t xml:space="preserve"> referral on </w:t>
            </w:r>
            <w:proofErr w:type="spellStart"/>
            <w:r w:rsidRPr="00610153">
              <w:rPr>
                <w:rFonts w:ascii="Arial" w:hAnsi="Arial"/>
                <w:sz w:val="22"/>
                <w:szCs w:val="22"/>
              </w:rPr>
              <w:t>Pharmoutcomes</w:t>
            </w:r>
            <w:proofErr w:type="spellEnd"/>
            <w:r w:rsidRPr="00610153">
              <w:rPr>
                <w:rFonts w:ascii="Arial" w:hAnsi="Arial"/>
                <w:sz w:val="22"/>
                <w:szCs w:val="22"/>
              </w:rPr>
              <w:t xml:space="preserve"> with list of patient’s medicines from hospital discharge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C25F54" w:rsidRPr="00BB2BD7" w14:paraId="49F91936" w14:textId="77777777" w:rsidTr="00852847">
        <w:tc>
          <w:tcPr>
            <w:tcW w:w="534" w:type="dxa"/>
          </w:tcPr>
          <w:p w14:paraId="733975FB" w14:textId="77777777" w:rsidR="00C25F54" w:rsidRPr="00BB2BD7" w:rsidRDefault="00C25F54" w:rsidP="0085284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0660" w:type="dxa"/>
            <w:gridSpan w:val="5"/>
          </w:tcPr>
          <w:p w14:paraId="7E70061B" w14:textId="77777777" w:rsidR="00C25F54" w:rsidRDefault="00C25F54" w:rsidP="00852847">
            <w:pPr>
              <w:rPr>
                <w:rFonts w:ascii="Arial" w:hAnsi="Arial"/>
                <w:b/>
                <w:sz w:val="22"/>
                <w:szCs w:val="22"/>
              </w:rPr>
            </w:pPr>
            <w:r w:rsidRPr="00610153">
              <w:rPr>
                <w:rFonts w:ascii="Arial" w:hAnsi="Arial"/>
                <w:b/>
                <w:sz w:val="22"/>
                <w:szCs w:val="22"/>
              </w:rPr>
              <w:t xml:space="preserve">Pharmacy </w:t>
            </w:r>
            <w:r>
              <w:rPr>
                <w:rFonts w:ascii="Arial" w:hAnsi="Arial"/>
                <w:b/>
                <w:sz w:val="22"/>
                <w:szCs w:val="22"/>
              </w:rPr>
              <w:t>Referral Accepted</w:t>
            </w:r>
          </w:p>
          <w:p w14:paraId="2AA7379D" w14:textId="77777777" w:rsidR="00C25F54" w:rsidRPr="005044EC" w:rsidRDefault="00C25F54" w:rsidP="0085284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Pharmacy accepts referral and follows one of the following courses of action:</w:t>
            </w:r>
          </w:p>
          <w:p w14:paraId="6C0D5AF9" w14:textId="77777777" w:rsidR="00C25F54" w:rsidRPr="005044EC" w:rsidRDefault="00C25F54" w:rsidP="00C25F54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5044EC">
              <w:rPr>
                <w:rFonts w:ascii="Arial" w:hAnsi="Arial"/>
                <w:sz w:val="22"/>
                <w:szCs w:val="22"/>
              </w:rPr>
              <w:t xml:space="preserve">Pharmacy updates PMR and undertakes any urgent action and awaits patient to attend pharmacy in order to complete now on </w:t>
            </w:r>
            <w:proofErr w:type="spellStart"/>
            <w:r w:rsidRPr="005044EC">
              <w:rPr>
                <w:rFonts w:ascii="Arial" w:hAnsi="Arial"/>
                <w:sz w:val="22"/>
                <w:szCs w:val="22"/>
              </w:rPr>
              <w:t>Pharm</w:t>
            </w:r>
            <w:r>
              <w:rPr>
                <w:rFonts w:ascii="Arial" w:hAnsi="Arial"/>
                <w:sz w:val="22"/>
                <w:szCs w:val="22"/>
              </w:rPr>
              <w:t>O</w:t>
            </w:r>
            <w:r w:rsidRPr="005044EC">
              <w:rPr>
                <w:rFonts w:ascii="Arial" w:hAnsi="Arial"/>
                <w:sz w:val="22"/>
                <w:szCs w:val="22"/>
              </w:rPr>
              <w:t>utcomes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; AND/OR</w:t>
            </w:r>
          </w:p>
          <w:p w14:paraId="5767F399" w14:textId="77777777" w:rsidR="00C25F54" w:rsidRPr="003B2CED" w:rsidRDefault="00C25F54" w:rsidP="00C25F54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7A24CD">
              <w:rPr>
                <w:rFonts w:ascii="Arial" w:hAnsi="Arial"/>
                <w:sz w:val="22"/>
                <w:szCs w:val="22"/>
              </w:rPr>
              <w:t xml:space="preserve">Pharmacist calls hospital on number provided on </w:t>
            </w:r>
            <w:proofErr w:type="spellStart"/>
            <w:r w:rsidRPr="007A24CD">
              <w:rPr>
                <w:rFonts w:ascii="Arial" w:hAnsi="Arial"/>
                <w:sz w:val="22"/>
                <w:szCs w:val="22"/>
              </w:rPr>
              <w:t>Pharm</w:t>
            </w:r>
            <w:r>
              <w:rPr>
                <w:rFonts w:ascii="Arial" w:hAnsi="Arial"/>
                <w:sz w:val="22"/>
                <w:szCs w:val="22"/>
              </w:rPr>
              <w:t>O</w:t>
            </w:r>
            <w:r w:rsidRPr="007A24CD">
              <w:rPr>
                <w:rFonts w:ascii="Arial" w:hAnsi="Arial"/>
                <w:sz w:val="22"/>
                <w:szCs w:val="22"/>
              </w:rPr>
              <w:t>utcomes</w:t>
            </w:r>
            <w:proofErr w:type="spellEnd"/>
            <w:r w:rsidRPr="007A24CD">
              <w:rPr>
                <w:rFonts w:ascii="Arial" w:hAnsi="Arial"/>
                <w:sz w:val="22"/>
                <w:szCs w:val="22"/>
              </w:rPr>
              <w:t xml:space="preserve"> to clarify</w:t>
            </w:r>
            <w:r>
              <w:rPr>
                <w:rFonts w:ascii="Arial" w:hAnsi="Arial"/>
                <w:sz w:val="22"/>
                <w:szCs w:val="22"/>
              </w:rPr>
              <w:t xml:space="preserve"> any queries</w:t>
            </w:r>
            <w:r w:rsidRPr="007A24CD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C25F54" w:rsidRPr="00BB2BD7" w14:paraId="17728DE1" w14:textId="77777777" w:rsidTr="00852847">
        <w:tc>
          <w:tcPr>
            <w:tcW w:w="534" w:type="dxa"/>
          </w:tcPr>
          <w:p w14:paraId="74490448" w14:textId="77777777" w:rsidR="00C25F54" w:rsidRDefault="00C25F54" w:rsidP="0085284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0660" w:type="dxa"/>
            <w:gridSpan w:val="5"/>
          </w:tcPr>
          <w:p w14:paraId="30362BED" w14:textId="77777777" w:rsidR="00C25F54" w:rsidRDefault="00C25F54" w:rsidP="0085284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Pharmacy Referral Rejected</w:t>
            </w:r>
          </w:p>
          <w:p w14:paraId="294000FC" w14:textId="77777777" w:rsidR="00C25F54" w:rsidRPr="005044EC" w:rsidRDefault="00C25F54" w:rsidP="00852847">
            <w:pPr>
              <w:rPr>
                <w:rFonts w:ascii="Arial" w:hAnsi="Arial"/>
                <w:sz w:val="22"/>
                <w:szCs w:val="22"/>
              </w:rPr>
            </w:pPr>
            <w:r w:rsidRPr="005044EC">
              <w:rPr>
                <w:rFonts w:ascii="Arial" w:hAnsi="Arial"/>
                <w:sz w:val="22"/>
                <w:szCs w:val="22"/>
              </w:rPr>
              <w:t>Referral returned to hospital pharmacy</w:t>
            </w:r>
            <w:r>
              <w:rPr>
                <w:rFonts w:ascii="Arial" w:hAnsi="Arial"/>
                <w:sz w:val="22"/>
                <w:szCs w:val="22"/>
              </w:rPr>
              <w:t xml:space="preserve"> as patient not supported by community pharmacy.  </w:t>
            </w:r>
          </w:p>
        </w:tc>
      </w:tr>
      <w:tr w:rsidR="00C25F54" w:rsidRPr="00BB2BD7" w14:paraId="2727F5B0" w14:textId="77777777" w:rsidTr="00852847">
        <w:tc>
          <w:tcPr>
            <w:tcW w:w="534" w:type="dxa"/>
          </w:tcPr>
          <w:p w14:paraId="20B9AB69" w14:textId="77777777" w:rsidR="00C25F54" w:rsidRDefault="00C25F54" w:rsidP="0085284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0660" w:type="dxa"/>
            <w:gridSpan w:val="5"/>
          </w:tcPr>
          <w:p w14:paraId="0DF1973E" w14:textId="77777777" w:rsidR="00C25F54" w:rsidRPr="005044EC" w:rsidRDefault="00C25F54" w:rsidP="0085284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Patient Attendance at Pharmacy</w:t>
            </w:r>
          </w:p>
          <w:p w14:paraId="0843CC91" w14:textId="77777777" w:rsidR="00C25F54" w:rsidRPr="003B2CED" w:rsidRDefault="00C25F54" w:rsidP="00852847">
            <w:pPr>
              <w:rPr>
                <w:rFonts w:ascii="Arial" w:hAnsi="Arial"/>
                <w:sz w:val="22"/>
                <w:szCs w:val="22"/>
              </w:rPr>
            </w:pPr>
            <w:r w:rsidRPr="003B2CED">
              <w:rPr>
                <w:rFonts w:ascii="Arial" w:hAnsi="Arial"/>
                <w:sz w:val="22"/>
                <w:szCs w:val="22"/>
              </w:rPr>
              <w:t xml:space="preserve">Pharmacist speaks with the patient discharged by the hospital. The conversation includes: </w:t>
            </w:r>
          </w:p>
          <w:p w14:paraId="2C0B7C24" w14:textId="77777777" w:rsidR="00C25F54" w:rsidRPr="003B2CED" w:rsidRDefault="00C25F54" w:rsidP="00C25F5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3B2CED">
              <w:rPr>
                <w:rFonts w:ascii="Arial" w:hAnsi="Arial"/>
                <w:sz w:val="22"/>
                <w:szCs w:val="22"/>
              </w:rPr>
              <w:t>Introduction and confirmation of patient details – name, date of birth, address, GP practice and contact telephone number must be taken as a minimum.</w:t>
            </w:r>
          </w:p>
          <w:p w14:paraId="4FA64406" w14:textId="77777777" w:rsidR="00C25F54" w:rsidRDefault="00C25F54" w:rsidP="00852847">
            <w:pPr>
              <w:rPr>
                <w:rFonts w:ascii="Arial" w:hAnsi="Arial"/>
                <w:sz w:val="22"/>
                <w:szCs w:val="22"/>
              </w:rPr>
            </w:pPr>
          </w:p>
          <w:p w14:paraId="388C76F1" w14:textId="77777777" w:rsidR="00C25F54" w:rsidRPr="005044EC" w:rsidRDefault="00C25F54" w:rsidP="00852847">
            <w:pPr>
              <w:rPr>
                <w:rFonts w:ascii="Arial" w:hAnsi="Arial"/>
                <w:sz w:val="22"/>
                <w:szCs w:val="22"/>
              </w:rPr>
            </w:pPr>
            <w:r w:rsidRPr="005044EC">
              <w:rPr>
                <w:rFonts w:ascii="Arial" w:hAnsi="Arial"/>
                <w:sz w:val="22"/>
                <w:szCs w:val="22"/>
              </w:rPr>
              <w:t>When the patient attends the pharmacy, the pharmacist will make a judgement on whether to:</w:t>
            </w:r>
          </w:p>
          <w:p w14:paraId="7FBBD071" w14:textId="77777777" w:rsidR="00C25F54" w:rsidRPr="005044EC" w:rsidRDefault="00C25F54" w:rsidP="00C25F54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5044EC">
              <w:rPr>
                <w:rFonts w:ascii="Arial" w:hAnsi="Arial"/>
                <w:sz w:val="22"/>
                <w:szCs w:val="22"/>
              </w:rPr>
              <w:t>Supply</w:t>
            </w:r>
            <w:r>
              <w:rPr>
                <w:rFonts w:ascii="Arial" w:hAnsi="Arial"/>
                <w:sz w:val="22"/>
                <w:szCs w:val="22"/>
              </w:rPr>
              <w:t xml:space="preserve"> any repeat</w:t>
            </w:r>
            <w:r w:rsidRPr="005044EC">
              <w:rPr>
                <w:rFonts w:ascii="Arial" w:hAnsi="Arial"/>
                <w:sz w:val="22"/>
                <w:szCs w:val="22"/>
              </w:rPr>
              <w:t xml:space="preserve"> medicines as normal</w:t>
            </w:r>
          </w:p>
          <w:p w14:paraId="63387789" w14:textId="77777777" w:rsidR="00C25F54" w:rsidRPr="005044EC" w:rsidRDefault="00C25F54" w:rsidP="00C25F54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5044EC">
              <w:rPr>
                <w:rFonts w:ascii="Arial" w:hAnsi="Arial"/>
                <w:sz w:val="22"/>
                <w:szCs w:val="22"/>
              </w:rPr>
              <w:t xml:space="preserve">Conduct an NMS or MUR </w:t>
            </w:r>
          </w:p>
          <w:p w14:paraId="084E9F9C" w14:textId="77777777" w:rsidR="00C25F54" w:rsidRDefault="00C25F54" w:rsidP="00C25F54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5044EC">
              <w:rPr>
                <w:rFonts w:ascii="Arial" w:hAnsi="Arial"/>
                <w:sz w:val="22"/>
                <w:szCs w:val="22"/>
              </w:rPr>
              <w:t>Undertake any other necessary intervention</w:t>
            </w:r>
          </w:p>
          <w:p w14:paraId="4B4DD92C" w14:textId="77777777" w:rsidR="00C25F54" w:rsidRDefault="00C25F54" w:rsidP="00C25F54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 further action required</w:t>
            </w:r>
          </w:p>
          <w:p w14:paraId="04913AFD" w14:textId="77777777" w:rsidR="00C25F54" w:rsidRPr="00911890" w:rsidRDefault="00C25F54" w:rsidP="00852847">
            <w:pPr>
              <w:ind w:left="720"/>
              <w:rPr>
                <w:rFonts w:ascii="Arial" w:hAnsi="Arial"/>
                <w:sz w:val="22"/>
                <w:szCs w:val="22"/>
              </w:rPr>
            </w:pPr>
          </w:p>
          <w:p w14:paraId="5290B2C2" w14:textId="77777777" w:rsidR="00C25F54" w:rsidRPr="00911890" w:rsidRDefault="00C25F54" w:rsidP="00852847">
            <w:pPr>
              <w:rPr>
                <w:rFonts w:ascii="Arial" w:hAnsi="Arial"/>
                <w:sz w:val="22"/>
                <w:szCs w:val="22"/>
              </w:rPr>
            </w:pPr>
            <w:r w:rsidRPr="00911890">
              <w:rPr>
                <w:rFonts w:ascii="Arial" w:hAnsi="Arial"/>
                <w:sz w:val="22"/>
                <w:szCs w:val="22"/>
              </w:rPr>
              <w:t>Where a patient is unable to attend the pharmacy, the pharmacist can use their professional judgment and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911890">
              <w:rPr>
                <w:rFonts w:ascii="Arial" w:hAnsi="Arial"/>
                <w:sz w:val="22"/>
                <w:szCs w:val="22"/>
              </w:rPr>
              <w:t>discuss the need for any other appropriate interventions/support with the patients’ representative.</w:t>
            </w:r>
          </w:p>
          <w:p w14:paraId="142694D2" w14:textId="77777777" w:rsidR="00C25F54" w:rsidRPr="005044EC" w:rsidRDefault="00C25F54" w:rsidP="0085284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25F54" w:rsidRPr="00BB2BD7" w14:paraId="6F895FDD" w14:textId="77777777" w:rsidTr="00852847">
        <w:tc>
          <w:tcPr>
            <w:tcW w:w="534" w:type="dxa"/>
          </w:tcPr>
          <w:p w14:paraId="430919A9" w14:textId="77777777" w:rsidR="00C25F54" w:rsidRDefault="00C25F54" w:rsidP="0085284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0660" w:type="dxa"/>
            <w:gridSpan w:val="5"/>
          </w:tcPr>
          <w:p w14:paraId="4F2A2F20" w14:textId="77777777" w:rsidR="00C25F54" w:rsidRPr="008F3BEB" w:rsidRDefault="00C25F54" w:rsidP="00852847">
            <w:pPr>
              <w:rPr>
                <w:rFonts w:ascii="Arial" w:hAnsi="Arial"/>
                <w:b/>
                <w:sz w:val="22"/>
                <w:szCs w:val="22"/>
              </w:rPr>
            </w:pPr>
            <w:r w:rsidRPr="008F3BEB">
              <w:rPr>
                <w:rFonts w:ascii="Arial" w:hAnsi="Arial"/>
                <w:b/>
                <w:sz w:val="22"/>
                <w:szCs w:val="22"/>
              </w:rPr>
              <w:t>Advice and Information</w:t>
            </w:r>
          </w:p>
          <w:p w14:paraId="205ECA73" w14:textId="77777777" w:rsidR="00C25F54" w:rsidRDefault="00C25F54" w:rsidP="00852847">
            <w:pPr>
              <w:rPr>
                <w:rFonts w:ascii="Arial" w:hAnsi="Arial"/>
                <w:b/>
                <w:sz w:val="22"/>
                <w:szCs w:val="22"/>
              </w:rPr>
            </w:pPr>
            <w:r w:rsidRPr="00BB2BD7">
              <w:rPr>
                <w:rFonts w:ascii="Arial" w:hAnsi="Arial"/>
                <w:sz w:val="22"/>
                <w:szCs w:val="22"/>
              </w:rPr>
              <w:t>Pharmacist provides advice</w:t>
            </w:r>
            <w:r>
              <w:rPr>
                <w:rFonts w:ascii="Arial" w:hAnsi="Arial"/>
                <w:sz w:val="22"/>
                <w:szCs w:val="22"/>
              </w:rPr>
              <w:t>/support</w:t>
            </w:r>
            <w:r w:rsidRPr="00BB2BD7">
              <w:rPr>
                <w:rFonts w:ascii="Arial" w:hAnsi="Arial"/>
                <w:sz w:val="22"/>
                <w:szCs w:val="22"/>
              </w:rPr>
              <w:t xml:space="preserve"> and discusses </w:t>
            </w:r>
            <w:r>
              <w:rPr>
                <w:rFonts w:ascii="Arial" w:hAnsi="Arial"/>
                <w:sz w:val="22"/>
                <w:szCs w:val="22"/>
              </w:rPr>
              <w:t xml:space="preserve">any changes that have been made with </w:t>
            </w:r>
            <w:r w:rsidRPr="00BB2BD7">
              <w:rPr>
                <w:rFonts w:ascii="Arial" w:hAnsi="Arial"/>
                <w:sz w:val="22"/>
                <w:szCs w:val="22"/>
              </w:rPr>
              <w:t xml:space="preserve">the </w:t>
            </w:r>
            <w:r>
              <w:rPr>
                <w:rFonts w:ascii="Arial" w:hAnsi="Arial"/>
                <w:sz w:val="22"/>
                <w:szCs w:val="22"/>
              </w:rPr>
              <w:t>patient’s medication.</w:t>
            </w:r>
            <w:r w:rsidRPr="00BB2BD7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Stresses the importance of o</w:t>
            </w:r>
            <w:r w:rsidRPr="00BB2BD7">
              <w:rPr>
                <w:rFonts w:ascii="Arial" w:hAnsi="Arial"/>
                <w:sz w:val="22"/>
                <w:szCs w:val="22"/>
              </w:rPr>
              <w:t>rdering prescriptions in a timely manner</w:t>
            </w:r>
            <w:r>
              <w:rPr>
                <w:rFonts w:ascii="Arial" w:hAnsi="Arial"/>
                <w:sz w:val="22"/>
                <w:szCs w:val="22"/>
              </w:rPr>
              <w:t xml:space="preserve"> recommending electronic Repeat Dispensing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eRD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  <w:r w:rsidRPr="00BB2BD7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where appropriate </w:t>
            </w:r>
            <w:r w:rsidRPr="00BB2BD7">
              <w:rPr>
                <w:rFonts w:ascii="Arial" w:hAnsi="Arial"/>
                <w:sz w:val="22"/>
                <w:szCs w:val="22"/>
              </w:rPr>
              <w:t>including making the patient aware that they can order their prescriptions online from their GP practice.</w:t>
            </w:r>
          </w:p>
        </w:tc>
      </w:tr>
    </w:tbl>
    <w:p w14:paraId="042F8312" w14:textId="77777777" w:rsidR="00C25F54" w:rsidRDefault="00C25F54" w:rsidP="00C25F54">
      <w:pPr>
        <w:rPr>
          <w:rFonts w:ascii="Arial" w:hAnsi="Arial"/>
          <w:sz w:val="20"/>
          <w:szCs w:val="20"/>
        </w:rPr>
      </w:pPr>
    </w:p>
    <w:p w14:paraId="2DC3FEAA" w14:textId="77777777" w:rsidR="00C25F54" w:rsidRDefault="00C25F5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14:paraId="530D9147" w14:textId="77777777" w:rsidR="00C25F54" w:rsidRDefault="00C25F54" w:rsidP="00C25F54">
      <w:pPr>
        <w:rPr>
          <w:rFonts w:ascii="Arial" w:hAnsi="Arial"/>
          <w:sz w:val="20"/>
          <w:szCs w:val="20"/>
        </w:rPr>
      </w:pPr>
    </w:p>
    <w:p w14:paraId="4A8B429C" w14:textId="77777777" w:rsidR="00C25F54" w:rsidRPr="00BB2BD7" w:rsidRDefault="00C25F54" w:rsidP="00C25F54">
      <w:pPr>
        <w:rPr>
          <w:rFonts w:ascii="Arial" w:hAnsi="Arial"/>
          <w:sz w:val="20"/>
          <w:szCs w:val="20"/>
        </w:rPr>
      </w:pP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562"/>
        <w:gridCol w:w="2835"/>
        <w:gridCol w:w="2268"/>
        <w:gridCol w:w="2694"/>
        <w:gridCol w:w="1701"/>
        <w:gridCol w:w="1134"/>
      </w:tblGrid>
      <w:tr w:rsidR="00C25F54" w:rsidRPr="00BB2BD7" w14:paraId="2F71070B" w14:textId="77777777" w:rsidTr="00852847">
        <w:tc>
          <w:tcPr>
            <w:tcW w:w="3397" w:type="dxa"/>
            <w:gridSpan w:val="2"/>
          </w:tcPr>
          <w:p w14:paraId="5B873123" w14:textId="77777777" w:rsidR="00C25F54" w:rsidRPr="00BB2BD7" w:rsidRDefault="00C25F54" w:rsidP="00852847">
            <w:pPr>
              <w:rPr>
                <w:rFonts w:ascii="Arial" w:hAnsi="Arial"/>
                <w:b/>
                <w:sz w:val="22"/>
                <w:szCs w:val="22"/>
              </w:rPr>
            </w:pPr>
            <w:r w:rsidRPr="00BB2BD7">
              <w:rPr>
                <w:rFonts w:ascii="Arial" w:hAnsi="Arial"/>
                <w:b/>
                <w:sz w:val="22"/>
                <w:szCs w:val="22"/>
              </w:rPr>
              <w:t>Pharmacy Name</w:t>
            </w:r>
          </w:p>
        </w:tc>
        <w:tc>
          <w:tcPr>
            <w:tcW w:w="4962" w:type="dxa"/>
            <w:gridSpan w:val="2"/>
          </w:tcPr>
          <w:p w14:paraId="6C74FD14" w14:textId="77777777" w:rsidR="00C25F54" w:rsidRPr="00BB2BD7" w:rsidRDefault="00C25F54" w:rsidP="0085284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1DE1A6" w14:textId="77777777" w:rsidR="00C25F54" w:rsidRPr="00BB2BD7" w:rsidRDefault="00C25F54" w:rsidP="00852847">
            <w:pPr>
              <w:rPr>
                <w:rFonts w:ascii="Arial" w:hAnsi="Arial"/>
                <w:b/>
                <w:sz w:val="22"/>
                <w:szCs w:val="22"/>
              </w:rPr>
            </w:pPr>
            <w:r w:rsidRPr="00BB2BD7">
              <w:rPr>
                <w:rFonts w:ascii="Arial" w:hAnsi="Arial"/>
                <w:b/>
                <w:sz w:val="22"/>
                <w:szCs w:val="22"/>
              </w:rPr>
              <w:t>SOP version</w:t>
            </w:r>
          </w:p>
        </w:tc>
        <w:tc>
          <w:tcPr>
            <w:tcW w:w="1134" w:type="dxa"/>
          </w:tcPr>
          <w:p w14:paraId="18668109" w14:textId="77777777" w:rsidR="00C25F54" w:rsidRPr="00BB2BD7" w:rsidRDefault="00C25F54" w:rsidP="0085284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25F54" w:rsidRPr="00BB2BD7" w14:paraId="278EDDA3" w14:textId="77777777" w:rsidTr="00852847">
        <w:tc>
          <w:tcPr>
            <w:tcW w:w="3397" w:type="dxa"/>
            <w:gridSpan w:val="2"/>
          </w:tcPr>
          <w:p w14:paraId="1E28037F" w14:textId="77777777" w:rsidR="00C25F54" w:rsidRPr="00BB2BD7" w:rsidRDefault="00C25F54" w:rsidP="00852847">
            <w:pPr>
              <w:rPr>
                <w:rFonts w:ascii="Arial" w:hAnsi="Arial"/>
                <w:b/>
                <w:sz w:val="22"/>
                <w:szCs w:val="22"/>
              </w:rPr>
            </w:pPr>
            <w:r w:rsidRPr="00BB2BD7">
              <w:rPr>
                <w:rFonts w:ascii="Arial" w:hAnsi="Arial"/>
                <w:b/>
                <w:sz w:val="22"/>
                <w:szCs w:val="22"/>
              </w:rPr>
              <w:t>Date of SOP preparation:</w:t>
            </w:r>
          </w:p>
        </w:tc>
        <w:tc>
          <w:tcPr>
            <w:tcW w:w="2268" w:type="dxa"/>
          </w:tcPr>
          <w:p w14:paraId="001AD218" w14:textId="77777777" w:rsidR="00C25F54" w:rsidRPr="00BB2BD7" w:rsidRDefault="00C25F54" w:rsidP="0085284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1FFA839D" w14:textId="77777777" w:rsidR="00C25F54" w:rsidRPr="00BB2BD7" w:rsidRDefault="00C25F54" w:rsidP="00852847">
            <w:pPr>
              <w:rPr>
                <w:rFonts w:ascii="Arial" w:hAnsi="Arial"/>
                <w:b/>
                <w:sz w:val="22"/>
                <w:szCs w:val="22"/>
              </w:rPr>
            </w:pPr>
            <w:r w:rsidRPr="00BB2BD7">
              <w:rPr>
                <w:rFonts w:ascii="Arial" w:hAnsi="Arial"/>
                <w:b/>
                <w:sz w:val="22"/>
                <w:szCs w:val="22"/>
              </w:rPr>
              <w:t>Date SOP effective from:</w:t>
            </w:r>
          </w:p>
        </w:tc>
        <w:tc>
          <w:tcPr>
            <w:tcW w:w="1134" w:type="dxa"/>
          </w:tcPr>
          <w:p w14:paraId="6897EDE8" w14:textId="77777777" w:rsidR="00C25F54" w:rsidRPr="00BB2BD7" w:rsidRDefault="00C25F54" w:rsidP="0085284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25F54" w:rsidRPr="00BB2BD7" w14:paraId="7E5A969C" w14:textId="77777777" w:rsidTr="00852847">
        <w:tc>
          <w:tcPr>
            <w:tcW w:w="3397" w:type="dxa"/>
            <w:gridSpan w:val="2"/>
          </w:tcPr>
          <w:p w14:paraId="2ED96F76" w14:textId="77777777" w:rsidR="00C25F54" w:rsidRPr="00BB2BD7" w:rsidRDefault="00C25F54" w:rsidP="00852847">
            <w:pPr>
              <w:rPr>
                <w:rFonts w:ascii="Arial" w:hAnsi="Arial"/>
                <w:b/>
                <w:sz w:val="22"/>
                <w:szCs w:val="22"/>
              </w:rPr>
            </w:pPr>
            <w:r w:rsidRPr="00BB2BD7">
              <w:rPr>
                <w:rFonts w:ascii="Arial" w:hAnsi="Arial"/>
                <w:b/>
                <w:sz w:val="22"/>
                <w:szCs w:val="22"/>
              </w:rPr>
              <w:t>SOP prepared by:</w:t>
            </w:r>
          </w:p>
        </w:tc>
        <w:tc>
          <w:tcPr>
            <w:tcW w:w="2268" w:type="dxa"/>
          </w:tcPr>
          <w:p w14:paraId="6695D303" w14:textId="77777777" w:rsidR="00C25F54" w:rsidRPr="00BB2BD7" w:rsidRDefault="00C25F54" w:rsidP="0085284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1CCD0F6E" w14:textId="77777777" w:rsidR="00C25F54" w:rsidRPr="00BB2BD7" w:rsidRDefault="00C25F54" w:rsidP="00852847">
            <w:pPr>
              <w:rPr>
                <w:rFonts w:ascii="Arial" w:hAnsi="Arial"/>
                <w:b/>
                <w:sz w:val="22"/>
                <w:szCs w:val="22"/>
              </w:rPr>
            </w:pPr>
            <w:r w:rsidRPr="00BB2BD7">
              <w:rPr>
                <w:rFonts w:ascii="Arial" w:hAnsi="Arial"/>
                <w:b/>
                <w:sz w:val="22"/>
                <w:szCs w:val="22"/>
              </w:rPr>
              <w:t>Review date for SOP:</w:t>
            </w:r>
          </w:p>
        </w:tc>
        <w:tc>
          <w:tcPr>
            <w:tcW w:w="1134" w:type="dxa"/>
          </w:tcPr>
          <w:p w14:paraId="01D5B3AD" w14:textId="77777777" w:rsidR="00C25F54" w:rsidRPr="00BB2BD7" w:rsidRDefault="00C25F54" w:rsidP="0085284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25F54" w:rsidRPr="00BB2BD7" w14:paraId="7BDB0363" w14:textId="77777777" w:rsidTr="00852847">
        <w:tc>
          <w:tcPr>
            <w:tcW w:w="562" w:type="dxa"/>
          </w:tcPr>
          <w:p w14:paraId="7450E9AA" w14:textId="77777777" w:rsidR="00C25F54" w:rsidRPr="008F3BEB" w:rsidRDefault="00C25F54" w:rsidP="0085284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10632" w:type="dxa"/>
            <w:gridSpan w:val="5"/>
          </w:tcPr>
          <w:p w14:paraId="5F210D6D" w14:textId="77777777" w:rsidR="00C25F54" w:rsidRPr="008F3BEB" w:rsidRDefault="00C25F54" w:rsidP="00852847">
            <w:pPr>
              <w:rPr>
                <w:rFonts w:ascii="Arial" w:hAnsi="Arial"/>
                <w:b/>
                <w:sz w:val="22"/>
                <w:szCs w:val="22"/>
              </w:rPr>
            </w:pPr>
            <w:r w:rsidRPr="008F3BEB">
              <w:rPr>
                <w:rFonts w:ascii="Arial" w:hAnsi="Arial"/>
                <w:b/>
                <w:sz w:val="22"/>
                <w:szCs w:val="22"/>
              </w:rPr>
              <w:t>Records</w:t>
            </w:r>
          </w:p>
          <w:p w14:paraId="120CF361" w14:textId="77777777" w:rsidR="00C25F54" w:rsidRPr="00BB2BD7" w:rsidRDefault="00C25F54" w:rsidP="00852847">
            <w:pPr>
              <w:rPr>
                <w:rFonts w:ascii="Arial" w:hAnsi="Arial"/>
                <w:sz w:val="22"/>
                <w:szCs w:val="22"/>
              </w:rPr>
            </w:pPr>
            <w:r w:rsidRPr="00BB2BD7">
              <w:rPr>
                <w:rFonts w:ascii="Arial" w:hAnsi="Arial"/>
                <w:sz w:val="22"/>
                <w:szCs w:val="22"/>
              </w:rPr>
              <w:t xml:space="preserve">The following records must be made of the </w:t>
            </w:r>
            <w:r>
              <w:rPr>
                <w:rFonts w:ascii="Arial" w:hAnsi="Arial"/>
                <w:sz w:val="22"/>
                <w:szCs w:val="22"/>
              </w:rPr>
              <w:t>TCAM interaction</w:t>
            </w:r>
            <w:r w:rsidRPr="00BB2BD7">
              <w:rPr>
                <w:rFonts w:ascii="Arial" w:hAnsi="Arial"/>
                <w:sz w:val="22"/>
                <w:szCs w:val="22"/>
              </w:rPr>
              <w:t xml:space="preserve"> as part of this scheme: </w:t>
            </w:r>
          </w:p>
          <w:p w14:paraId="15E18F7B" w14:textId="77777777" w:rsidR="00C25F54" w:rsidRPr="0065773C" w:rsidRDefault="00C25F54" w:rsidP="00C25F5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proofErr w:type="spellStart"/>
            <w:r w:rsidRPr="00BB2BD7">
              <w:rPr>
                <w:rFonts w:ascii="Arial" w:hAnsi="Arial"/>
                <w:sz w:val="22"/>
                <w:szCs w:val="22"/>
              </w:rPr>
              <w:t>PharmOutcomes</w:t>
            </w:r>
            <w:proofErr w:type="spellEnd"/>
            <w:r w:rsidRPr="00BB2BD7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completed.</w:t>
            </w:r>
          </w:p>
          <w:p w14:paraId="094A20DA" w14:textId="77777777" w:rsidR="00C25F54" w:rsidRPr="00BB2BD7" w:rsidRDefault="00C25F54" w:rsidP="00C25F5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BB2BD7">
              <w:rPr>
                <w:rFonts w:ascii="Arial" w:hAnsi="Arial"/>
                <w:sz w:val="22"/>
                <w:szCs w:val="22"/>
              </w:rPr>
              <w:t>Patient Medication Record (PMR) Records.</w:t>
            </w:r>
          </w:p>
        </w:tc>
      </w:tr>
      <w:tr w:rsidR="00C25F54" w:rsidRPr="00BB2BD7" w14:paraId="35F0D742" w14:textId="77777777" w:rsidTr="00852847">
        <w:tc>
          <w:tcPr>
            <w:tcW w:w="11194" w:type="dxa"/>
            <w:gridSpan w:val="6"/>
          </w:tcPr>
          <w:p w14:paraId="1C1DF603" w14:textId="77777777" w:rsidR="00C25F54" w:rsidRPr="00BB2BD7" w:rsidRDefault="00C25F54" w:rsidP="00852847">
            <w:pPr>
              <w:rPr>
                <w:rFonts w:ascii="Arial" w:hAnsi="Arial"/>
                <w:b/>
                <w:sz w:val="22"/>
                <w:szCs w:val="22"/>
              </w:rPr>
            </w:pPr>
            <w:r w:rsidRPr="00BB2BD7">
              <w:rPr>
                <w:rFonts w:ascii="Arial" w:hAnsi="Arial"/>
                <w:b/>
                <w:sz w:val="22"/>
                <w:szCs w:val="22"/>
              </w:rPr>
              <w:t>Clinical Governance</w:t>
            </w:r>
          </w:p>
          <w:p w14:paraId="44738D1C" w14:textId="77777777" w:rsidR="00C25F54" w:rsidRPr="00BB2BD7" w:rsidRDefault="00C25F54" w:rsidP="00852847">
            <w:pPr>
              <w:rPr>
                <w:rFonts w:ascii="Arial" w:hAnsi="Arial"/>
                <w:sz w:val="22"/>
                <w:szCs w:val="22"/>
              </w:rPr>
            </w:pPr>
            <w:r w:rsidRPr="00BB2BD7">
              <w:rPr>
                <w:rFonts w:ascii="Arial" w:hAnsi="Arial"/>
                <w:sz w:val="22"/>
                <w:szCs w:val="22"/>
              </w:rPr>
              <w:t>Confidentiality is a matter of both law and ethics. All staff must respect the confidentiality of information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BB2BD7">
              <w:rPr>
                <w:rFonts w:ascii="Arial" w:hAnsi="Arial"/>
                <w:sz w:val="22"/>
                <w:szCs w:val="22"/>
              </w:rPr>
              <w:t>relating to the patient and their family acquired in the course of</w:t>
            </w:r>
            <w:r>
              <w:rPr>
                <w:rFonts w:ascii="Arial" w:hAnsi="Arial"/>
                <w:sz w:val="22"/>
                <w:szCs w:val="22"/>
              </w:rPr>
              <w:t xml:space="preserve"> this scheme</w:t>
            </w:r>
            <w:r w:rsidRPr="00BB2BD7">
              <w:rPr>
                <w:rFonts w:ascii="Arial" w:hAnsi="Arial"/>
                <w:sz w:val="22"/>
                <w:szCs w:val="22"/>
              </w:rPr>
              <w:t>. Such information should not be disclosed to anyone without the consent of the patient.</w:t>
            </w:r>
          </w:p>
          <w:p w14:paraId="1FF9319B" w14:textId="77777777" w:rsidR="00C25F54" w:rsidRPr="00BB2BD7" w:rsidRDefault="00C25F54" w:rsidP="00852847">
            <w:pPr>
              <w:rPr>
                <w:rFonts w:ascii="Arial" w:hAnsi="Arial"/>
                <w:sz w:val="22"/>
                <w:szCs w:val="22"/>
              </w:rPr>
            </w:pPr>
            <w:r w:rsidRPr="00BB2BD7">
              <w:rPr>
                <w:rFonts w:ascii="Arial" w:hAnsi="Arial"/>
                <w:sz w:val="22"/>
                <w:szCs w:val="22"/>
              </w:rPr>
              <w:t>All forms and paperwork containing personal information of a patient should not be left unattended and must be kept securely when not in use, to prevent any unauthorised access to the data.</w:t>
            </w:r>
          </w:p>
        </w:tc>
      </w:tr>
      <w:tr w:rsidR="00C25F54" w:rsidRPr="00BB2BD7" w14:paraId="71663BE2" w14:textId="77777777" w:rsidTr="00852847">
        <w:tc>
          <w:tcPr>
            <w:tcW w:w="11194" w:type="dxa"/>
            <w:gridSpan w:val="6"/>
          </w:tcPr>
          <w:p w14:paraId="737ED18B" w14:textId="77777777" w:rsidR="00C25F54" w:rsidRPr="00BB2BD7" w:rsidRDefault="00C25F54" w:rsidP="00852847">
            <w:pPr>
              <w:rPr>
                <w:rFonts w:ascii="Arial" w:hAnsi="Arial"/>
                <w:b/>
                <w:sz w:val="22"/>
                <w:szCs w:val="22"/>
              </w:rPr>
            </w:pPr>
            <w:r w:rsidRPr="00BB2BD7">
              <w:rPr>
                <w:rFonts w:ascii="Arial" w:hAnsi="Arial"/>
                <w:b/>
                <w:sz w:val="22"/>
                <w:szCs w:val="22"/>
              </w:rPr>
              <w:t>Incident and Near Miss</w:t>
            </w:r>
          </w:p>
          <w:p w14:paraId="6339C824" w14:textId="77777777" w:rsidR="00C25F54" w:rsidRPr="00BB2BD7" w:rsidRDefault="00C25F54" w:rsidP="00852847">
            <w:pPr>
              <w:rPr>
                <w:rFonts w:ascii="Arial" w:hAnsi="Arial"/>
                <w:sz w:val="22"/>
                <w:szCs w:val="22"/>
              </w:rPr>
            </w:pPr>
            <w:r w:rsidRPr="00BB2BD7">
              <w:rPr>
                <w:rFonts w:ascii="Arial" w:hAnsi="Arial"/>
                <w:sz w:val="22"/>
                <w:szCs w:val="22"/>
              </w:rPr>
              <w:t>Any near miss or incident occurring while undertaking</w:t>
            </w:r>
            <w:r>
              <w:rPr>
                <w:rFonts w:ascii="Arial" w:hAnsi="Arial"/>
                <w:sz w:val="22"/>
                <w:szCs w:val="22"/>
              </w:rPr>
              <w:t xml:space="preserve"> the scheme</w:t>
            </w:r>
            <w:r w:rsidRPr="00BB2BD7">
              <w:rPr>
                <w:rFonts w:ascii="Arial" w:hAnsi="Arial"/>
                <w:sz w:val="22"/>
                <w:szCs w:val="22"/>
              </w:rPr>
              <w:t xml:space="preserve"> should be reported to the Responsible</w:t>
            </w:r>
          </w:p>
          <w:p w14:paraId="3ABFF6A7" w14:textId="77777777" w:rsidR="00C25F54" w:rsidRPr="00BB2BD7" w:rsidRDefault="00C25F54" w:rsidP="00852847">
            <w:pPr>
              <w:rPr>
                <w:rFonts w:ascii="Arial" w:hAnsi="Arial"/>
                <w:sz w:val="22"/>
                <w:szCs w:val="22"/>
              </w:rPr>
            </w:pPr>
            <w:r w:rsidRPr="00BB2BD7">
              <w:rPr>
                <w:rFonts w:ascii="Arial" w:hAnsi="Arial"/>
                <w:sz w:val="22"/>
                <w:szCs w:val="22"/>
              </w:rPr>
              <w:t>Pharmacist immediately. The Responsible Pharmacist must carry out any necessary action a</w:t>
            </w:r>
            <w:r>
              <w:rPr>
                <w:rFonts w:ascii="Arial" w:hAnsi="Arial"/>
                <w:sz w:val="22"/>
                <w:szCs w:val="22"/>
              </w:rPr>
              <w:t xml:space="preserve">nd report the </w:t>
            </w:r>
            <w:r w:rsidRPr="00BB2BD7">
              <w:rPr>
                <w:rFonts w:ascii="Arial" w:hAnsi="Arial"/>
                <w:sz w:val="22"/>
                <w:szCs w:val="22"/>
              </w:rPr>
              <w:t>incident / near miss as per the pharmacies own Incident Reporting policy and procedure.</w:t>
            </w:r>
          </w:p>
        </w:tc>
      </w:tr>
      <w:tr w:rsidR="00C25F54" w:rsidRPr="00BB2BD7" w14:paraId="17BBECFE" w14:textId="77777777" w:rsidTr="00852847">
        <w:tc>
          <w:tcPr>
            <w:tcW w:w="11194" w:type="dxa"/>
            <w:gridSpan w:val="6"/>
          </w:tcPr>
          <w:p w14:paraId="7A14376C" w14:textId="77777777" w:rsidR="00C25F54" w:rsidRDefault="00C25F54" w:rsidP="00852847">
            <w:pPr>
              <w:rPr>
                <w:rFonts w:ascii="Arial" w:hAnsi="Arial"/>
                <w:b/>
                <w:sz w:val="22"/>
                <w:szCs w:val="22"/>
              </w:rPr>
            </w:pPr>
            <w:r w:rsidRPr="000B569C">
              <w:rPr>
                <w:rFonts w:ascii="Arial" w:hAnsi="Arial"/>
                <w:b/>
                <w:sz w:val="22"/>
                <w:szCs w:val="22"/>
              </w:rPr>
              <w:t xml:space="preserve">Audit (Review procedure) </w:t>
            </w:r>
          </w:p>
          <w:p w14:paraId="749F20D8" w14:textId="77777777" w:rsidR="00C25F54" w:rsidRPr="000B569C" w:rsidRDefault="00C25F54" w:rsidP="00852847">
            <w:pPr>
              <w:rPr>
                <w:rFonts w:ascii="Arial" w:hAnsi="Arial"/>
                <w:sz w:val="22"/>
                <w:szCs w:val="22"/>
              </w:rPr>
            </w:pPr>
            <w:r w:rsidRPr="000B569C">
              <w:rPr>
                <w:rFonts w:ascii="Arial" w:hAnsi="Arial"/>
                <w:sz w:val="22"/>
                <w:szCs w:val="22"/>
              </w:rPr>
              <w:t>Co</w:t>
            </w:r>
            <w:r>
              <w:rPr>
                <w:rFonts w:ascii="Arial" w:hAnsi="Arial"/>
                <w:sz w:val="22"/>
                <w:szCs w:val="22"/>
              </w:rPr>
              <w:t xml:space="preserve">mpetency checks and audits will </w:t>
            </w:r>
            <w:r w:rsidRPr="000B569C">
              <w:rPr>
                <w:rFonts w:ascii="Arial" w:hAnsi="Arial"/>
                <w:sz w:val="22"/>
                <w:szCs w:val="22"/>
              </w:rPr>
              <w:t>be carried out at random intervals to ensure that every member of pharmacy staff</w:t>
            </w:r>
            <w:r>
              <w:rPr>
                <w:rFonts w:ascii="Arial" w:hAnsi="Arial"/>
                <w:sz w:val="22"/>
                <w:szCs w:val="22"/>
              </w:rPr>
              <w:t xml:space="preserve"> involved with the scheme is</w:t>
            </w:r>
            <w:r w:rsidRPr="000B569C">
              <w:rPr>
                <w:rFonts w:ascii="Arial" w:hAnsi="Arial"/>
                <w:sz w:val="22"/>
                <w:szCs w:val="22"/>
              </w:rPr>
              <w:t xml:space="preserve"> familiar and up to date with the procedure at all times. This SOP will be reviewed at least every 2 years or following any critical incident.</w:t>
            </w:r>
          </w:p>
        </w:tc>
      </w:tr>
    </w:tbl>
    <w:p w14:paraId="1F7F7CC1" w14:textId="77777777" w:rsidR="00C25F54" w:rsidRDefault="00C25F54" w:rsidP="00C25F54">
      <w:pPr>
        <w:spacing w:before="60"/>
        <w:rPr>
          <w:rFonts w:ascii="Arial" w:hAnsi="Arial"/>
        </w:rPr>
      </w:pPr>
      <w:r>
        <w:rPr>
          <w:rFonts w:ascii="Arial" w:hAnsi="Arial"/>
          <w:b/>
        </w:rPr>
        <w:t xml:space="preserve">Staff signature </w:t>
      </w:r>
      <w:r>
        <w:rPr>
          <w:rFonts w:ascii="Arial" w:hAnsi="Arial"/>
        </w:rPr>
        <w:t>(To be signed by all those working within the SOP (including locums)</w:t>
      </w:r>
    </w:p>
    <w:p w14:paraId="78E1BF97" w14:textId="77777777" w:rsidR="00C25F54" w:rsidRDefault="00C25F54" w:rsidP="00C25F54">
      <w:pPr>
        <w:spacing w:before="60"/>
        <w:rPr>
          <w:rFonts w:ascii="Arial" w:hAnsi="Arial"/>
        </w:rPr>
      </w:pPr>
      <w:r>
        <w:rPr>
          <w:rFonts w:ascii="Arial" w:hAnsi="Arial"/>
        </w:rPr>
        <w:t>I have read and understood the implications of the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7"/>
        <w:gridCol w:w="2662"/>
        <w:gridCol w:w="2684"/>
        <w:gridCol w:w="2663"/>
      </w:tblGrid>
      <w:tr w:rsidR="00C25F54" w14:paraId="7DE0CC17" w14:textId="77777777" w:rsidTr="00852847">
        <w:tc>
          <w:tcPr>
            <w:tcW w:w="2754" w:type="dxa"/>
          </w:tcPr>
          <w:p w14:paraId="07800F00" w14:textId="77777777" w:rsidR="00C25F54" w:rsidRPr="000B569C" w:rsidRDefault="00C25F54" w:rsidP="00852847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2754" w:type="dxa"/>
          </w:tcPr>
          <w:p w14:paraId="56CC3250" w14:textId="77777777" w:rsidR="00C25F54" w:rsidRPr="000B569C" w:rsidRDefault="00C25F54" w:rsidP="00852847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Job Role</w:t>
            </w:r>
          </w:p>
        </w:tc>
        <w:tc>
          <w:tcPr>
            <w:tcW w:w="2755" w:type="dxa"/>
          </w:tcPr>
          <w:p w14:paraId="72B3138E" w14:textId="77777777" w:rsidR="00C25F54" w:rsidRPr="000B569C" w:rsidRDefault="00C25F54" w:rsidP="00852847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Signature</w:t>
            </w:r>
          </w:p>
        </w:tc>
        <w:tc>
          <w:tcPr>
            <w:tcW w:w="2755" w:type="dxa"/>
          </w:tcPr>
          <w:p w14:paraId="5B022F63" w14:textId="77777777" w:rsidR="00C25F54" w:rsidRPr="000B569C" w:rsidRDefault="00C25F54" w:rsidP="00852847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</w:tr>
      <w:tr w:rsidR="00C25F54" w14:paraId="43A49E85" w14:textId="77777777" w:rsidTr="00852847">
        <w:tc>
          <w:tcPr>
            <w:tcW w:w="2754" w:type="dxa"/>
          </w:tcPr>
          <w:p w14:paraId="34029A79" w14:textId="77777777" w:rsidR="00C25F54" w:rsidRDefault="00C25F54" w:rsidP="00852847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2754" w:type="dxa"/>
          </w:tcPr>
          <w:p w14:paraId="62ECE135" w14:textId="77777777" w:rsidR="00C25F54" w:rsidRDefault="00C25F54" w:rsidP="00852847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2755" w:type="dxa"/>
          </w:tcPr>
          <w:p w14:paraId="34889282" w14:textId="77777777" w:rsidR="00C25F54" w:rsidRDefault="00C25F54" w:rsidP="00852847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2755" w:type="dxa"/>
          </w:tcPr>
          <w:p w14:paraId="76696069" w14:textId="77777777" w:rsidR="00C25F54" w:rsidRDefault="00C25F54" w:rsidP="00852847">
            <w:pPr>
              <w:spacing w:before="60"/>
              <w:rPr>
                <w:rFonts w:ascii="Arial" w:hAnsi="Arial"/>
              </w:rPr>
            </w:pPr>
          </w:p>
        </w:tc>
      </w:tr>
      <w:tr w:rsidR="00C25F54" w14:paraId="70A5A3AF" w14:textId="77777777" w:rsidTr="00852847">
        <w:tc>
          <w:tcPr>
            <w:tcW w:w="2754" w:type="dxa"/>
          </w:tcPr>
          <w:p w14:paraId="1D623041" w14:textId="77777777" w:rsidR="00C25F54" w:rsidRDefault="00C25F54" w:rsidP="00852847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2754" w:type="dxa"/>
          </w:tcPr>
          <w:p w14:paraId="5AE20295" w14:textId="77777777" w:rsidR="00C25F54" w:rsidRDefault="00C25F54" w:rsidP="00852847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2755" w:type="dxa"/>
          </w:tcPr>
          <w:p w14:paraId="2B89E738" w14:textId="77777777" w:rsidR="00C25F54" w:rsidRDefault="00C25F54" w:rsidP="00852847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2755" w:type="dxa"/>
          </w:tcPr>
          <w:p w14:paraId="6478280F" w14:textId="77777777" w:rsidR="00C25F54" w:rsidRDefault="00C25F54" w:rsidP="00852847">
            <w:pPr>
              <w:spacing w:before="60"/>
              <w:rPr>
                <w:rFonts w:ascii="Arial" w:hAnsi="Arial"/>
              </w:rPr>
            </w:pPr>
          </w:p>
        </w:tc>
      </w:tr>
      <w:tr w:rsidR="00C25F54" w14:paraId="46D19BED" w14:textId="77777777" w:rsidTr="00852847">
        <w:tc>
          <w:tcPr>
            <w:tcW w:w="2754" w:type="dxa"/>
          </w:tcPr>
          <w:p w14:paraId="1D85616B" w14:textId="77777777" w:rsidR="00C25F54" w:rsidRDefault="00C25F54" w:rsidP="00852847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2754" w:type="dxa"/>
          </w:tcPr>
          <w:p w14:paraId="20F70EA1" w14:textId="77777777" w:rsidR="00C25F54" w:rsidRDefault="00C25F54" w:rsidP="00852847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2755" w:type="dxa"/>
          </w:tcPr>
          <w:p w14:paraId="40F8F847" w14:textId="77777777" w:rsidR="00C25F54" w:rsidRDefault="00C25F54" w:rsidP="00852847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2755" w:type="dxa"/>
          </w:tcPr>
          <w:p w14:paraId="2A5981B4" w14:textId="77777777" w:rsidR="00C25F54" w:rsidRDefault="00C25F54" w:rsidP="00852847">
            <w:pPr>
              <w:spacing w:before="60"/>
              <w:rPr>
                <w:rFonts w:ascii="Arial" w:hAnsi="Arial"/>
              </w:rPr>
            </w:pPr>
          </w:p>
        </w:tc>
      </w:tr>
    </w:tbl>
    <w:p w14:paraId="72579C26" w14:textId="77777777" w:rsidR="00C25F54" w:rsidRDefault="00C25F54" w:rsidP="00C25F54">
      <w:pPr>
        <w:rPr>
          <w:rFonts w:ascii="Arial" w:hAnsi="Arial"/>
          <w:b/>
          <w:color w:val="000000"/>
        </w:rPr>
      </w:pPr>
    </w:p>
    <w:p w14:paraId="260E61D5" w14:textId="77777777" w:rsidR="00485346" w:rsidRPr="00C25F54" w:rsidRDefault="00485346" w:rsidP="00C25F54">
      <w:pPr>
        <w:rPr>
          <w:rFonts w:ascii="Arial" w:hAnsi="Arial"/>
          <w:b/>
          <w:color w:val="000000"/>
        </w:rPr>
      </w:pPr>
    </w:p>
    <w:sectPr w:rsidR="00485346" w:rsidRPr="00C25F54" w:rsidSect="00C25F5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34967"/>
    <w:multiLevelType w:val="hybridMultilevel"/>
    <w:tmpl w:val="83E6A538"/>
    <w:lvl w:ilvl="0" w:tplc="D3945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337B8"/>
    <w:multiLevelType w:val="hybridMultilevel"/>
    <w:tmpl w:val="9CC83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05CF7"/>
    <w:multiLevelType w:val="hybridMultilevel"/>
    <w:tmpl w:val="DCEC0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D31C6"/>
    <w:multiLevelType w:val="hybridMultilevel"/>
    <w:tmpl w:val="E3BAD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F54"/>
    <w:rsid w:val="00485346"/>
    <w:rsid w:val="00C25F54"/>
    <w:rsid w:val="00D4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4D6FC2"/>
  <w14:defaultImageDpi w14:val="300"/>
  <w15:docId w15:val="{B4CB6BDC-ADEC-4CB0-9340-6A0AE6FF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F54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C25F54"/>
    <w:pPr>
      <w:keepNext/>
      <w:outlineLvl w:val="0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5F54"/>
    <w:rPr>
      <w:rFonts w:ascii="Arial" w:eastAsia="Times New Roman" w:hAnsi="Arial" w:cs="Times New Roman"/>
      <w:b/>
      <w:color w:val="000000"/>
      <w:lang w:val="en-GB"/>
    </w:rPr>
  </w:style>
  <w:style w:type="table" w:styleId="TableGrid">
    <w:name w:val="Table Grid"/>
    <w:basedOn w:val="TableNormal"/>
    <w:rsid w:val="00C25F5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Chester</dc:creator>
  <cp:keywords/>
  <dc:description/>
  <cp:lastModifiedBy>Laura Chester</cp:lastModifiedBy>
  <cp:revision>1</cp:revision>
  <dcterms:created xsi:type="dcterms:W3CDTF">2019-08-06T10:26:00Z</dcterms:created>
  <dcterms:modified xsi:type="dcterms:W3CDTF">2019-08-06T10:27:00Z</dcterms:modified>
</cp:coreProperties>
</file>