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18" w:rsidRDefault="006E5386" w:rsidP="00E35692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Take Home Naloxone</w:t>
      </w:r>
      <w:r w:rsidR="00B56A18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E35692" w:rsidRPr="0062745F">
        <w:rPr>
          <w:rFonts w:ascii="Calibri" w:hAnsi="Calibri" w:cs="Calibri"/>
          <w:b/>
          <w:i/>
          <w:sz w:val="28"/>
          <w:szCs w:val="28"/>
        </w:rPr>
        <w:t>P</w:t>
      </w:r>
      <w:r w:rsidR="00B56A18">
        <w:rPr>
          <w:rFonts w:ascii="Calibri" w:hAnsi="Calibri" w:cs="Calibri"/>
          <w:b/>
          <w:i/>
          <w:sz w:val="28"/>
          <w:szCs w:val="28"/>
        </w:rPr>
        <w:t>rogramme (NSP)</w:t>
      </w:r>
      <w:r w:rsidR="00E35692" w:rsidRPr="0062745F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B56A18" w:rsidRDefault="006E5386" w:rsidP="00E35692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E</w:t>
      </w:r>
      <w:r w:rsidR="00E35692">
        <w:rPr>
          <w:rFonts w:ascii="Calibri" w:hAnsi="Calibri" w:cs="Calibri"/>
          <w:b/>
          <w:i/>
          <w:sz w:val="28"/>
          <w:szCs w:val="28"/>
        </w:rPr>
        <w:t>xample S</w:t>
      </w:r>
      <w:r w:rsidR="00B56A18">
        <w:rPr>
          <w:rFonts w:ascii="Calibri" w:hAnsi="Calibri" w:cs="Calibri"/>
          <w:b/>
          <w:i/>
          <w:sz w:val="28"/>
          <w:szCs w:val="28"/>
        </w:rPr>
        <w:t xml:space="preserve">tandard </w:t>
      </w:r>
      <w:r w:rsidR="00E35692">
        <w:rPr>
          <w:rFonts w:ascii="Calibri" w:hAnsi="Calibri" w:cs="Calibri"/>
          <w:b/>
          <w:i/>
          <w:sz w:val="28"/>
          <w:szCs w:val="28"/>
        </w:rPr>
        <w:t>O</w:t>
      </w:r>
      <w:r w:rsidR="00B56A18">
        <w:rPr>
          <w:rFonts w:ascii="Calibri" w:hAnsi="Calibri" w:cs="Calibri"/>
          <w:b/>
          <w:i/>
          <w:sz w:val="28"/>
          <w:szCs w:val="28"/>
        </w:rPr>
        <w:t xml:space="preserve">perating </w:t>
      </w:r>
      <w:r w:rsidR="00E35692">
        <w:rPr>
          <w:rFonts w:ascii="Calibri" w:hAnsi="Calibri" w:cs="Calibri"/>
          <w:b/>
          <w:i/>
          <w:sz w:val="28"/>
          <w:szCs w:val="28"/>
        </w:rPr>
        <w:t>P</w:t>
      </w:r>
      <w:r w:rsidR="00B56A18">
        <w:rPr>
          <w:rFonts w:ascii="Calibri" w:hAnsi="Calibri" w:cs="Calibri"/>
          <w:b/>
          <w:i/>
          <w:sz w:val="28"/>
          <w:szCs w:val="28"/>
        </w:rPr>
        <w:t>rocedure (SOP)</w:t>
      </w:r>
    </w:p>
    <w:p w:rsidR="00E35692" w:rsidRDefault="00E35692" w:rsidP="00E35692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(For illustration purpose only)</w:t>
      </w:r>
    </w:p>
    <w:p w:rsidR="00E35692" w:rsidRDefault="00E35692" w:rsidP="00E35692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E35692" w:rsidRPr="00E35692" w:rsidRDefault="00E35692" w:rsidP="00E35692">
      <w:pPr>
        <w:jc w:val="center"/>
        <w:rPr>
          <w:rFonts w:ascii="Calibri" w:hAnsi="Calibri" w:cs="Calibri"/>
          <w:sz w:val="28"/>
          <w:szCs w:val="28"/>
        </w:rPr>
      </w:pPr>
      <w:r w:rsidRPr="00E35692">
        <w:rPr>
          <w:rFonts w:ascii="Calibri" w:hAnsi="Calibri" w:cs="Calibri"/>
          <w:sz w:val="28"/>
          <w:szCs w:val="28"/>
        </w:rPr>
        <w:t xml:space="preserve">Minimum Standards for Adaptation by Individual </w:t>
      </w:r>
      <w:r w:rsidR="00C95CD5">
        <w:rPr>
          <w:rFonts w:ascii="Calibri" w:hAnsi="Calibri" w:cs="Calibri"/>
          <w:sz w:val="28"/>
          <w:szCs w:val="28"/>
        </w:rPr>
        <w:t>Contractors</w:t>
      </w:r>
    </w:p>
    <w:p w:rsidR="00E35692" w:rsidRPr="00E35692" w:rsidRDefault="00E35692" w:rsidP="00E35692">
      <w:pPr>
        <w:jc w:val="center"/>
        <w:rPr>
          <w:rFonts w:ascii="Calibri" w:hAnsi="Calibri" w:cs="Calibri"/>
          <w:sz w:val="28"/>
          <w:szCs w:val="28"/>
        </w:rPr>
      </w:pPr>
      <w:r w:rsidRPr="00E35692">
        <w:rPr>
          <w:rFonts w:ascii="Calibri" w:hAnsi="Calibri" w:cs="Calibri"/>
          <w:sz w:val="28"/>
          <w:szCs w:val="28"/>
        </w:rPr>
        <w:t>This SOP will need to be re-drafted for each individual pharmacy.</w:t>
      </w:r>
    </w:p>
    <w:p w:rsidR="00E35692" w:rsidRPr="0062745F" w:rsidRDefault="00E35692" w:rsidP="00E35692">
      <w:pPr>
        <w:rPr>
          <w:rFonts w:ascii="Calibri" w:hAnsi="Calibri" w:cs="Calibri"/>
          <w:b/>
          <w:i/>
          <w:sz w:val="28"/>
          <w:szCs w:val="28"/>
        </w:rPr>
      </w:pPr>
    </w:p>
    <w:p w:rsidR="00E35692" w:rsidRDefault="00E35692" w:rsidP="00E35692">
      <w:pPr>
        <w:jc w:val="center"/>
        <w:rPr>
          <w:rFonts w:ascii="Calibri" w:hAnsi="Calibri" w:cs="Calibri"/>
          <w:b/>
          <w:sz w:val="28"/>
          <w:szCs w:val="28"/>
          <w:lang w:eastAsia="en-GB"/>
        </w:rPr>
      </w:pPr>
      <w:r>
        <w:rPr>
          <w:rFonts w:ascii="Calibri" w:hAnsi="Calibri" w:cs="Calibri"/>
          <w:b/>
          <w:sz w:val="28"/>
          <w:szCs w:val="28"/>
          <w:lang w:eastAsia="en-GB"/>
        </w:rPr>
        <w:t>SOP</w:t>
      </w:r>
      <w:r w:rsidR="00B56A18">
        <w:rPr>
          <w:rFonts w:ascii="Calibri" w:hAnsi="Calibri" w:cs="Calibri"/>
          <w:b/>
          <w:sz w:val="28"/>
          <w:szCs w:val="28"/>
          <w:lang w:eastAsia="en-GB"/>
        </w:rPr>
        <w:t xml:space="preserve">: </w:t>
      </w:r>
      <w:r w:rsidRPr="0062745F">
        <w:rPr>
          <w:rFonts w:ascii="Calibri" w:hAnsi="Calibri" w:cs="Calibri"/>
          <w:b/>
          <w:sz w:val="28"/>
          <w:szCs w:val="28"/>
          <w:lang w:eastAsia="en-GB"/>
        </w:rPr>
        <w:t>COMMU</w:t>
      </w:r>
      <w:r w:rsidR="006E5386">
        <w:rPr>
          <w:rFonts w:ascii="Calibri" w:hAnsi="Calibri" w:cs="Calibri"/>
          <w:b/>
          <w:sz w:val="28"/>
          <w:szCs w:val="28"/>
          <w:lang w:eastAsia="en-GB"/>
        </w:rPr>
        <w:t>NITY PHARMACY TAKE HOME NALOXONE</w:t>
      </w:r>
      <w:r w:rsidRPr="0062745F">
        <w:rPr>
          <w:rFonts w:ascii="Calibri" w:hAnsi="Calibri" w:cs="Calibri"/>
          <w:b/>
          <w:sz w:val="28"/>
          <w:szCs w:val="28"/>
          <w:lang w:eastAsia="en-GB"/>
        </w:rPr>
        <w:t xml:space="preserve"> PROGRAMME</w:t>
      </w:r>
      <w:r>
        <w:rPr>
          <w:rFonts w:ascii="Calibri" w:hAnsi="Calibri" w:cs="Calibri"/>
          <w:b/>
          <w:sz w:val="28"/>
          <w:szCs w:val="28"/>
          <w:lang w:eastAsia="en-GB"/>
        </w:rPr>
        <w:t xml:space="preserve"> IN </w:t>
      </w:r>
    </w:p>
    <w:p w:rsidR="00E35692" w:rsidRPr="0062745F" w:rsidRDefault="00415830" w:rsidP="00E35692">
      <w:pPr>
        <w:jc w:val="center"/>
        <w:rPr>
          <w:rFonts w:ascii="Calibri" w:hAnsi="Calibri" w:cs="Calibri"/>
          <w:b/>
          <w:sz w:val="28"/>
          <w:szCs w:val="28"/>
          <w:lang w:eastAsia="en-GB"/>
        </w:rPr>
      </w:pPr>
      <w:r>
        <w:rPr>
          <w:rFonts w:ascii="Calibri" w:hAnsi="Calibri" w:cs="Calibri"/>
          <w:b/>
          <w:sz w:val="28"/>
          <w:szCs w:val="28"/>
          <w:highlight w:val="yellow"/>
          <w:lang w:eastAsia="en-GB"/>
        </w:rPr>
        <w:t>[</w:t>
      </w:r>
      <w:r w:rsidR="00E35692" w:rsidRPr="00E35692">
        <w:rPr>
          <w:rFonts w:ascii="Calibri" w:hAnsi="Calibri" w:cs="Calibri"/>
          <w:b/>
          <w:sz w:val="28"/>
          <w:szCs w:val="28"/>
          <w:highlight w:val="yellow"/>
          <w:lang w:eastAsia="en-GB"/>
        </w:rPr>
        <w:t>XXXXXXXX</w:t>
      </w:r>
      <w:r>
        <w:rPr>
          <w:rFonts w:ascii="Calibri" w:hAnsi="Calibri" w:cs="Calibri"/>
          <w:b/>
          <w:sz w:val="28"/>
          <w:szCs w:val="28"/>
          <w:lang w:eastAsia="en-GB"/>
        </w:rPr>
        <w:t>]</w:t>
      </w:r>
      <w:r w:rsidR="00E35692">
        <w:rPr>
          <w:rFonts w:ascii="Calibri" w:hAnsi="Calibri" w:cs="Calibri"/>
          <w:b/>
          <w:sz w:val="28"/>
          <w:szCs w:val="28"/>
          <w:lang w:eastAsia="en-GB"/>
        </w:rPr>
        <w:t xml:space="preserve"> PHARMACY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6E5386" w:rsidP="00E35692">
      <w:p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>Purpose</w:t>
      </w:r>
      <w:r w:rsidR="006A1782">
        <w:rPr>
          <w:rFonts w:ascii="Calibri" w:hAnsi="Calibri" w:cs="Calibri"/>
          <w:sz w:val="22"/>
          <w:szCs w:val="22"/>
          <w:lang w:eastAsia="en-GB"/>
        </w:rPr>
        <w:t>:  To reduce Drug Related Deaths (DRD) in people who use drugs through the efficient and wider distribution of naloxone in the community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6A178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A1782">
        <w:rPr>
          <w:rFonts w:ascii="Calibri" w:hAnsi="Calibri" w:cs="Calibri"/>
          <w:b/>
          <w:sz w:val="22"/>
          <w:szCs w:val="22"/>
          <w:lang w:eastAsia="en-GB"/>
        </w:rPr>
        <w:t>Scope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 xml:space="preserve">: This service is for all </w:t>
      </w:r>
      <w:r>
        <w:rPr>
          <w:rFonts w:ascii="Calibri" w:hAnsi="Calibri" w:cs="Calibri"/>
          <w:sz w:val="22"/>
          <w:szCs w:val="22"/>
          <w:lang w:eastAsia="en-GB"/>
        </w:rPr>
        <w:t>any person who uses drugs or who may witness a drug overdose in the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 xml:space="preserve"> </w:t>
      </w:r>
    </w:p>
    <w:p w:rsidR="00E35692" w:rsidRPr="0062745F" w:rsidRDefault="00B56A18" w:rsidP="00E35692">
      <w:p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Somerset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 xml:space="preserve"> a</w:t>
      </w:r>
      <w:r w:rsidR="006A1782">
        <w:rPr>
          <w:rFonts w:ascii="Calibri" w:hAnsi="Calibri" w:cs="Calibri"/>
          <w:sz w:val="22"/>
          <w:szCs w:val="22"/>
          <w:lang w:eastAsia="en-GB"/>
        </w:rPr>
        <w:t>rea.  It excludes supply to those under 16 years of age. Any person under 16 should be referred to the local specialist service.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Default="006A1782" w:rsidP="00E35692">
      <w:p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This SOP should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 xml:space="preserve"> be read alongside the </w:t>
      </w:r>
      <w:r>
        <w:rPr>
          <w:rFonts w:ascii="Calibri" w:hAnsi="Calibri" w:cs="Calibri"/>
          <w:sz w:val="22"/>
          <w:szCs w:val="22"/>
          <w:lang w:eastAsia="en-GB"/>
        </w:rPr>
        <w:t xml:space="preserve">locally commissioned 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>service specification.</w:t>
      </w:r>
    </w:p>
    <w:p w:rsidR="006A1782" w:rsidRDefault="006A178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6A1782" w:rsidRPr="0062745F" w:rsidRDefault="006A1782" w:rsidP="00E35692">
      <w:p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Any person in the pharmacy who has attended the 1-hour online training programme or have undertaken this post session may supply naloxone.  It is not a pharmacist-only service and we would encourage all staff, especially those involved in the provision of needle exchanges, to engage with the service.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6A178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A1782">
        <w:rPr>
          <w:rFonts w:ascii="Calibri" w:hAnsi="Calibri" w:cs="Calibri"/>
          <w:b/>
          <w:sz w:val="22"/>
          <w:szCs w:val="22"/>
          <w:lang w:eastAsia="en-GB"/>
        </w:rPr>
        <w:t>Procedure &amp; Process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>:</w:t>
      </w:r>
      <w:r>
        <w:rPr>
          <w:rFonts w:ascii="Calibri" w:hAnsi="Calibri" w:cs="Calibri"/>
          <w:sz w:val="22"/>
          <w:szCs w:val="22"/>
          <w:lang w:eastAsia="en-GB"/>
        </w:rPr>
        <w:t xml:space="preserve"> People who access this service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 xml:space="preserve"> must be afforded th</w:t>
      </w:r>
      <w:r>
        <w:rPr>
          <w:rFonts w:ascii="Calibri" w:hAnsi="Calibri" w:cs="Calibri"/>
          <w:sz w:val="22"/>
          <w:szCs w:val="22"/>
          <w:lang w:eastAsia="en-GB"/>
        </w:rPr>
        <w:t>e courtesy that any client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 xml:space="preserve"> or customer might expect. All </w:t>
      </w:r>
      <w:r>
        <w:rPr>
          <w:rFonts w:ascii="Calibri" w:hAnsi="Calibri" w:cs="Calibri"/>
          <w:sz w:val="22"/>
          <w:szCs w:val="22"/>
          <w:lang w:eastAsia="en-GB"/>
        </w:rPr>
        <w:t xml:space="preserve">transactions ideally would 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 xml:space="preserve">take place </w:t>
      </w:r>
      <w:r>
        <w:rPr>
          <w:rFonts w:ascii="Calibri" w:hAnsi="Calibri" w:cs="Calibri"/>
          <w:sz w:val="22"/>
          <w:szCs w:val="22"/>
          <w:lang w:eastAsia="en-GB"/>
        </w:rPr>
        <w:t>discretely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>.</w:t>
      </w:r>
      <w:r>
        <w:rPr>
          <w:rFonts w:ascii="Calibri" w:hAnsi="Calibri" w:cs="Calibri"/>
          <w:sz w:val="22"/>
          <w:szCs w:val="22"/>
          <w:lang w:eastAsia="en-GB"/>
        </w:rPr>
        <w:t xml:space="preserve"> Social distancing should be maintained throughout the transaction during the Covid-19 pandemic.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6A1782" w:rsidP="00E35692">
      <w:p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I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>f the individ</w:t>
      </w:r>
      <w:r>
        <w:rPr>
          <w:rFonts w:ascii="Calibri" w:hAnsi="Calibri" w:cs="Calibri"/>
          <w:sz w:val="22"/>
          <w:szCs w:val="22"/>
          <w:lang w:eastAsia="en-GB"/>
        </w:rPr>
        <w:t>ual is or appears to be under 16,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 xml:space="preserve"> supply health promotion material and s</w:t>
      </w:r>
      <w:r>
        <w:rPr>
          <w:rFonts w:ascii="Calibri" w:hAnsi="Calibri" w:cs="Calibri"/>
          <w:sz w:val="22"/>
          <w:szCs w:val="22"/>
          <w:lang w:eastAsia="en-GB"/>
        </w:rPr>
        <w:t>ignpost them to the specialist substance misuse service</w:t>
      </w:r>
      <w:r w:rsidR="00DB4005">
        <w:rPr>
          <w:rFonts w:ascii="Calibri" w:hAnsi="Calibri" w:cs="Calibri"/>
          <w:sz w:val="22"/>
          <w:szCs w:val="22"/>
          <w:lang w:eastAsia="en-GB"/>
        </w:rPr>
        <w:t>, except in an emergency situation when anyone can administer naloxone for the purposes of saving a life</w:t>
      </w:r>
      <w:r>
        <w:rPr>
          <w:rFonts w:ascii="Calibri" w:hAnsi="Calibri" w:cs="Calibri"/>
          <w:sz w:val="22"/>
          <w:szCs w:val="22"/>
          <w:lang w:eastAsia="en-GB"/>
        </w:rPr>
        <w:t xml:space="preserve">. 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Default="006A1782" w:rsidP="00E35692">
      <w:pPr>
        <w:rPr>
          <w:rFonts w:ascii="Calibri" w:hAnsi="Calibri" w:cs="Calibri"/>
          <w:b/>
          <w:sz w:val="22"/>
          <w:szCs w:val="22"/>
          <w:lang w:eastAsia="en-GB"/>
        </w:rPr>
      </w:pPr>
      <w:r w:rsidRPr="006A1782">
        <w:rPr>
          <w:rFonts w:ascii="Calibri" w:hAnsi="Calibri" w:cs="Calibri"/>
          <w:b/>
          <w:sz w:val="22"/>
          <w:szCs w:val="22"/>
          <w:lang w:eastAsia="en-GB"/>
        </w:rPr>
        <w:t>Procedure for the supply of naloxone</w:t>
      </w:r>
      <w:r w:rsidR="00EF414F">
        <w:rPr>
          <w:rFonts w:ascii="Calibri" w:hAnsi="Calibri" w:cs="Calibri"/>
          <w:b/>
          <w:sz w:val="22"/>
          <w:szCs w:val="22"/>
          <w:lang w:eastAsia="en-GB"/>
        </w:rPr>
        <w:t xml:space="preserve"> (proactive and reactive supply)</w:t>
      </w:r>
    </w:p>
    <w:p w:rsidR="00B80583" w:rsidRPr="006A1782" w:rsidRDefault="00B80583" w:rsidP="00E35692">
      <w:pPr>
        <w:rPr>
          <w:rFonts w:ascii="Calibri" w:hAnsi="Calibri" w:cs="Calibri"/>
          <w:b/>
          <w:sz w:val="22"/>
          <w:szCs w:val="22"/>
          <w:lang w:eastAsia="en-GB"/>
        </w:rPr>
      </w:pPr>
    </w:p>
    <w:p w:rsidR="00E35692" w:rsidRPr="0062745F" w:rsidRDefault="00E35692" w:rsidP="00E35692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 xml:space="preserve">Welcome the individual 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F414F" w:rsidRPr="00B80583" w:rsidRDefault="00EF414F" w:rsidP="00B80583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If the individual attends for a needle exchange or to collect their Opioid Substitution Prescription (OST) prescription then ask them if they have naloxone (proactive supply)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Default="006A1782" w:rsidP="00E35692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If they do not </w:t>
      </w:r>
      <w:r w:rsidR="00EF414F">
        <w:rPr>
          <w:rFonts w:ascii="Calibri" w:hAnsi="Calibri" w:cs="Calibri"/>
          <w:sz w:val="22"/>
          <w:szCs w:val="22"/>
          <w:lang w:eastAsia="en-GB"/>
        </w:rPr>
        <w:t xml:space="preserve">have naloxone, </w:t>
      </w:r>
      <w:r>
        <w:rPr>
          <w:rFonts w:ascii="Calibri" w:hAnsi="Calibri" w:cs="Calibri"/>
          <w:sz w:val="22"/>
          <w:szCs w:val="22"/>
          <w:lang w:eastAsia="en-GB"/>
        </w:rPr>
        <w:t xml:space="preserve">ask them to take a naloxone and explain the benefits of </w:t>
      </w:r>
      <w:r w:rsidR="00EF414F">
        <w:rPr>
          <w:rFonts w:ascii="Calibri" w:hAnsi="Calibri" w:cs="Calibri"/>
          <w:sz w:val="22"/>
          <w:szCs w:val="22"/>
          <w:lang w:eastAsia="en-GB"/>
        </w:rPr>
        <w:t xml:space="preserve">them having </w:t>
      </w:r>
      <w:r>
        <w:rPr>
          <w:rFonts w:ascii="Calibri" w:hAnsi="Calibri" w:cs="Calibri"/>
          <w:sz w:val="22"/>
          <w:szCs w:val="22"/>
          <w:lang w:eastAsia="en-GB"/>
        </w:rPr>
        <w:t xml:space="preserve">the naloxone </w:t>
      </w:r>
      <w:r w:rsidR="00EF414F">
        <w:rPr>
          <w:rFonts w:ascii="Calibri" w:hAnsi="Calibri" w:cs="Calibri"/>
          <w:sz w:val="22"/>
          <w:szCs w:val="22"/>
          <w:lang w:eastAsia="en-GB"/>
        </w:rPr>
        <w:t xml:space="preserve">to keep </w:t>
      </w:r>
      <w:r>
        <w:rPr>
          <w:rFonts w:ascii="Calibri" w:hAnsi="Calibri" w:cs="Calibri"/>
          <w:sz w:val="22"/>
          <w:szCs w:val="22"/>
          <w:lang w:eastAsia="en-GB"/>
        </w:rPr>
        <w:t>and it’ role in reducing DRDs.  Hand them a leaflet outlining how to use naloxone and refer them to the website for further information</w:t>
      </w:r>
    </w:p>
    <w:p w:rsidR="006A1782" w:rsidRDefault="006A1782" w:rsidP="006A1782">
      <w:pPr>
        <w:pStyle w:val="ListParagraph"/>
        <w:rPr>
          <w:rFonts w:ascii="Calibri" w:hAnsi="Calibri" w:cs="Calibri"/>
          <w:sz w:val="22"/>
          <w:szCs w:val="22"/>
          <w:lang w:eastAsia="en-GB"/>
        </w:rPr>
      </w:pPr>
    </w:p>
    <w:p w:rsidR="006A1782" w:rsidRPr="006A1782" w:rsidRDefault="006A1782" w:rsidP="006A1782">
      <w:pPr>
        <w:ind w:left="360"/>
        <w:rPr>
          <w:rFonts w:ascii="Calibri" w:hAnsi="Calibri" w:cs="Calibri"/>
          <w:b/>
          <w:sz w:val="22"/>
          <w:szCs w:val="22"/>
          <w:lang w:eastAsia="en-GB"/>
        </w:rPr>
      </w:pPr>
      <w:r w:rsidRPr="006A1782">
        <w:rPr>
          <w:rFonts w:ascii="Calibri" w:hAnsi="Calibri" w:cs="Calibri"/>
          <w:b/>
          <w:sz w:val="22"/>
          <w:szCs w:val="22"/>
          <w:lang w:eastAsia="en-GB"/>
        </w:rPr>
        <w:t xml:space="preserve">Note – the service is a supply-only service so a comprehensive discussion of harm reduction and/or basic lifesaving is not required.  The member of staff can direct the client to the naloxone website for further information.  If the client has never been supplied with naloxone </w:t>
      </w:r>
      <w:r w:rsidRPr="006A1782">
        <w:rPr>
          <w:rFonts w:ascii="Calibri" w:hAnsi="Calibri" w:cs="Calibri"/>
          <w:b/>
          <w:sz w:val="22"/>
          <w:szCs w:val="22"/>
          <w:lang w:eastAsia="en-GB"/>
        </w:rPr>
        <w:lastRenderedPageBreak/>
        <w:t>before</w:t>
      </w:r>
      <w:r>
        <w:rPr>
          <w:rFonts w:ascii="Calibri" w:hAnsi="Calibri" w:cs="Calibri"/>
          <w:b/>
          <w:sz w:val="22"/>
          <w:szCs w:val="22"/>
          <w:lang w:eastAsia="en-GB"/>
        </w:rPr>
        <w:t>,</w:t>
      </w:r>
      <w:r w:rsidRPr="006A1782">
        <w:rPr>
          <w:rFonts w:ascii="Calibri" w:hAnsi="Calibri" w:cs="Calibri"/>
          <w:b/>
          <w:sz w:val="22"/>
          <w:szCs w:val="22"/>
          <w:lang w:eastAsia="en-GB"/>
        </w:rPr>
        <w:t xml:space="preserve"> then </w:t>
      </w:r>
      <w:r>
        <w:rPr>
          <w:rFonts w:ascii="Calibri" w:hAnsi="Calibri" w:cs="Calibri"/>
          <w:b/>
          <w:sz w:val="22"/>
          <w:szCs w:val="22"/>
          <w:lang w:eastAsia="en-GB"/>
        </w:rPr>
        <w:t xml:space="preserve">provide </w:t>
      </w:r>
      <w:r w:rsidRPr="006A1782">
        <w:rPr>
          <w:rFonts w:ascii="Calibri" w:hAnsi="Calibri" w:cs="Calibri"/>
          <w:b/>
          <w:sz w:val="22"/>
          <w:szCs w:val="22"/>
          <w:lang w:eastAsia="en-GB"/>
        </w:rPr>
        <w:t xml:space="preserve">a quick review of dosing using </w:t>
      </w:r>
      <w:r>
        <w:rPr>
          <w:rFonts w:ascii="Calibri" w:hAnsi="Calibri" w:cs="Calibri"/>
          <w:b/>
          <w:sz w:val="22"/>
          <w:szCs w:val="22"/>
          <w:lang w:eastAsia="en-GB"/>
        </w:rPr>
        <w:t>the placebo pack</w:t>
      </w:r>
      <w:r w:rsidRPr="006A1782">
        <w:rPr>
          <w:rFonts w:ascii="Calibri" w:hAnsi="Calibri" w:cs="Calibri"/>
          <w:b/>
          <w:sz w:val="22"/>
          <w:szCs w:val="22"/>
          <w:lang w:eastAsia="en-GB"/>
        </w:rPr>
        <w:t>.  Please refer to the online training programme for examples on how to supply.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6A1782" w:rsidRDefault="006A1782" w:rsidP="00E35692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If the individual states they do not want naloxone then do not force the agenda.  Accept this but inform them that it is available in the pharmacy if they want a supply in the future</w:t>
      </w:r>
      <w:r w:rsidR="00EF414F">
        <w:rPr>
          <w:rFonts w:ascii="Calibri" w:hAnsi="Calibri" w:cs="Calibri"/>
          <w:sz w:val="22"/>
          <w:szCs w:val="22"/>
          <w:lang w:eastAsia="en-GB"/>
        </w:rPr>
        <w:t>. Ask again at a later date if you feel it appropriate.</w:t>
      </w:r>
    </w:p>
    <w:p w:rsidR="00EF414F" w:rsidRDefault="00EF414F" w:rsidP="00B80583">
      <w:pPr>
        <w:ind w:left="360"/>
        <w:rPr>
          <w:rFonts w:ascii="Calibri" w:hAnsi="Calibri" w:cs="Calibri"/>
          <w:sz w:val="22"/>
          <w:szCs w:val="22"/>
          <w:lang w:eastAsia="en-GB"/>
        </w:rPr>
      </w:pPr>
    </w:p>
    <w:p w:rsidR="006A1782" w:rsidRDefault="006A1782" w:rsidP="006A1782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 xml:space="preserve">If appropriate, ask if the individual </w:t>
      </w:r>
      <w:r>
        <w:rPr>
          <w:rFonts w:ascii="Calibri" w:hAnsi="Calibri" w:cs="Calibri"/>
          <w:sz w:val="22"/>
          <w:szCs w:val="22"/>
          <w:lang w:eastAsia="en-GB"/>
        </w:rPr>
        <w:t xml:space="preserve">has any concerns or problems. Harm reduction messages can be provided, for example, </w:t>
      </w:r>
      <w:r w:rsidRPr="0062745F">
        <w:rPr>
          <w:rFonts w:ascii="Calibri" w:hAnsi="Calibri" w:cs="Calibri"/>
          <w:sz w:val="22"/>
          <w:szCs w:val="22"/>
          <w:lang w:eastAsia="en-GB"/>
        </w:rPr>
        <w:t>advice and information on safer injecting and safer drug use</w:t>
      </w:r>
      <w:r>
        <w:rPr>
          <w:rFonts w:ascii="Calibri" w:hAnsi="Calibri" w:cs="Calibri"/>
          <w:sz w:val="22"/>
          <w:szCs w:val="22"/>
          <w:lang w:eastAsia="en-GB"/>
        </w:rPr>
        <w:t xml:space="preserve">. Clients may also be </w:t>
      </w:r>
      <w:r w:rsidRPr="0062745F">
        <w:rPr>
          <w:rFonts w:ascii="Calibri" w:hAnsi="Calibri" w:cs="Calibri"/>
          <w:sz w:val="22"/>
          <w:szCs w:val="22"/>
          <w:lang w:eastAsia="en-GB"/>
        </w:rPr>
        <w:t>signpost</w:t>
      </w:r>
      <w:r>
        <w:rPr>
          <w:rFonts w:ascii="Calibri" w:hAnsi="Calibri" w:cs="Calibri"/>
          <w:sz w:val="22"/>
          <w:szCs w:val="22"/>
          <w:lang w:eastAsia="en-GB"/>
        </w:rPr>
        <w:t xml:space="preserve">ed </w:t>
      </w:r>
      <w:r w:rsidRPr="0062745F">
        <w:rPr>
          <w:rFonts w:ascii="Calibri" w:hAnsi="Calibri" w:cs="Calibri"/>
          <w:sz w:val="22"/>
          <w:szCs w:val="22"/>
          <w:lang w:eastAsia="en-GB"/>
        </w:rPr>
        <w:t>towards more specialised open access and/or drug and alcohol treatment services i</w:t>
      </w:r>
      <w:r>
        <w:rPr>
          <w:rFonts w:ascii="Calibri" w:hAnsi="Calibri" w:cs="Calibri"/>
          <w:sz w:val="22"/>
          <w:szCs w:val="22"/>
          <w:lang w:eastAsia="en-GB"/>
        </w:rPr>
        <w:t>f appropriate, for example, clients using the needle exchange service who are currently not engaging in treatment.</w:t>
      </w:r>
      <w:r w:rsidRPr="0062745F">
        <w:rPr>
          <w:rFonts w:ascii="Calibri" w:hAnsi="Calibri" w:cs="Calibri"/>
          <w:sz w:val="22"/>
          <w:szCs w:val="22"/>
          <w:lang w:eastAsia="en-GB"/>
        </w:rPr>
        <w:t xml:space="preserve"> </w:t>
      </w:r>
    </w:p>
    <w:p w:rsidR="00E35692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F414F" w:rsidRPr="0062745F" w:rsidRDefault="00EF414F" w:rsidP="00EF414F">
      <w:pPr>
        <w:numPr>
          <w:ilvl w:val="0"/>
          <w:numId w:val="2"/>
        </w:numPr>
        <w:ind w:left="36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If an individual actively asks for naloxone (reactive supply) please supply them with the amount requested referring to the procedure above.</w:t>
      </w:r>
    </w:p>
    <w:p w:rsidR="00EF414F" w:rsidRPr="0062745F" w:rsidRDefault="00EF414F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A1782" w:rsidRDefault="006A1782" w:rsidP="00E35692">
      <w:pPr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>Records: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A1782" w:rsidRDefault="006A1782" w:rsidP="006A1782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  <w:lang w:eastAsia="en-GB"/>
        </w:rPr>
      </w:pPr>
      <w:r w:rsidRPr="006A1782">
        <w:rPr>
          <w:rFonts w:ascii="Calibri" w:hAnsi="Calibri" w:cs="Calibri"/>
          <w:sz w:val="22"/>
          <w:szCs w:val="22"/>
          <w:lang w:eastAsia="en-GB"/>
        </w:rPr>
        <w:t>Ensure that a PharmOutcomes record is recorded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A1782" w:rsidRDefault="006A1782" w:rsidP="006A1782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A member of staff in the pharmacy</w:t>
      </w:r>
      <w:r w:rsidR="00E35692" w:rsidRPr="006A1782">
        <w:rPr>
          <w:rFonts w:ascii="Calibri" w:hAnsi="Calibri" w:cs="Calibri"/>
          <w:sz w:val="22"/>
          <w:szCs w:val="22"/>
          <w:lang w:eastAsia="en-GB"/>
        </w:rPr>
        <w:t xml:space="preserve"> m</w:t>
      </w:r>
      <w:r>
        <w:rPr>
          <w:rFonts w:ascii="Calibri" w:hAnsi="Calibri" w:cs="Calibri"/>
          <w:sz w:val="22"/>
          <w:szCs w:val="22"/>
          <w:lang w:eastAsia="en-GB"/>
        </w:rPr>
        <w:t>ust ensure that sufficient naloxone stock is</w:t>
      </w:r>
      <w:r w:rsidR="00E35692" w:rsidRPr="006A1782">
        <w:rPr>
          <w:rFonts w:ascii="Calibri" w:hAnsi="Calibri" w:cs="Calibri"/>
          <w:sz w:val="22"/>
          <w:szCs w:val="22"/>
          <w:lang w:eastAsia="en-GB"/>
        </w:rPr>
        <w:t xml:space="preserve"> available to provide the servi</w:t>
      </w:r>
      <w:r>
        <w:rPr>
          <w:rFonts w:ascii="Calibri" w:hAnsi="Calibri" w:cs="Calibri"/>
          <w:sz w:val="22"/>
          <w:szCs w:val="22"/>
          <w:lang w:eastAsia="en-GB"/>
        </w:rPr>
        <w:t>ce. Stock can be ordered from your local wholesaler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Default="006A1782" w:rsidP="00E35692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Any used naloxone syringes returned to the pharmacy should be in a sealed sharps bin or a sealed Prenoxad case</w:t>
      </w:r>
      <w:r w:rsidR="00EF414F">
        <w:rPr>
          <w:rFonts w:ascii="Calibri" w:hAnsi="Calibri" w:cs="Calibri"/>
          <w:sz w:val="22"/>
          <w:szCs w:val="22"/>
          <w:lang w:eastAsia="en-GB"/>
        </w:rPr>
        <w:t>, which then goes in the sharps waste.</w:t>
      </w:r>
    </w:p>
    <w:p w:rsidR="006A1782" w:rsidRPr="006A1782" w:rsidRDefault="006A1782" w:rsidP="006A1782">
      <w:pPr>
        <w:pStyle w:val="ListParagraph"/>
        <w:rPr>
          <w:rFonts w:ascii="Calibri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84"/>
        <w:gridCol w:w="4474"/>
      </w:tblGrid>
      <w:tr w:rsidR="006A1782" w:rsidTr="006A1782"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Named trained staff</w:t>
            </w:r>
          </w:p>
        </w:tc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Role</w:t>
            </w:r>
          </w:p>
        </w:tc>
      </w:tr>
      <w:tr w:rsidR="006A1782" w:rsidTr="006A1782"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6A1782" w:rsidTr="006A1782"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6A1782" w:rsidTr="006A1782"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6A1782" w:rsidTr="006A1782"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6A1782" w:rsidTr="006A1782"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6A1782" w:rsidTr="006A1782"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6A1782" w:rsidTr="006A1782"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21" w:type="dxa"/>
          </w:tcPr>
          <w:p w:rsidR="006A1782" w:rsidRDefault="006A1782" w:rsidP="006A178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:rsidR="006A1782" w:rsidRPr="006A1782" w:rsidRDefault="006A1782" w:rsidP="006A1782">
      <w:pPr>
        <w:pStyle w:val="ListParagraph"/>
        <w:ind w:left="284"/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 xml:space="preserve">Review of Standing Operating Procedure: </w:t>
      </w:r>
    </w:p>
    <w:p w:rsidR="00415830" w:rsidRPr="0062745F" w:rsidRDefault="00415830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6A1782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>Thi</w:t>
      </w:r>
      <w:r w:rsidR="006A1782">
        <w:rPr>
          <w:rFonts w:ascii="Calibri" w:hAnsi="Calibri" w:cs="Calibri"/>
          <w:sz w:val="22"/>
          <w:szCs w:val="22"/>
          <w:lang w:eastAsia="en-GB"/>
        </w:rPr>
        <w:t>s procedure shall be reviewed:</w:t>
      </w:r>
    </w:p>
    <w:p w:rsidR="006A1782" w:rsidRDefault="006A1782" w:rsidP="006A1782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Every two years</w:t>
      </w:r>
    </w:p>
    <w:p w:rsidR="006A1782" w:rsidRDefault="006A1782" w:rsidP="006A1782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F</w:t>
      </w:r>
      <w:r w:rsidR="00E35692" w:rsidRPr="006A1782">
        <w:rPr>
          <w:rFonts w:ascii="Calibri" w:hAnsi="Calibri" w:cs="Calibri"/>
          <w:sz w:val="22"/>
          <w:szCs w:val="22"/>
          <w:lang w:eastAsia="en-GB"/>
        </w:rPr>
        <w:t>ollowi</w:t>
      </w:r>
      <w:r>
        <w:rPr>
          <w:rFonts w:ascii="Calibri" w:hAnsi="Calibri" w:cs="Calibri"/>
          <w:sz w:val="22"/>
          <w:szCs w:val="22"/>
          <w:lang w:eastAsia="en-GB"/>
        </w:rPr>
        <w:t>ng an incident</w:t>
      </w:r>
      <w:r w:rsidR="00E35692" w:rsidRPr="006A1782">
        <w:rPr>
          <w:rFonts w:ascii="Calibri" w:hAnsi="Calibri" w:cs="Calibri"/>
          <w:sz w:val="22"/>
          <w:szCs w:val="22"/>
          <w:lang w:eastAsia="en-GB"/>
        </w:rPr>
        <w:t xml:space="preserve"> and/or </w:t>
      </w:r>
    </w:p>
    <w:p w:rsidR="006A1782" w:rsidRDefault="006A1782" w:rsidP="006A1782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W</w:t>
      </w:r>
      <w:r w:rsidR="00E35692" w:rsidRPr="006A1782">
        <w:rPr>
          <w:rFonts w:ascii="Calibri" w:hAnsi="Calibri" w:cs="Calibri"/>
          <w:sz w:val="22"/>
          <w:szCs w:val="22"/>
          <w:lang w:eastAsia="en-GB"/>
        </w:rPr>
        <w:t>hen the co</w:t>
      </w:r>
      <w:r>
        <w:rPr>
          <w:rFonts w:ascii="Calibri" w:hAnsi="Calibri" w:cs="Calibri"/>
          <w:sz w:val="22"/>
          <w:szCs w:val="22"/>
          <w:lang w:eastAsia="en-GB"/>
        </w:rPr>
        <w:t xml:space="preserve">ntact details require changing </w:t>
      </w:r>
      <w:r w:rsidR="00E35692" w:rsidRPr="006A1782">
        <w:rPr>
          <w:rFonts w:ascii="Calibri" w:hAnsi="Calibri" w:cs="Calibri"/>
          <w:sz w:val="22"/>
          <w:szCs w:val="22"/>
          <w:lang w:eastAsia="en-GB"/>
        </w:rPr>
        <w:t xml:space="preserve">and/or </w:t>
      </w:r>
    </w:p>
    <w:p w:rsidR="00E35692" w:rsidRPr="006A1782" w:rsidRDefault="006A1782" w:rsidP="006A1782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F</w:t>
      </w:r>
      <w:r w:rsidR="00E35692" w:rsidRPr="006A1782">
        <w:rPr>
          <w:rFonts w:ascii="Calibri" w:hAnsi="Calibri" w:cs="Calibri"/>
          <w:sz w:val="22"/>
          <w:szCs w:val="22"/>
          <w:lang w:eastAsia="en-GB"/>
        </w:rPr>
        <w:t xml:space="preserve">ollowing a change in the law; </w:t>
      </w:r>
      <w:r w:rsidRPr="006A1782">
        <w:rPr>
          <w:rFonts w:ascii="Calibri" w:hAnsi="Calibri" w:cs="Calibri"/>
          <w:sz w:val="22"/>
          <w:szCs w:val="22"/>
          <w:lang w:eastAsia="en-GB"/>
        </w:rPr>
        <w:t>GPhC guidelines</w:t>
      </w:r>
      <w:r>
        <w:rPr>
          <w:rFonts w:ascii="Calibri" w:hAnsi="Calibri" w:cs="Calibri"/>
          <w:sz w:val="22"/>
          <w:szCs w:val="22"/>
          <w:lang w:eastAsia="en-GB"/>
        </w:rPr>
        <w:t>; Contractual arrangements or s</w:t>
      </w:r>
      <w:r w:rsidR="00E35692" w:rsidRPr="006A1782">
        <w:rPr>
          <w:rFonts w:ascii="Calibri" w:hAnsi="Calibri" w:cs="Calibri"/>
          <w:sz w:val="22"/>
          <w:szCs w:val="22"/>
          <w:lang w:eastAsia="en-GB"/>
        </w:rPr>
        <w:t>ervice provision from Turning Point.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6A1782" w:rsidP="00E35692">
      <w:pPr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>Known Risks of Take Home Naloxone service</w:t>
      </w:r>
      <w:r w:rsidR="00E35692" w:rsidRPr="0062745F">
        <w:rPr>
          <w:rFonts w:ascii="Calibri" w:hAnsi="Calibri" w:cs="Calibri"/>
          <w:b/>
          <w:sz w:val="22"/>
          <w:szCs w:val="22"/>
          <w:lang w:eastAsia="en-GB"/>
        </w:rPr>
        <w:t xml:space="preserve">: 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6A1782" w:rsidP="00E35692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Needle Stick injury for returns</w:t>
      </w:r>
      <w:r w:rsidR="00EF414F">
        <w:rPr>
          <w:rFonts w:ascii="Calibri" w:hAnsi="Calibri" w:cs="Calibri"/>
          <w:sz w:val="22"/>
          <w:szCs w:val="22"/>
          <w:lang w:eastAsia="en-GB"/>
        </w:rPr>
        <w:t xml:space="preserve"> if not in sealed box/sharps bin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 xml:space="preserve">Unacceptable behaviour of an individual. </w:t>
      </w:r>
      <w:r w:rsidRPr="008C3CE9">
        <w:rPr>
          <w:rFonts w:ascii="Calibri" w:hAnsi="Calibri" w:cs="Calibri"/>
          <w:sz w:val="22"/>
          <w:szCs w:val="22"/>
          <w:lang w:eastAsia="en-GB"/>
        </w:rPr>
        <w:t xml:space="preserve">Possible danger to personal safety from unacceptable behaviour. </w:t>
      </w:r>
      <w:r>
        <w:rPr>
          <w:rFonts w:ascii="Calibri" w:hAnsi="Calibri" w:cs="Calibri"/>
          <w:sz w:val="22"/>
          <w:szCs w:val="22"/>
          <w:lang w:eastAsia="en-GB"/>
        </w:rPr>
        <w:t>A</w:t>
      </w:r>
      <w:r w:rsidRPr="0062745F">
        <w:rPr>
          <w:rFonts w:ascii="Calibri" w:hAnsi="Calibri" w:cs="Calibri"/>
          <w:sz w:val="22"/>
          <w:szCs w:val="22"/>
          <w:lang w:eastAsia="en-GB"/>
        </w:rPr>
        <w:t xml:space="preserve"> general policy applicable to all pharmacy users is advised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 xml:space="preserve">Employees Shortage; busy periods resulting in shortage of adequately trained personnel so the service cannot be provided. The Pharmacy should be </w:t>
      </w:r>
      <w:r w:rsidR="006A1782">
        <w:rPr>
          <w:rFonts w:ascii="Calibri" w:hAnsi="Calibri" w:cs="Calibri"/>
          <w:sz w:val="22"/>
          <w:szCs w:val="22"/>
          <w:lang w:eastAsia="en-GB"/>
        </w:rPr>
        <w:t>able to signpost to other local providers of naloxone when this occurs.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Default="006A1782" w:rsidP="00E35692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Poor storage of </w:t>
      </w:r>
      <w:r w:rsidR="00E35692" w:rsidRPr="0062745F">
        <w:rPr>
          <w:rFonts w:ascii="Calibri" w:hAnsi="Calibri" w:cs="Calibri"/>
          <w:sz w:val="22"/>
          <w:szCs w:val="22"/>
          <w:lang w:eastAsia="en-GB"/>
        </w:rPr>
        <w:t>equipment</w:t>
      </w:r>
    </w:p>
    <w:p w:rsidR="00EF414F" w:rsidRDefault="00EF414F" w:rsidP="00B80583">
      <w:pPr>
        <w:pStyle w:val="ListParagraph"/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>I have signed to say that I have read the procedure and understand its implications: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Default="00E35692" w:rsidP="00C95CD5">
      <w:pPr>
        <w:tabs>
          <w:tab w:val="left" w:pos="2220"/>
        </w:tabs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 xml:space="preserve">Name: </w:t>
      </w:r>
      <w:r w:rsidR="00C95CD5">
        <w:rPr>
          <w:rFonts w:ascii="Calibri" w:hAnsi="Calibri" w:cs="Calibri"/>
          <w:sz w:val="22"/>
          <w:szCs w:val="22"/>
          <w:lang w:eastAsia="en-GB"/>
        </w:rPr>
        <w:tab/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>Signature: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 xml:space="preserve">Date: 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>Procedure prepared by: ____________________________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>Date effective from: ______________________________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>Date of Preparation: ______________________________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>Date of Review: _________________________________</w:t>
      </w: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</w:p>
    <w:p w:rsidR="00E35692" w:rsidRPr="0062745F" w:rsidRDefault="00E35692" w:rsidP="00E35692">
      <w:pPr>
        <w:rPr>
          <w:rFonts w:ascii="Calibri" w:hAnsi="Calibri" w:cs="Calibri"/>
          <w:sz w:val="22"/>
          <w:szCs w:val="22"/>
          <w:lang w:eastAsia="en-GB"/>
        </w:rPr>
      </w:pPr>
      <w:r w:rsidRPr="0062745F">
        <w:rPr>
          <w:rFonts w:ascii="Calibri" w:hAnsi="Calibri" w:cs="Calibri"/>
          <w:sz w:val="22"/>
          <w:szCs w:val="22"/>
          <w:lang w:eastAsia="en-GB"/>
        </w:rPr>
        <w:t>Signature: _______________________________________</w:t>
      </w:r>
    </w:p>
    <w:p w:rsidR="00A70BCD" w:rsidRDefault="00A70BCD"/>
    <w:sectPr w:rsidR="00A70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26" w:rsidRDefault="009D0626" w:rsidP="00A41EE4">
      <w:r>
        <w:separator/>
      </w:r>
    </w:p>
  </w:endnote>
  <w:endnote w:type="continuationSeparator" w:id="0">
    <w:p w:rsidR="009D0626" w:rsidRDefault="009D0626" w:rsidP="00A4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E4" w:rsidRDefault="00A41E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E4" w:rsidRDefault="00A41E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E4" w:rsidRDefault="00A41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26" w:rsidRDefault="009D0626" w:rsidP="00A41EE4">
      <w:r>
        <w:separator/>
      </w:r>
    </w:p>
  </w:footnote>
  <w:footnote w:type="continuationSeparator" w:id="0">
    <w:p w:rsidR="009D0626" w:rsidRDefault="009D0626" w:rsidP="00A4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E4" w:rsidRDefault="00A41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063392"/>
      <w:docPartObj>
        <w:docPartGallery w:val="Watermarks"/>
        <w:docPartUnique/>
      </w:docPartObj>
    </w:sdtPr>
    <w:sdtEndPr/>
    <w:sdtContent>
      <w:p w:rsidR="00A41EE4" w:rsidRDefault="009D0626">
        <w:pPr>
          <w:pStyle w:val="Header"/>
        </w:pPr>
        <w:r>
          <w:rPr>
            <w:noProof/>
            <w:lang w:val="en-US" w:eastAsia="zh-TW"/>
          </w:rPr>
          <w:pict w14:anchorId="049676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E4" w:rsidRDefault="00A41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BF"/>
    <w:multiLevelType w:val="hybridMultilevel"/>
    <w:tmpl w:val="B724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5584"/>
    <w:multiLevelType w:val="hybridMultilevel"/>
    <w:tmpl w:val="D01EB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442F8"/>
    <w:multiLevelType w:val="hybridMultilevel"/>
    <w:tmpl w:val="D218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62BCB"/>
    <w:multiLevelType w:val="hybridMultilevel"/>
    <w:tmpl w:val="B37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954A1"/>
    <w:multiLevelType w:val="hybridMultilevel"/>
    <w:tmpl w:val="CBBE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Scott">
    <w15:presenceInfo w15:providerId="None" w15:userId="Jenny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92"/>
    <w:rsid w:val="00022C1F"/>
    <w:rsid w:val="00032876"/>
    <w:rsid w:val="00065FB4"/>
    <w:rsid w:val="000867E7"/>
    <w:rsid w:val="00203702"/>
    <w:rsid w:val="00217A31"/>
    <w:rsid w:val="00371C10"/>
    <w:rsid w:val="003A6594"/>
    <w:rsid w:val="00415830"/>
    <w:rsid w:val="005736DE"/>
    <w:rsid w:val="005770EF"/>
    <w:rsid w:val="006202DA"/>
    <w:rsid w:val="006A1782"/>
    <w:rsid w:val="006E5386"/>
    <w:rsid w:val="007424A9"/>
    <w:rsid w:val="00792DF3"/>
    <w:rsid w:val="0085470C"/>
    <w:rsid w:val="00921865"/>
    <w:rsid w:val="009D0626"/>
    <w:rsid w:val="00A41EE4"/>
    <w:rsid w:val="00A70BCD"/>
    <w:rsid w:val="00B56A18"/>
    <w:rsid w:val="00B80583"/>
    <w:rsid w:val="00BF4B80"/>
    <w:rsid w:val="00C95CD5"/>
    <w:rsid w:val="00DB4005"/>
    <w:rsid w:val="00E35692"/>
    <w:rsid w:val="00EC59FB"/>
    <w:rsid w:val="00EF414F"/>
    <w:rsid w:val="00F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9EE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9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86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7E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7E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EE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EE4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6A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9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86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7E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7E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EE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EE4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6A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8470-1797-4390-A4DA-7638960A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Parsons</dc:creator>
  <cp:lastModifiedBy>Graham Parsons</cp:lastModifiedBy>
  <cp:revision>2</cp:revision>
  <dcterms:created xsi:type="dcterms:W3CDTF">2020-04-27T12:30:00Z</dcterms:created>
  <dcterms:modified xsi:type="dcterms:W3CDTF">2020-04-27T12:30:00Z</dcterms:modified>
</cp:coreProperties>
</file>