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885"/>
      </w:tblGrid>
      <w:tr w:rsidR="000A1F60" w:rsidTr="000A1F60">
        <w:trPr>
          <w:trHeight w:val="807"/>
        </w:trPr>
        <w:tc>
          <w:tcPr>
            <w:tcW w:w="567" w:type="dxa"/>
            <w:vMerge w:val="restart"/>
          </w:tcPr>
          <w:p w:rsidR="000A1F60" w:rsidRDefault="000A1F60" w:rsidP="00CB6434">
            <w:pPr>
              <w:spacing w:before="120" w:after="120"/>
              <w:ind w:right="-250"/>
            </w:pPr>
            <w:r>
              <w:t>1</w:t>
            </w:r>
          </w:p>
        </w:tc>
        <w:tc>
          <w:tcPr>
            <w:tcW w:w="14885" w:type="dxa"/>
            <w:tcBorders>
              <w:bottom w:val="single" w:sz="4" w:space="0" w:color="auto"/>
            </w:tcBorders>
          </w:tcPr>
          <w:p w:rsidR="000A1F60" w:rsidRDefault="000A1F60" w:rsidP="000A1F60">
            <w:pPr>
              <w:spacing w:before="120" w:after="120"/>
              <w:ind w:right="34"/>
            </w:pPr>
            <w:r w:rsidRPr="000A1F60">
              <w:t>How can we create a culture where the public in England are aware of and utilise fully the range of services available from their local community pharmacy now and in the future?</w:t>
            </w:r>
          </w:p>
        </w:tc>
      </w:tr>
      <w:tr w:rsidR="000A1F60" w:rsidTr="00B30387">
        <w:trPr>
          <w:trHeight w:val="123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1F60" w:rsidRDefault="000A1F60" w:rsidP="00CB6434">
            <w:pPr>
              <w:spacing w:before="120" w:after="120"/>
              <w:ind w:right="-250"/>
            </w:pPr>
          </w:p>
        </w:tc>
        <w:tc>
          <w:tcPr>
            <w:tcW w:w="14885" w:type="dxa"/>
            <w:tcBorders>
              <w:bottom w:val="single" w:sz="4" w:space="0" w:color="auto"/>
            </w:tcBorders>
          </w:tcPr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  <w:p w:rsidR="000A1F60" w:rsidRDefault="000A1F60" w:rsidP="00CB6434">
            <w:pPr>
              <w:spacing w:before="120" w:after="120"/>
              <w:ind w:right="34"/>
            </w:pPr>
          </w:p>
        </w:tc>
      </w:tr>
      <w:tr w:rsidR="006A4D0F" w:rsidTr="006A4D0F">
        <w:trPr>
          <w:trHeight w:val="932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6A4D0F" w:rsidRDefault="006A4D0F" w:rsidP="00CB6434">
            <w:pPr>
              <w:spacing w:before="120" w:after="120"/>
              <w:ind w:right="-250"/>
            </w:pPr>
            <w:r>
              <w:t>2</w:t>
            </w:r>
          </w:p>
        </w:tc>
        <w:tc>
          <w:tcPr>
            <w:tcW w:w="14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4D0F" w:rsidRDefault="006A4D0F" w:rsidP="006A4D0F">
            <w:pPr>
              <w:spacing w:before="120" w:after="120"/>
              <w:ind w:right="34"/>
            </w:pPr>
            <w:r w:rsidRPr="000A1F60">
              <w:t>How can the way we commission services from community pharmacy maximise the potential for community pharmacy to support patients to get more from their medicines?</w:t>
            </w:r>
          </w:p>
        </w:tc>
      </w:tr>
      <w:tr w:rsidR="006A4D0F" w:rsidTr="006A4D0F">
        <w:trPr>
          <w:trHeight w:val="1538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6A4D0F" w:rsidRDefault="006A4D0F" w:rsidP="00CB6434">
            <w:pPr>
              <w:spacing w:before="120" w:after="120"/>
              <w:ind w:right="-250"/>
            </w:pPr>
          </w:p>
        </w:tc>
        <w:tc>
          <w:tcPr>
            <w:tcW w:w="14885" w:type="dxa"/>
            <w:shd w:val="clear" w:color="auto" w:fill="auto"/>
          </w:tcPr>
          <w:p w:rsidR="006A4D0F" w:rsidRDefault="006A4D0F" w:rsidP="0087402E">
            <w:pPr>
              <w:spacing w:before="120" w:after="120"/>
              <w:ind w:right="34"/>
            </w:pPr>
          </w:p>
          <w:p w:rsidR="006A4D0F" w:rsidRDefault="006A4D0F" w:rsidP="0087402E">
            <w:pPr>
              <w:spacing w:before="120" w:after="120"/>
              <w:ind w:right="34"/>
            </w:pPr>
          </w:p>
          <w:p w:rsidR="006A4D0F" w:rsidRDefault="006A4D0F" w:rsidP="0087402E">
            <w:pPr>
              <w:spacing w:before="120" w:after="120"/>
              <w:ind w:right="34"/>
            </w:pPr>
          </w:p>
          <w:p w:rsidR="006A4D0F" w:rsidRDefault="006A4D0F" w:rsidP="0087402E">
            <w:pPr>
              <w:spacing w:before="120" w:after="120"/>
              <w:ind w:right="34"/>
            </w:pPr>
          </w:p>
          <w:p w:rsidR="006A4D0F" w:rsidRDefault="006A4D0F" w:rsidP="0087402E">
            <w:pPr>
              <w:spacing w:before="120" w:after="120"/>
              <w:ind w:right="34"/>
            </w:pPr>
          </w:p>
          <w:p w:rsidR="006A4D0F" w:rsidRDefault="006A4D0F" w:rsidP="0087402E">
            <w:pPr>
              <w:spacing w:before="120" w:after="120"/>
              <w:ind w:right="34"/>
            </w:pPr>
          </w:p>
          <w:p w:rsidR="006A4D0F" w:rsidRDefault="006A4D0F" w:rsidP="0087402E">
            <w:pPr>
              <w:spacing w:before="120" w:after="120"/>
              <w:ind w:right="34"/>
            </w:pPr>
          </w:p>
          <w:p w:rsidR="006A4D0F" w:rsidRDefault="006A4D0F" w:rsidP="0087402E">
            <w:pPr>
              <w:spacing w:before="120" w:after="120"/>
              <w:ind w:right="34"/>
            </w:pPr>
          </w:p>
          <w:p w:rsidR="006A4D0F" w:rsidRDefault="006A4D0F" w:rsidP="0087402E">
            <w:pPr>
              <w:spacing w:before="120" w:after="120"/>
              <w:ind w:right="34"/>
            </w:pPr>
          </w:p>
        </w:tc>
      </w:tr>
      <w:tr w:rsidR="006A4D0F" w:rsidTr="006A4D0F">
        <w:trPr>
          <w:trHeight w:val="661"/>
        </w:trPr>
        <w:tc>
          <w:tcPr>
            <w:tcW w:w="567" w:type="dxa"/>
            <w:vMerge w:val="restart"/>
          </w:tcPr>
          <w:p w:rsidR="006A4D0F" w:rsidRDefault="006A4D0F" w:rsidP="00CB6434">
            <w:pPr>
              <w:spacing w:before="120" w:after="120"/>
              <w:ind w:right="-250"/>
            </w:pPr>
            <w:r>
              <w:lastRenderedPageBreak/>
              <w:t>3</w:t>
            </w:r>
          </w:p>
        </w:tc>
        <w:tc>
          <w:tcPr>
            <w:tcW w:w="14885" w:type="dxa"/>
            <w:tcBorders>
              <w:bottom w:val="single" w:sz="4" w:space="0" w:color="auto"/>
            </w:tcBorders>
          </w:tcPr>
          <w:p w:rsidR="006A4D0F" w:rsidRDefault="006A4D0F" w:rsidP="006A4D0F">
            <w:pPr>
              <w:spacing w:before="120" w:after="120"/>
              <w:ind w:right="34"/>
            </w:pPr>
            <w:r w:rsidRPr="000A1F60">
              <w:t>How can we better integrate community pharmacy services into the patient care pathway?</w:t>
            </w:r>
          </w:p>
        </w:tc>
      </w:tr>
      <w:tr w:rsidR="006A4D0F" w:rsidTr="00202410">
        <w:trPr>
          <w:trHeight w:val="13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D0F" w:rsidRDefault="006A4D0F" w:rsidP="00CB6434">
            <w:pPr>
              <w:spacing w:before="120" w:after="120"/>
              <w:ind w:right="-250"/>
            </w:pPr>
          </w:p>
        </w:tc>
        <w:tc>
          <w:tcPr>
            <w:tcW w:w="14885" w:type="dxa"/>
            <w:tcBorders>
              <w:bottom w:val="single" w:sz="4" w:space="0" w:color="auto"/>
            </w:tcBorders>
          </w:tcPr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</w:tc>
      </w:tr>
      <w:tr w:rsidR="006A4D0F" w:rsidTr="006A4D0F">
        <w:trPr>
          <w:trHeight w:val="681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6A4D0F" w:rsidRDefault="006A4D0F" w:rsidP="00CB6434">
            <w:pPr>
              <w:spacing w:before="120" w:after="120"/>
              <w:ind w:right="-250"/>
            </w:pPr>
            <w:r>
              <w:t>4</w:t>
            </w:r>
          </w:p>
        </w:tc>
        <w:tc>
          <w:tcPr>
            <w:tcW w:w="14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4D0F" w:rsidRDefault="006A4D0F" w:rsidP="006A4D0F">
            <w:pPr>
              <w:spacing w:before="120" w:after="120"/>
              <w:ind w:right="34"/>
            </w:pPr>
            <w:r w:rsidRPr="000A1F60">
              <w:t>How can the use of a range of technologies increase the safety of dispensing?</w:t>
            </w:r>
          </w:p>
        </w:tc>
      </w:tr>
      <w:tr w:rsidR="006A4D0F" w:rsidTr="006A4D0F">
        <w:trPr>
          <w:trHeight w:val="1538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6A4D0F" w:rsidRDefault="006A4D0F" w:rsidP="00CB6434">
            <w:pPr>
              <w:spacing w:before="120" w:after="120"/>
              <w:ind w:right="-250"/>
            </w:pPr>
          </w:p>
        </w:tc>
        <w:tc>
          <w:tcPr>
            <w:tcW w:w="14885" w:type="dxa"/>
            <w:shd w:val="clear" w:color="auto" w:fill="auto"/>
          </w:tcPr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  <w:bookmarkStart w:id="0" w:name="_GoBack"/>
            <w:bookmarkEnd w:id="0"/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  <w:p w:rsidR="006A4D0F" w:rsidRDefault="006A4D0F" w:rsidP="00CB6434">
            <w:pPr>
              <w:spacing w:before="120" w:after="120"/>
              <w:ind w:right="34"/>
            </w:pPr>
          </w:p>
        </w:tc>
      </w:tr>
    </w:tbl>
    <w:p w:rsidR="00455BC2" w:rsidRPr="00E14B2F" w:rsidRDefault="00455BC2" w:rsidP="000A1F60"/>
    <w:sectPr w:rsidR="00455BC2" w:rsidRPr="00E14B2F" w:rsidSect="000A1F60">
      <w:headerReference w:type="default" r:id="rId9"/>
      <w:pgSz w:w="16838" w:h="11906" w:orient="landscape"/>
      <w:pgMar w:top="1276" w:right="1440" w:bottom="568" w:left="1440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E0" w:rsidRDefault="00373AE0" w:rsidP="00094FF1">
      <w:pPr>
        <w:spacing w:after="0" w:line="240" w:lineRule="auto"/>
      </w:pPr>
      <w:r>
        <w:separator/>
      </w:r>
    </w:p>
  </w:endnote>
  <w:endnote w:type="continuationSeparator" w:id="0">
    <w:p w:rsidR="00373AE0" w:rsidRDefault="00373AE0" w:rsidP="0009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E0" w:rsidRDefault="00373AE0" w:rsidP="00094FF1">
      <w:pPr>
        <w:spacing w:after="0" w:line="240" w:lineRule="auto"/>
      </w:pPr>
      <w:r>
        <w:separator/>
      </w:r>
    </w:p>
  </w:footnote>
  <w:footnote w:type="continuationSeparator" w:id="0">
    <w:p w:rsidR="00373AE0" w:rsidRDefault="00373AE0" w:rsidP="0009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4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50"/>
      <w:gridCol w:w="1701"/>
      <w:gridCol w:w="1701"/>
    </w:tblGrid>
    <w:tr w:rsidR="00840BDF" w:rsidTr="0090540D">
      <w:tc>
        <w:tcPr>
          <w:tcW w:w="12050" w:type="dxa"/>
        </w:tcPr>
        <w:p w:rsidR="00840BDF" w:rsidRDefault="00840BDF" w:rsidP="00840BDF">
          <w:pPr>
            <w:pStyle w:val="Header"/>
            <w:rPr>
              <w:b/>
              <w:sz w:val="32"/>
              <w:szCs w:val="32"/>
            </w:rPr>
          </w:pPr>
          <w:r w:rsidRPr="00840BDF">
            <w:rPr>
              <w:b/>
              <w:sz w:val="32"/>
              <w:szCs w:val="32"/>
            </w:rPr>
            <w:t>NHS England’s Community Pharmacy Call to Action</w:t>
          </w:r>
        </w:p>
        <w:p w:rsidR="00840BDF" w:rsidRDefault="00840BDF" w:rsidP="000A1F60">
          <w:pPr>
            <w:pStyle w:val="Header"/>
          </w:pPr>
          <w:r w:rsidRPr="00840BDF">
            <w:rPr>
              <w:b/>
              <w:sz w:val="32"/>
              <w:szCs w:val="32"/>
            </w:rPr>
            <w:t xml:space="preserve">LPC </w:t>
          </w:r>
          <w:r w:rsidR="000A1F60">
            <w:rPr>
              <w:b/>
              <w:sz w:val="32"/>
              <w:szCs w:val="32"/>
            </w:rPr>
            <w:t>Response Planner</w:t>
          </w:r>
        </w:p>
      </w:tc>
      <w:tc>
        <w:tcPr>
          <w:tcW w:w="1701" w:type="dxa"/>
        </w:tcPr>
        <w:p w:rsidR="00840BDF" w:rsidRDefault="00840BDF" w:rsidP="00840BD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7BD1CC2" wp14:editId="2D053145">
                <wp:extent cx="804074" cy="57467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nc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740" cy="57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40BDF" w:rsidRDefault="00840BDF" w:rsidP="00840BD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B3FE208" wp14:editId="1CCF2F11">
                <wp:extent cx="913350" cy="563270"/>
                <wp:effectExtent l="0" t="0" r="127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621" cy="563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4FF1" w:rsidRPr="00840BDF" w:rsidRDefault="00094FF1" w:rsidP="00840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E3D"/>
    <w:multiLevelType w:val="hybridMultilevel"/>
    <w:tmpl w:val="397EEF20"/>
    <w:lvl w:ilvl="0" w:tplc="2E62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CA64">
      <w:start w:val="4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E5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C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B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4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C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0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6729FC"/>
    <w:multiLevelType w:val="hybridMultilevel"/>
    <w:tmpl w:val="8B28E632"/>
    <w:lvl w:ilvl="0" w:tplc="23C6B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2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2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E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A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EA3F19"/>
    <w:multiLevelType w:val="hybridMultilevel"/>
    <w:tmpl w:val="CD44571A"/>
    <w:lvl w:ilvl="0" w:tplc="FFCC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C2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6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E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0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A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25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4D036E"/>
    <w:multiLevelType w:val="hybridMultilevel"/>
    <w:tmpl w:val="76668930"/>
    <w:lvl w:ilvl="0" w:tplc="55BE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C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A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0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E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6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E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0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F1"/>
    <w:rsid w:val="00094FF1"/>
    <w:rsid w:val="000A1F60"/>
    <w:rsid w:val="001720EF"/>
    <w:rsid w:val="001861F5"/>
    <w:rsid w:val="00230F9A"/>
    <w:rsid w:val="00373AE0"/>
    <w:rsid w:val="00455BC2"/>
    <w:rsid w:val="006824EF"/>
    <w:rsid w:val="006A4D0F"/>
    <w:rsid w:val="006E7F2D"/>
    <w:rsid w:val="00840BDF"/>
    <w:rsid w:val="0087402E"/>
    <w:rsid w:val="0090540D"/>
    <w:rsid w:val="00AB4FD8"/>
    <w:rsid w:val="00AF5516"/>
    <w:rsid w:val="00BE2EE9"/>
    <w:rsid w:val="00C54663"/>
    <w:rsid w:val="00D9610D"/>
    <w:rsid w:val="00E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F1"/>
  </w:style>
  <w:style w:type="paragraph" w:styleId="Footer">
    <w:name w:val="footer"/>
    <w:basedOn w:val="Normal"/>
    <w:link w:val="Foot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F1"/>
  </w:style>
  <w:style w:type="table" w:styleId="TableGrid">
    <w:name w:val="Table Grid"/>
    <w:basedOn w:val="TableNormal"/>
    <w:uiPriority w:val="59"/>
    <w:rsid w:val="0084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F1"/>
  </w:style>
  <w:style w:type="paragraph" w:styleId="Footer">
    <w:name w:val="footer"/>
    <w:basedOn w:val="Normal"/>
    <w:link w:val="Foot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F1"/>
  </w:style>
  <w:style w:type="table" w:styleId="TableGrid">
    <w:name w:val="Table Grid"/>
    <w:basedOn w:val="TableNormal"/>
    <w:uiPriority w:val="59"/>
    <w:rsid w:val="0084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3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0168-BEBE-4696-A96F-BF3FCC04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Alastair Buxton</cp:lastModifiedBy>
  <cp:revision>7</cp:revision>
  <cp:lastPrinted>2014-01-14T13:35:00Z</cp:lastPrinted>
  <dcterms:created xsi:type="dcterms:W3CDTF">2014-01-13T12:44:00Z</dcterms:created>
  <dcterms:modified xsi:type="dcterms:W3CDTF">2014-01-14T13:45:00Z</dcterms:modified>
</cp:coreProperties>
</file>