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CF" w:rsidRDefault="00AD08A6" w:rsidP="003B39CF">
      <w:pPr>
        <w:spacing w:after="0" w:line="240" w:lineRule="auto"/>
        <w:ind w:left="-709" w:right="-612"/>
        <w:jc w:val="right"/>
      </w:pPr>
      <w:r>
        <w:t xml:space="preserve">Version: </w:t>
      </w:r>
      <w:r w:rsidR="00292212">
        <w:t>30</w:t>
      </w:r>
      <w:r>
        <w:t xml:space="preserve"> January 2014</w:t>
      </w:r>
    </w:p>
    <w:p w:rsidR="00AD08A6" w:rsidRPr="00AD08A6" w:rsidRDefault="00AD08A6" w:rsidP="003B39CF">
      <w:pPr>
        <w:spacing w:after="0" w:line="240" w:lineRule="auto"/>
        <w:ind w:left="-709" w:right="-612"/>
        <w:jc w:val="right"/>
        <w:rPr>
          <w:sz w:val="12"/>
          <w:szCs w:val="12"/>
        </w:rPr>
      </w:pPr>
    </w:p>
    <w:p w:rsidR="00455BC2" w:rsidRDefault="00EB5E08" w:rsidP="00EB5E08">
      <w:pPr>
        <w:spacing w:after="0" w:line="240" w:lineRule="auto"/>
        <w:ind w:left="-709" w:right="-612"/>
        <w:jc w:val="both"/>
      </w:pPr>
      <w:r w:rsidRPr="00EB5E08">
        <w:t>This list of suggested actions</w:t>
      </w:r>
      <w:r>
        <w:t xml:space="preserve"> has been created following discussions between LPCs at the PSNC organised workshops on the CTA; your LPC may already be making progress on many of these actions, but this list hopefully provides you with additional ideas o</w:t>
      </w:r>
      <w:r w:rsidR="00292212">
        <w:t>n</w:t>
      </w:r>
      <w:r>
        <w:t xml:space="preserve"> how to maximise the positive impact of your local response to the CTA. At the request of some of the LPCs attending the workshops, the list includes suggested target dates for completion of the actions.</w:t>
      </w:r>
    </w:p>
    <w:p w:rsidR="00955554" w:rsidRDefault="00955554" w:rsidP="00EB5E08">
      <w:pPr>
        <w:spacing w:after="0" w:line="240" w:lineRule="auto"/>
        <w:ind w:left="-709" w:right="-612"/>
        <w:jc w:val="both"/>
      </w:pPr>
      <w:r>
        <w:t>There is a lot of work that could be undertaken by all LPCs, but there may not be capacity in the LPC to do everything suggested below; don’t be put off by the long list and get as much done as possible – every little helps…</w:t>
      </w:r>
    </w:p>
    <w:p w:rsidR="00EB5E08" w:rsidRPr="00EB5E08" w:rsidRDefault="00EB5E08" w:rsidP="00EB5E08">
      <w:pPr>
        <w:spacing w:after="0" w:line="240" w:lineRule="auto"/>
        <w:ind w:left="-709" w:right="-612"/>
        <w:jc w:val="both"/>
        <w:rPr>
          <w:sz w:val="12"/>
          <w:szCs w:val="12"/>
        </w:rPr>
      </w:pPr>
    </w:p>
    <w:tbl>
      <w:tblPr>
        <w:tblStyle w:val="TableGrid"/>
        <w:tblW w:w="15452" w:type="dxa"/>
        <w:tblInd w:w="-743" w:type="dxa"/>
        <w:tblLook w:val="04A0" w:firstRow="1" w:lastRow="0" w:firstColumn="1" w:lastColumn="0" w:noHBand="0" w:noVBand="1"/>
      </w:tblPr>
      <w:tblGrid>
        <w:gridCol w:w="425"/>
        <w:gridCol w:w="3545"/>
        <w:gridCol w:w="7654"/>
        <w:gridCol w:w="1276"/>
        <w:gridCol w:w="1418"/>
        <w:gridCol w:w="1134"/>
      </w:tblGrid>
      <w:tr w:rsidR="00EB5E08" w:rsidRPr="00566B88" w:rsidTr="004D2DE8">
        <w:trPr>
          <w:tblHeader/>
        </w:trPr>
        <w:tc>
          <w:tcPr>
            <w:tcW w:w="3970" w:type="dxa"/>
            <w:gridSpan w:val="2"/>
            <w:tcBorders>
              <w:top w:val="single" w:sz="4" w:space="0" w:color="5185C0"/>
              <w:left w:val="single" w:sz="4" w:space="0" w:color="5185C0"/>
              <w:bottom w:val="single" w:sz="4" w:space="0" w:color="5185C0"/>
              <w:right w:val="single" w:sz="4" w:space="0" w:color="5185C0"/>
            </w:tcBorders>
            <w:shd w:val="clear" w:color="auto" w:fill="5185C0"/>
          </w:tcPr>
          <w:p w:rsidR="00EB5E08" w:rsidRPr="00037C8F" w:rsidRDefault="00EB5E08" w:rsidP="004D2DE8">
            <w:pPr>
              <w:ind w:right="34"/>
              <w:jc w:val="center"/>
              <w:rPr>
                <w:b/>
                <w:color w:val="FFFFFF" w:themeColor="background1"/>
                <w:sz w:val="6"/>
                <w:szCs w:val="6"/>
              </w:rPr>
            </w:pPr>
          </w:p>
          <w:p w:rsidR="00EB5E08" w:rsidRPr="00037C8F" w:rsidRDefault="00EB5E08" w:rsidP="004D2DE8">
            <w:pPr>
              <w:ind w:right="34"/>
              <w:jc w:val="center"/>
              <w:rPr>
                <w:b/>
                <w:color w:val="FFFFFF" w:themeColor="background1"/>
                <w:sz w:val="20"/>
                <w:szCs w:val="20"/>
              </w:rPr>
            </w:pPr>
            <w:r w:rsidRPr="00037C8F">
              <w:rPr>
                <w:b/>
                <w:color w:val="FFFFFF" w:themeColor="background1"/>
                <w:sz w:val="20"/>
                <w:szCs w:val="20"/>
              </w:rPr>
              <w:t>Action</w:t>
            </w:r>
          </w:p>
        </w:tc>
        <w:tc>
          <w:tcPr>
            <w:tcW w:w="7654" w:type="dxa"/>
            <w:tcBorders>
              <w:top w:val="single" w:sz="4" w:space="0" w:color="5185C0"/>
              <w:left w:val="single" w:sz="4" w:space="0" w:color="5185C0"/>
              <w:bottom w:val="single" w:sz="4" w:space="0" w:color="5185C0"/>
              <w:right w:val="single" w:sz="4" w:space="0" w:color="5185C0"/>
            </w:tcBorders>
            <w:shd w:val="clear" w:color="auto" w:fill="5185C0"/>
          </w:tcPr>
          <w:p w:rsidR="00EB5E08" w:rsidRPr="00037C8F" w:rsidRDefault="00EB5E08" w:rsidP="004D2DE8">
            <w:pPr>
              <w:ind w:right="34"/>
              <w:jc w:val="center"/>
              <w:rPr>
                <w:b/>
                <w:color w:val="FFFFFF" w:themeColor="background1"/>
                <w:sz w:val="6"/>
                <w:szCs w:val="6"/>
              </w:rPr>
            </w:pPr>
            <w:r w:rsidRPr="00037C8F">
              <w:rPr>
                <w:b/>
                <w:color w:val="FFFFFF" w:themeColor="background1"/>
                <w:sz w:val="6"/>
                <w:szCs w:val="6"/>
              </w:rPr>
              <w:t xml:space="preserve"> </w:t>
            </w:r>
          </w:p>
          <w:p w:rsidR="00EB5E08" w:rsidRPr="00037C8F" w:rsidRDefault="00EB5E08" w:rsidP="004D2DE8">
            <w:pPr>
              <w:ind w:right="34"/>
              <w:jc w:val="center"/>
              <w:rPr>
                <w:b/>
                <w:color w:val="FFFFFF" w:themeColor="background1"/>
                <w:sz w:val="20"/>
                <w:szCs w:val="20"/>
              </w:rPr>
            </w:pPr>
            <w:r w:rsidRPr="00037C8F">
              <w:rPr>
                <w:b/>
                <w:color w:val="FFFFFF" w:themeColor="background1"/>
                <w:sz w:val="20"/>
                <w:szCs w:val="20"/>
              </w:rPr>
              <w:t>Further information and resources</w:t>
            </w:r>
          </w:p>
        </w:tc>
        <w:tc>
          <w:tcPr>
            <w:tcW w:w="1276" w:type="dxa"/>
            <w:tcBorders>
              <w:top w:val="single" w:sz="4" w:space="0" w:color="5185C0"/>
              <w:left w:val="single" w:sz="4" w:space="0" w:color="5185C0"/>
              <w:bottom w:val="single" w:sz="4" w:space="0" w:color="5185C0"/>
              <w:right w:val="single" w:sz="4" w:space="0" w:color="5185C0"/>
            </w:tcBorders>
            <w:shd w:val="clear" w:color="auto" w:fill="5185C0"/>
          </w:tcPr>
          <w:p w:rsidR="00EB5E08" w:rsidRPr="00037C8F" w:rsidRDefault="00EB5E08" w:rsidP="004D2DE8">
            <w:pPr>
              <w:ind w:left="34"/>
              <w:jc w:val="center"/>
              <w:rPr>
                <w:b/>
                <w:color w:val="FFFFFF" w:themeColor="background1"/>
                <w:sz w:val="6"/>
                <w:szCs w:val="6"/>
              </w:rPr>
            </w:pPr>
            <w:r w:rsidRPr="00037C8F">
              <w:rPr>
                <w:b/>
                <w:color w:val="FFFFFF" w:themeColor="background1"/>
                <w:sz w:val="6"/>
                <w:szCs w:val="6"/>
              </w:rPr>
              <w:t xml:space="preserve"> </w:t>
            </w:r>
          </w:p>
          <w:p w:rsidR="00EB5E08" w:rsidRPr="00037C8F" w:rsidRDefault="00EB5E08" w:rsidP="004D2DE8">
            <w:pPr>
              <w:ind w:left="34"/>
              <w:jc w:val="center"/>
              <w:rPr>
                <w:b/>
                <w:color w:val="FFFFFF" w:themeColor="background1"/>
                <w:sz w:val="20"/>
                <w:szCs w:val="20"/>
              </w:rPr>
            </w:pPr>
            <w:r w:rsidRPr="00037C8F">
              <w:rPr>
                <w:b/>
                <w:color w:val="FFFFFF" w:themeColor="background1"/>
                <w:sz w:val="20"/>
                <w:szCs w:val="20"/>
              </w:rPr>
              <w:t>Suggested target</w:t>
            </w:r>
          </w:p>
          <w:p w:rsidR="00EB5E08" w:rsidRPr="00037C8F" w:rsidRDefault="00EB5E08" w:rsidP="004D2DE8">
            <w:pPr>
              <w:ind w:left="34"/>
              <w:jc w:val="center"/>
              <w:rPr>
                <w:b/>
                <w:color w:val="FFFFFF" w:themeColor="background1"/>
                <w:sz w:val="20"/>
                <w:szCs w:val="20"/>
              </w:rPr>
            </w:pPr>
            <w:r w:rsidRPr="00037C8F">
              <w:rPr>
                <w:b/>
                <w:color w:val="FFFFFF" w:themeColor="background1"/>
                <w:sz w:val="20"/>
                <w:szCs w:val="20"/>
              </w:rPr>
              <w:t>date</w:t>
            </w:r>
          </w:p>
        </w:tc>
        <w:tc>
          <w:tcPr>
            <w:tcW w:w="1418" w:type="dxa"/>
            <w:tcBorders>
              <w:top w:val="single" w:sz="4" w:space="0" w:color="5185C0"/>
              <w:left w:val="single" w:sz="4" w:space="0" w:color="5185C0"/>
              <w:bottom w:val="single" w:sz="4" w:space="0" w:color="5185C0"/>
              <w:right w:val="single" w:sz="4" w:space="0" w:color="5185C0"/>
            </w:tcBorders>
            <w:shd w:val="clear" w:color="auto" w:fill="5185C0"/>
          </w:tcPr>
          <w:p w:rsidR="00EB5E08" w:rsidRPr="00037C8F" w:rsidRDefault="00EB5E08" w:rsidP="004D2DE8">
            <w:pPr>
              <w:jc w:val="center"/>
              <w:rPr>
                <w:b/>
                <w:color w:val="FFFFFF" w:themeColor="background1"/>
                <w:sz w:val="6"/>
                <w:szCs w:val="6"/>
              </w:rPr>
            </w:pPr>
            <w:r w:rsidRPr="00037C8F">
              <w:rPr>
                <w:b/>
                <w:color w:val="FFFFFF" w:themeColor="background1"/>
                <w:sz w:val="6"/>
                <w:szCs w:val="6"/>
              </w:rPr>
              <w:t xml:space="preserve"> </w:t>
            </w:r>
          </w:p>
          <w:p w:rsidR="00EB5E08" w:rsidRPr="00037C8F" w:rsidRDefault="00EB5E08" w:rsidP="004D2DE8">
            <w:pPr>
              <w:jc w:val="center"/>
              <w:rPr>
                <w:b/>
                <w:color w:val="FFFFFF" w:themeColor="background1"/>
                <w:sz w:val="20"/>
                <w:szCs w:val="20"/>
              </w:rPr>
            </w:pPr>
            <w:r w:rsidRPr="00037C8F">
              <w:rPr>
                <w:b/>
                <w:color w:val="FFFFFF" w:themeColor="background1"/>
                <w:sz w:val="20"/>
                <w:szCs w:val="20"/>
              </w:rPr>
              <w:t>Action to be undertaken by:</w:t>
            </w:r>
          </w:p>
        </w:tc>
        <w:tc>
          <w:tcPr>
            <w:tcW w:w="1134" w:type="dxa"/>
            <w:tcBorders>
              <w:top w:val="single" w:sz="4" w:space="0" w:color="5185C0"/>
              <w:left w:val="single" w:sz="4" w:space="0" w:color="5185C0"/>
              <w:bottom w:val="single" w:sz="4" w:space="0" w:color="5185C0"/>
              <w:right w:val="single" w:sz="4" w:space="0" w:color="5185C0"/>
            </w:tcBorders>
            <w:shd w:val="clear" w:color="auto" w:fill="5185C0"/>
          </w:tcPr>
          <w:p w:rsidR="00EB5E08" w:rsidRPr="00037C8F" w:rsidRDefault="00EB5E08" w:rsidP="004D2DE8">
            <w:pPr>
              <w:jc w:val="center"/>
              <w:rPr>
                <w:b/>
                <w:color w:val="FFFFFF" w:themeColor="background1"/>
                <w:sz w:val="6"/>
                <w:szCs w:val="6"/>
              </w:rPr>
            </w:pPr>
          </w:p>
          <w:p w:rsidR="00EB5E08" w:rsidRPr="00037C8F" w:rsidRDefault="00EB5E08" w:rsidP="004D2DE8">
            <w:pPr>
              <w:rPr>
                <w:b/>
                <w:color w:val="FFFFFF" w:themeColor="background1"/>
                <w:sz w:val="20"/>
                <w:szCs w:val="20"/>
              </w:rPr>
            </w:pPr>
            <w:r w:rsidRPr="00037C8F">
              <w:rPr>
                <w:b/>
                <w:color w:val="FFFFFF" w:themeColor="background1"/>
                <w:sz w:val="20"/>
                <w:szCs w:val="20"/>
              </w:rPr>
              <w:t>Complete</w:t>
            </w:r>
          </w:p>
        </w:tc>
      </w:tr>
      <w:tr w:rsidR="00EB5E08" w:rsidTr="000406F8">
        <w:tc>
          <w:tcPr>
            <w:tcW w:w="425" w:type="dxa"/>
            <w:tcBorders>
              <w:top w:val="single" w:sz="4" w:space="0" w:color="5185C0"/>
              <w:left w:val="single" w:sz="4" w:space="0" w:color="5185C0"/>
              <w:bottom w:val="single" w:sz="4" w:space="0" w:color="5185C0"/>
              <w:right w:val="single" w:sz="4" w:space="0" w:color="5185C0"/>
            </w:tcBorders>
          </w:tcPr>
          <w:p w:rsidR="00EB5E08" w:rsidRPr="00566B88" w:rsidRDefault="00EB5E08" w:rsidP="004D2DE8">
            <w:pPr>
              <w:spacing w:before="120" w:after="120"/>
              <w:ind w:right="-499"/>
              <w:rPr>
                <w:color w:val="5185C0"/>
              </w:rPr>
            </w:pPr>
          </w:p>
          <w:p w:rsidR="00EB5E08" w:rsidRPr="00566B88" w:rsidRDefault="00EB5E08" w:rsidP="004D2DE8">
            <w:pPr>
              <w:spacing w:before="120" w:after="120"/>
              <w:ind w:right="-250"/>
              <w:rPr>
                <w:color w:val="5185C0"/>
              </w:rPr>
            </w:pPr>
            <w:r w:rsidRPr="00566B88">
              <w:rPr>
                <w:color w:val="5185C0"/>
              </w:rPr>
              <w:t>1</w:t>
            </w:r>
          </w:p>
        </w:tc>
        <w:tc>
          <w:tcPr>
            <w:tcW w:w="3545" w:type="dxa"/>
            <w:tcBorders>
              <w:top w:val="single" w:sz="4" w:space="0" w:color="5185C0"/>
              <w:left w:val="single" w:sz="4" w:space="0" w:color="5185C0"/>
              <w:bottom w:val="single" w:sz="4" w:space="0" w:color="5185C0"/>
              <w:right w:val="single" w:sz="4" w:space="0" w:color="5185C0"/>
            </w:tcBorders>
          </w:tcPr>
          <w:p w:rsidR="00EB5E08" w:rsidRDefault="00EB5E08" w:rsidP="00EB5E08">
            <w:pPr>
              <w:spacing w:before="120" w:after="120"/>
              <w:ind w:right="34"/>
            </w:pPr>
            <w:r>
              <w:t xml:space="preserve">Discuss the approach to working with the AT with the other LPCs in the AT area. </w:t>
            </w:r>
          </w:p>
        </w:tc>
        <w:tc>
          <w:tcPr>
            <w:tcW w:w="7654" w:type="dxa"/>
            <w:tcBorders>
              <w:top w:val="single" w:sz="4" w:space="0" w:color="5185C0"/>
              <w:left w:val="single" w:sz="4" w:space="0" w:color="5185C0"/>
              <w:bottom w:val="single" w:sz="4" w:space="0" w:color="5185C0"/>
              <w:right w:val="single" w:sz="4" w:space="0" w:color="5185C0"/>
            </w:tcBorders>
          </w:tcPr>
          <w:p w:rsidR="00EB5E08" w:rsidRPr="00EB5E08" w:rsidRDefault="00EB5E08" w:rsidP="004D2DE8">
            <w:pPr>
              <w:spacing w:before="120" w:after="120"/>
              <w:rPr>
                <w:sz w:val="20"/>
                <w:szCs w:val="20"/>
              </w:rPr>
            </w:pPr>
            <w:r w:rsidRPr="00EB5E08">
              <w:rPr>
                <w:sz w:val="20"/>
                <w:szCs w:val="20"/>
              </w:rPr>
              <w:t>Complete where necessary in your area.</w:t>
            </w:r>
          </w:p>
        </w:tc>
        <w:tc>
          <w:tcPr>
            <w:tcW w:w="1276" w:type="dxa"/>
            <w:tcBorders>
              <w:top w:val="single" w:sz="4" w:space="0" w:color="5185C0"/>
              <w:left w:val="single" w:sz="4" w:space="0" w:color="5185C0"/>
              <w:bottom w:val="single" w:sz="4" w:space="0" w:color="5185C0"/>
              <w:right w:val="single" w:sz="4" w:space="0" w:color="5185C0"/>
            </w:tcBorders>
          </w:tcPr>
          <w:p w:rsidR="00EB5E08" w:rsidRPr="000406F8" w:rsidRDefault="000406F8" w:rsidP="000406F8">
            <w:pPr>
              <w:spacing w:before="120" w:after="120"/>
              <w:jc w:val="center"/>
              <w:rPr>
                <w:sz w:val="20"/>
                <w:szCs w:val="20"/>
              </w:rPr>
            </w:pPr>
            <w:r w:rsidRPr="000406F8">
              <w:rPr>
                <w:sz w:val="20"/>
                <w:szCs w:val="20"/>
              </w:rPr>
              <w:t>1</w:t>
            </w:r>
            <w:r w:rsidRPr="000406F8">
              <w:rPr>
                <w:sz w:val="20"/>
                <w:szCs w:val="20"/>
                <w:vertAlign w:val="superscript"/>
              </w:rPr>
              <w:t>st</w:t>
            </w:r>
            <w:r w:rsidRPr="000406F8">
              <w:rPr>
                <w:sz w:val="20"/>
                <w:szCs w:val="20"/>
              </w:rPr>
              <w:t xml:space="preserve"> Jan 2014</w:t>
            </w:r>
          </w:p>
        </w:tc>
        <w:tc>
          <w:tcPr>
            <w:tcW w:w="1418"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ind w:right="-499"/>
            </w:pPr>
          </w:p>
        </w:tc>
        <w:tc>
          <w:tcPr>
            <w:tcW w:w="1134"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ind w:right="-499"/>
            </w:pPr>
            <w:r w:rsidRPr="00230F9A">
              <w:rPr>
                <w:sz w:val="16"/>
                <w:szCs w:val="16"/>
              </w:rPr>
              <w:fldChar w:fldCharType="begin">
                <w:ffData>
                  <w:name w:val="Check1"/>
                  <w:enabled/>
                  <w:calcOnExit w:val="0"/>
                  <w:checkBox>
                    <w:sizeAuto/>
                    <w:default w:val="0"/>
                  </w:checkBox>
                </w:ffData>
              </w:fldChar>
            </w:r>
            <w:r w:rsidRPr="00230F9A">
              <w:rPr>
                <w:sz w:val="16"/>
                <w:szCs w:val="16"/>
              </w:rPr>
              <w:instrText xml:space="preserve"> FORMCHECKBOX </w:instrText>
            </w:r>
            <w:r w:rsidR="00777D6D">
              <w:rPr>
                <w:sz w:val="16"/>
                <w:szCs w:val="16"/>
              </w:rPr>
            </w:r>
            <w:r w:rsidR="00777D6D">
              <w:rPr>
                <w:sz w:val="16"/>
                <w:szCs w:val="16"/>
              </w:rPr>
              <w:fldChar w:fldCharType="separate"/>
            </w:r>
            <w:r w:rsidRPr="00230F9A">
              <w:rPr>
                <w:sz w:val="16"/>
                <w:szCs w:val="16"/>
              </w:rPr>
              <w:fldChar w:fldCharType="end"/>
            </w:r>
            <w:r>
              <w:rPr>
                <w:sz w:val="16"/>
                <w:szCs w:val="16"/>
              </w:rPr>
              <w:t xml:space="preserve">  Date:</w:t>
            </w:r>
          </w:p>
        </w:tc>
      </w:tr>
      <w:tr w:rsidR="00EB5E08" w:rsidTr="000406F8">
        <w:tc>
          <w:tcPr>
            <w:tcW w:w="425"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Pr="00566B88" w:rsidRDefault="00EB5E08" w:rsidP="004D2DE8">
            <w:pPr>
              <w:spacing w:before="120" w:after="120"/>
              <w:ind w:right="-499"/>
              <w:rPr>
                <w:color w:val="5185C0"/>
              </w:rPr>
            </w:pPr>
          </w:p>
          <w:p w:rsidR="00EB5E08" w:rsidRPr="00566B88" w:rsidRDefault="00EB5E08" w:rsidP="004D2DE8">
            <w:pPr>
              <w:spacing w:before="120" w:after="120"/>
              <w:ind w:right="-250"/>
              <w:rPr>
                <w:color w:val="5185C0"/>
              </w:rPr>
            </w:pPr>
            <w:r w:rsidRPr="00566B88">
              <w:rPr>
                <w:color w:val="5185C0"/>
              </w:rPr>
              <w:t>2</w:t>
            </w:r>
          </w:p>
        </w:tc>
        <w:tc>
          <w:tcPr>
            <w:tcW w:w="3545"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Pr="00397835" w:rsidRDefault="00EB5E08" w:rsidP="004D2DE8">
            <w:pPr>
              <w:spacing w:before="120" w:after="120"/>
              <w:ind w:right="34"/>
            </w:pPr>
            <w:r w:rsidRPr="00397835">
              <w:t>Organise an LPC meeting to discuss the CTA</w:t>
            </w:r>
            <w:r>
              <w:t>.</w:t>
            </w:r>
          </w:p>
        </w:tc>
        <w:tc>
          <w:tcPr>
            <w:tcW w:w="7654"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Pr="00EB5E08" w:rsidRDefault="00EB5E08" w:rsidP="00EB5E08">
            <w:pPr>
              <w:spacing w:before="120" w:after="120"/>
              <w:rPr>
                <w:sz w:val="20"/>
                <w:szCs w:val="20"/>
              </w:rPr>
            </w:pPr>
            <w:r w:rsidRPr="00EB5E08">
              <w:rPr>
                <w:sz w:val="20"/>
                <w:szCs w:val="20"/>
              </w:rPr>
              <w:t xml:space="preserve">Many LPCs said that they were organising an extra meeting of the LPC, perhaps in an evening, so that dedicated time could be spent considering how to respond to the CTA. </w:t>
            </w:r>
          </w:p>
          <w:p w:rsidR="00EB5E08" w:rsidRPr="00EB5E08" w:rsidRDefault="00EB5E08" w:rsidP="00EB5E08">
            <w:pPr>
              <w:spacing w:before="120" w:after="120"/>
              <w:rPr>
                <w:sz w:val="20"/>
                <w:szCs w:val="20"/>
              </w:rPr>
            </w:pPr>
            <w:r w:rsidRPr="00EB5E08">
              <w:rPr>
                <w:sz w:val="20"/>
                <w:szCs w:val="20"/>
              </w:rPr>
              <w:t>The LPC workshops organised by PSNC included small group discussions on how to respond to the four questions posed in the CTA document; you may want to replicate this approach in an LPC meeting.</w:t>
            </w:r>
          </w:p>
          <w:p w:rsidR="00EB5E08" w:rsidRPr="00EB5E08" w:rsidRDefault="00777D6D" w:rsidP="00EB5E08">
            <w:pPr>
              <w:spacing w:before="120" w:after="120"/>
              <w:rPr>
                <w:sz w:val="20"/>
                <w:szCs w:val="20"/>
              </w:rPr>
            </w:pPr>
            <w:hyperlink r:id="rId9" w:history="1">
              <w:r w:rsidR="00EB5E08" w:rsidRPr="00EB5E08">
                <w:rPr>
                  <w:rStyle w:val="Hyperlink"/>
                  <w:rFonts w:cs="Helvetica"/>
                  <w:color w:val="5185C0"/>
                  <w:sz w:val="20"/>
                  <w:szCs w:val="20"/>
                </w:rPr>
                <w:t>PowerPoint presentation from the LPC workshops which could be used at an LPC meeting</w:t>
              </w:r>
            </w:hyperlink>
          </w:p>
          <w:p w:rsidR="00EB5E08" w:rsidRPr="00EB5E08" w:rsidRDefault="00777D6D" w:rsidP="00EB5E08">
            <w:pPr>
              <w:spacing w:before="120" w:after="120"/>
              <w:rPr>
                <w:color w:val="5185C0"/>
                <w:sz w:val="20"/>
                <w:szCs w:val="20"/>
              </w:rPr>
            </w:pPr>
            <w:hyperlink r:id="rId10" w:history="1">
              <w:r w:rsidR="00EB5E08" w:rsidRPr="00EB5E08">
                <w:rPr>
                  <w:rStyle w:val="Hyperlink"/>
                  <w:color w:val="5185C0"/>
                  <w:sz w:val="20"/>
                  <w:szCs w:val="20"/>
                </w:rPr>
                <w:t>NHS England’s CTA questions and prompts for discussion (Microsoft Word)</w:t>
              </w:r>
            </w:hyperlink>
          </w:p>
          <w:p w:rsidR="00EB5E08" w:rsidRDefault="00777D6D" w:rsidP="00EB5E08">
            <w:pPr>
              <w:spacing w:before="120" w:after="120"/>
              <w:rPr>
                <w:rStyle w:val="Hyperlink"/>
                <w:color w:val="5185C0"/>
                <w:sz w:val="20"/>
                <w:szCs w:val="20"/>
              </w:rPr>
            </w:pPr>
            <w:hyperlink r:id="rId11" w:history="1">
              <w:r w:rsidR="00EB5E08" w:rsidRPr="00EB5E08">
                <w:rPr>
                  <w:rStyle w:val="Hyperlink"/>
                  <w:color w:val="5185C0"/>
                  <w:sz w:val="20"/>
                  <w:szCs w:val="20"/>
                </w:rPr>
                <w:t>LPC Response Planner</w:t>
              </w:r>
            </w:hyperlink>
          </w:p>
          <w:p w:rsidR="00955554" w:rsidRPr="00955554" w:rsidRDefault="00955554" w:rsidP="00EB5E08">
            <w:pPr>
              <w:spacing w:before="120" w:after="120"/>
              <w:rPr>
                <w:sz w:val="20"/>
                <w:szCs w:val="20"/>
              </w:rPr>
            </w:pPr>
            <w:r w:rsidRPr="00955554">
              <w:rPr>
                <w:rStyle w:val="Hyperlink"/>
                <w:color w:val="auto"/>
                <w:sz w:val="20"/>
                <w:szCs w:val="20"/>
                <w:u w:val="none"/>
              </w:rPr>
              <w:t>Take time to plan how all LPC members can play their part in engaging pharmacy contractors, their teams and other stakeholders in the CTA.</w:t>
            </w:r>
          </w:p>
        </w:tc>
        <w:tc>
          <w:tcPr>
            <w:tcW w:w="1276"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Pr="000406F8" w:rsidRDefault="000406F8" w:rsidP="000406F8">
            <w:pPr>
              <w:spacing w:before="120" w:after="120"/>
              <w:jc w:val="center"/>
              <w:rPr>
                <w:sz w:val="20"/>
                <w:szCs w:val="20"/>
              </w:rPr>
            </w:pPr>
            <w:r>
              <w:rPr>
                <w:sz w:val="20"/>
                <w:szCs w:val="20"/>
              </w:rPr>
              <w:t>31</w:t>
            </w:r>
            <w:r w:rsidRPr="000406F8">
              <w:rPr>
                <w:sz w:val="20"/>
                <w:szCs w:val="20"/>
                <w:vertAlign w:val="superscript"/>
              </w:rPr>
              <w:t>st</w:t>
            </w:r>
            <w:r>
              <w:rPr>
                <w:sz w:val="20"/>
                <w:szCs w:val="20"/>
              </w:rPr>
              <w:t xml:space="preserve"> Jan 2014</w:t>
            </w:r>
          </w:p>
        </w:tc>
        <w:tc>
          <w:tcPr>
            <w:tcW w:w="1418"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ind w:right="-499"/>
            </w:pPr>
          </w:p>
        </w:tc>
        <w:tc>
          <w:tcPr>
            <w:tcW w:w="1134"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pPr>
            <w:r w:rsidRPr="00E14FC4">
              <w:rPr>
                <w:sz w:val="16"/>
                <w:szCs w:val="16"/>
              </w:rPr>
              <w:fldChar w:fldCharType="begin">
                <w:ffData>
                  <w:name w:val="Check1"/>
                  <w:enabled/>
                  <w:calcOnExit w:val="0"/>
                  <w:checkBox>
                    <w:sizeAuto/>
                    <w:default w:val="0"/>
                  </w:checkBox>
                </w:ffData>
              </w:fldChar>
            </w:r>
            <w:r w:rsidRPr="00E14FC4">
              <w:rPr>
                <w:sz w:val="16"/>
                <w:szCs w:val="16"/>
              </w:rPr>
              <w:instrText xml:space="preserve"> FORMCHECKBOX </w:instrText>
            </w:r>
            <w:r w:rsidR="00777D6D">
              <w:rPr>
                <w:sz w:val="16"/>
                <w:szCs w:val="16"/>
              </w:rPr>
            </w:r>
            <w:r w:rsidR="00777D6D">
              <w:rPr>
                <w:sz w:val="16"/>
                <w:szCs w:val="16"/>
              </w:rPr>
              <w:fldChar w:fldCharType="separate"/>
            </w:r>
            <w:r w:rsidRPr="00E14FC4">
              <w:rPr>
                <w:sz w:val="16"/>
                <w:szCs w:val="16"/>
              </w:rPr>
              <w:fldChar w:fldCharType="end"/>
            </w:r>
            <w:r w:rsidRPr="00E14FC4">
              <w:rPr>
                <w:sz w:val="16"/>
                <w:szCs w:val="16"/>
              </w:rPr>
              <w:t xml:space="preserve">  Date:</w:t>
            </w:r>
          </w:p>
        </w:tc>
      </w:tr>
      <w:tr w:rsidR="00EB5E08" w:rsidTr="000406F8">
        <w:tc>
          <w:tcPr>
            <w:tcW w:w="425" w:type="dxa"/>
            <w:tcBorders>
              <w:top w:val="single" w:sz="4" w:space="0" w:color="5185C0"/>
              <w:left w:val="single" w:sz="4" w:space="0" w:color="5185C0"/>
              <w:bottom w:val="single" w:sz="4" w:space="0" w:color="5185C0"/>
              <w:right w:val="single" w:sz="4" w:space="0" w:color="5185C0"/>
            </w:tcBorders>
          </w:tcPr>
          <w:p w:rsidR="00EB5E08" w:rsidRPr="00566B88" w:rsidRDefault="00EB5E08" w:rsidP="004D2DE8">
            <w:pPr>
              <w:spacing w:before="120" w:after="120"/>
              <w:ind w:right="-499"/>
              <w:rPr>
                <w:color w:val="5185C0"/>
              </w:rPr>
            </w:pPr>
          </w:p>
          <w:p w:rsidR="00EB5E08" w:rsidRPr="00566B88" w:rsidRDefault="00EB5E08" w:rsidP="004D2DE8">
            <w:pPr>
              <w:spacing w:before="120" w:after="120"/>
              <w:ind w:right="-250"/>
              <w:rPr>
                <w:color w:val="5185C0"/>
              </w:rPr>
            </w:pPr>
            <w:r w:rsidRPr="00566B88">
              <w:rPr>
                <w:color w:val="5185C0"/>
              </w:rPr>
              <w:t>3</w:t>
            </w:r>
          </w:p>
        </w:tc>
        <w:tc>
          <w:tcPr>
            <w:tcW w:w="3545"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ind w:right="34"/>
            </w:pPr>
            <w:r w:rsidRPr="0087402E">
              <w:t>Discuss the CTA with your</w:t>
            </w:r>
            <w:r>
              <w:t xml:space="preserve"> </w:t>
            </w:r>
            <w:r w:rsidRPr="0087402E">
              <w:t>AT primary care team</w:t>
            </w:r>
            <w:r>
              <w:t xml:space="preserve"> and </w:t>
            </w:r>
            <w:r w:rsidRPr="0087402E">
              <w:t>Chair of the pharmacy LPN</w:t>
            </w:r>
            <w:r>
              <w:t>.</w:t>
            </w:r>
          </w:p>
        </w:tc>
        <w:tc>
          <w:tcPr>
            <w:tcW w:w="7654" w:type="dxa"/>
            <w:tcBorders>
              <w:top w:val="single" w:sz="4" w:space="0" w:color="5185C0"/>
              <w:left w:val="single" w:sz="4" w:space="0" w:color="5185C0"/>
              <w:bottom w:val="single" w:sz="4" w:space="0" w:color="5185C0"/>
              <w:right w:val="single" w:sz="4" w:space="0" w:color="5185C0"/>
            </w:tcBorders>
          </w:tcPr>
          <w:p w:rsidR="00EB5E08" w:rsidRDefault="00EB5E08" w:rsidP="00EB5E08">
            <w:pPr>
              <w:spacing w:before="120" w:after="120"/>
              <w:rPr>
                <w:sz w:val="20"/>
                <w:szCs w:val="20"/>
              </w:rPr>
            </w:pPr>
            <w:r>
              <w:rPr>
                <w:sz w:val="20"/>
                <w:szCs w:val="20"/>
              </w:rPr>
              <w:t>Seek to agree how the LPC can support the AT in getting a wide range of stakeholder involvement in the CTA.</w:t>
            </w:r>
          </w:p>
          <w:p w:rsidR="008709BF" w:rsidRDefault="008709BF" w:rsidP="00EB5E08">
            <w:pPr>
              <w:spacing w:before="120" w:after="120"/>
              <w:rPr>
                <w:sz w:val="20"/>
                <w:szCs w:val="20"/>
              </w:rPr>
            </w:pPr>
          </w:p>
          <w:p w:rsidR="008709BF" w:rsidRDefault="008709BF" w:rsidP="00EB5E08">
            <w:pPr>
              <w:spacing w:before="120" w:after="120"/>
              <w:rPr>
                <w:sz w:val="20"/>
                <w:szCs w:val="20"/>
              </w:rPr>
            </w:pPr>
          </w:p>
          <w:p w:rsidR="008709BF" w:rsidRPr="00EB5E08" w:rsidRDefault="008709BF" w:rsidP="00EB5E08">
            <w:pPr>
              <w:spacing w:before="120" w:after="120"/>
              <w:rPr>
                <w:sz w:val="20"/>
                <w:szCs w:val="20"/>
              </w:rPr>
            </w:pPr>
            <w:bookmarkStart w:id="0" w:name="_GoBack"/>
            <w:bookmarkEnd w:id="0"/>
          </w:p>
        </w:tc>
        <w:tc>
          <w:tcPr>
            <w:tcW w:w="1276" w:type="dxa"/>
            <w:tcBorders>
              <w:top w:val="single" w:sz="4" w:space="0" w:color="5185C0"/>
              <w:left w:val="single" w:sz="4" w:space="0" w:color="5185C0"/>
              <w:bottom w:val="single" w:sz="4" w:space="0" w:color="5185C0"/>
              <w:right w:val="single" w:sz="4" w:space="0" w:color="5185C0"/>
            </w:tcBorders>
          </w:tcPr>
          <w:p w:rsidR="00EB5E08" w:rsidRPr="000406F8" w:rsidRDefault="000406F8" w:rsidP="000406F8">
            <w:pPr>
              <w:spacing w:before="120" w:after="120"/>
              <w:jc w:val="center"/>
              <w:rPr>
                <w:sz w:val="20"/>
                <w:szCs w:val="20"/>
              </w:rPr>
            </w:pPr>
            <w:r w:rsidRPr="000406F8">
              <w:rPr>
                <w:sz w:val="20"/>
                <w:szCs w:val="20"/>
              </w:rPr>
              <w:t>1</w:t>
            </w:r>
            <w:r w:rsidRPr="000406F8">
              <w:rPr>
                <w:sz w:val="20"/>
                <w:szCs w:val="20"/>
                <w:vertAlign w:val="superscript"/>
              </w:rPr>
              <w:t>st</w:t>
            </w:r>
            <w:r w:rsidRPr="000406F8">
              <w:rPr>
                <w:sz w:val="20"/>
                <w:szCs w:val="20"/>
              </w:rPr>
              <w:t xml:space="preserve"> Jan 2014</w:t>
            </w:r>
          </w:p>
        </w:tc>
        <w:tc>
          <w:tcPr>
            <w:tcW w:w="1418"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ind w:right="-499"/>
            </w:pPr>
          </w:p>
        </w:tc>
        <w:tc>
          <w:tcPr>
            <w:tcW w:w="1134"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pPr>
            <w:r w:rsidRPr="00E14FC4">
              <w:rPr>
                <w:sz w:val="16"/>
                <w:szCs w:val="16"/>
              </w:rPr>
              <w:fldChar w:fldCharType="begin">
                <w:ffData>
                  <w:name w:val="Check1"/>
                  <w:enabled/>
                  <w:calcOnExit w:val="0"/>
                  <w:checkBox>
                    <w:sizeAuto/>
                    <w:default w:val="0"/>
                  </w:checkBox>
                </w:ffData>
              </w:fldChar>
            </w:r>
            <w:r w:rsidRPr="00E14FC4">
              <w:rPr>
                <w:sz w:val="16"/>
                <w:szCs w:val="16"/>
              </w:rPr>
              <w:instrText xml:space="preserve"> FORMCHECKBOX </w:instrText>
            </w:r>
            <w:r w:rsidR="00777D6D">
              <w:rPr>
                <w:sz w:val="16"/>
                <w:szCs w:val="16"/>
              </w:rPr>
            </w:r>
            <w:r w:rsidR="00777D6D">
              <w:rPr>
                <w:sz w:val="16"/>
                <w:szCs w:val="16"/>
              </w:rPr>
              <w:fldChar w:fldCharType="separate"/>
            </w:r>
            <w:r w:rsidRPr="00E14FC4">
              <w:rPr>
                <w:sz w:val="16"/>
                <w:szCs w:val="16"/>
              </w:rPr>
              <w:fldChar w:fldCharType="end"/>
            </w:r>
            <w:r w:rsidRPr="00E14FC4">
              <w:rPr>
                <w:sz w:val="16"/>
                <w:szCs w:val="16"/>
              </w:rPr>
              <w:t xml:space="preserve">  Date:</w:t>
            </w:r>
          </w:p>
        </w:tc>
      </w:tr>
      <w:tr w:rsidR="00EB5E08" w:rsidTr="000406F8">
        <w:tc>
          <w:tcPr>
            <w:tcW w:w="425"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Pr="00566B88" w:rsidRDefault="00EB5E08" w:rsidP="004D2DE8">
            <w:pPr>
              <w:spacing w:before="120" w:after="120"/>
              <w:ind w:right="-499"/>
              <w:rPr>
                <w:color w:val="5185C0"/>
              </w:rPr>
            </w:pPr>
          </w:p>
          <w:p w:rsidR="00EB5E08" w:rsidRPr="00566B88" w:rsidRDefault="00EB5E08" w:rsidP="004D2DE8">
            <w:pPr>
              <w:spacing w:before="120" w:after="120"/>
              <w:ind w:right="-250"/>
              <w:rPr>
                <w:color w:val="5185C0"/>
              </w:rPr>
            </w:pPr>
            <w:r w:rsidRPr="00566B88">
              <w:rPr>
                <w:color w:val="5185C0"/>
              </w:rPr>
              <w:t>4</w:t>
            </w:r>
          </w:p>
        </w:tc>
        <w:tc>
          <w:tcPr>
            <w:tcW w:w="3545"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ind w:right="34"/>
            </w:pPr>
            <w:r w:rsidRPr="0087402E">
              <w:t>Highlight the CTA and the importance of engaging with it to your contractors</w:t>
            </w:r>
            <w:r>
              <w:t>.</w:t>
            </w:r>
          </w:p>
        </w:tc>
        <w:tc>
          <w:tcPr>
            <w:tcW w:w="7654"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3B39CF" w:rsidP="00EB5E08">
            <w:pPr>
              <w:spacing w:before="120" w:after="120"/>
              <w:rPr>
                <w:sz w:val="20"/>
                <w:szCs w:val="20"/>
              </w:rPr>
            </w:pPr>
            <w:r>
              <w:rPr>
                <w:sz w:val="20"/>
                <w:szCs w:val="20"/>
              </w:rPr>
              <w:t>Use your website, newsletter and email network to contact contractors and their teams to raise awareness of the CTA an</w:t>
            </w:r>
            <w:r w:rsidR="00BA2744">
              <w:rPr>
                <w:sz w:val="20"/>
                <w:szCs w:val="20"/>
              </w:rPr>
              <w:t>d to encourage them to respond.</w:t>
            </w:r>
          </w:p>
          <w:p w:rsidR="00BA2744" w:rsidRPr="00BA2744" w:rsidRDefault="00777D6D" w:rsidP="00BA2744">
            <w:pPr>
              <w:spacing w:before="120" w:after="120"/>
              <w:rPr>
                <w:color w:val="5185C0"/>
                <w:sz w:val="20"/>
                <w:szCs w:val="20"/>
              </w:rPr>
            </w:pPr>
            <w:hyperlink r:id="rId12" w:history="1">
              <w:r w:rsidR="00BA2744" w:rsidRPr="00BA2744">
                <w:rPr>
                  <w:rStyle w:val="Hyperlink"/>
                  <w:color w:val="5185C0"/>
                  <w:sz w:val="20"/>
                  <w:szCs w:val="20"/>
                </w:rPr>
                <w:t>Template article on the CTA for LPC newsletters/email bulletins/website (Microsoft Word)</w:t>
              </w:r>
            </w:hyperlink>
          </w:p>
          <w:p w:rsidR="00BA2744" w:rsidRPr="00BA2744" w:rsidRDefault="00777D6D" w:rsidP="00BA2744">
            <w:pPr>
              <w:spacing w:before="120" w:after="120"/>
              <w:rPr>
                <w:color w:val="5185C0"/>
                <w:sz w:val="20"/>
                <w:szCs w:val="20"/>
              </w:rPr>
            </w:pPr>
            <w:hyperlink r:id="rId13" w:history="1">
              <w:r w:rsidR="00BA2744" w:rsidRPr="00BA2744">
                <w:rPr>
                  <w:rStyle w:val="Hyperlink"/>
                  <w:color w:val="5185C0"/>
                  <w:sz w:val="20"/>
                  <w:szCs w:val="20"/>
                </w:rPr>
                <w:t>Second template article on the CTA for LPC newsletters/email bulletins/website incorporating an invitation to an LPC meeting on the CT</w:t>
              </w:r>
              <w:r w:rsidR="00BA2744">
                <w:rPr>
                  <w:rStyle w:val="Hyperlink"/>
                  <w:color w:val="5185C0"/>
                  <w:sz w:val="20"/>
                  <w:szCs w:val="20"/>
                </w:rPr>
                <w:t>A (Microsoft Word)</w:t>
              </w:r>
            </w:hyperlink>
            <w:r w:rsidR="00BA2744" w:rsidRPr="00BA2744">
              <w:rPr>
                <w:color w:val="5185C0"/>
                <w:sz w:val="20"/>
                <w:szCs w:val="20"/>
              </w:rPr>
              <w:t> </w:t>
            </w:r>
          </w:p>
          <w:p w:rsidR="00BA2744" w:rsidRDefault="005F42F4" w:rsidP="00EB5E08">
            <w:pPr>
              <w:spacing w:before="120" w:after="120"/>
              <w:rPr>
                <w:sz w:val="20"/>
                <w:szCs w:val="20"/>
              </w:rPr>
            </w:pPr>
            <w:r>
              <w:rPr>
                <w:sz w:val="20"/>
                <w:szCs w:val="20"/>
              </w:rPr>
              <w:t>Keep repeating the key messages to contractors in your communications during February and early March.</w:t>
            </w:r>
            <w:r w:rsidR="00955554">
              <w:rPr>
                <w:sz w:val="20"/>
                <w:szCs w:val="20"/>
              </w:rPr>
              <w:t xml:space="preserve"> PSNC and the other pharmacy bodies will continue to push out messages to contractors and pharmacy teams about the importance of the CTA; look out for those messages and consider reiterating them in your local communications to contractors.</w:t>
            </w:r>
          </w:p>
          <w:p w:rsidR="00976B92" w:rsidRPr="00EB5E08" w:rsidRDefault="00976B92" w:rsidP="00EB5E08">
            <w:pPr>
              <w:spacing w:before="120" w:after="120"/>
              <w:rPr>
                <w:sz w:val="20"/>
                <w:szCs w:val="20"/>
              </w:rPr>
            </w:pPr>
            <w:r>
              <w:rPr>
                <w:sz w:val="20"/>
                <w:szCs w:val="20"/>
              </w:rPr>
              <w:t>Some LPCs said they were going to use their local ‘buddy networks’ to ensure all contractors received a phone call about the CTA from an LPC member.</w:t>
            </w:r>
          </w:p>
        </w:tc>
        <w:tc>
          <w:tcPr>
            <w:tcW w:w="1276"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Pr="000406F8" w:rsidRDefault="000406F8" w:rsidP="000406F8">
            <w:pPr>
              <w:spacing w:before="120" w:after="120"/>
              <w:jc w:val="center"/>
              <w:rPr>
                <w:sz w:val="20"/>
                <w:szCs w:val="20"/>
              </w:rPr>
            </w:pPr>
            <w:r w:rsidRPr="000406F8">
              <w:rPr>
                <w:sz w:val="20"/>
                <w:szCs w:val="20"/>
              </w:rPr>
              <w:t>1</w:t>
            </w:r>
            <w:r w:rsidRPr="000406F8">
              <w:rPr>
                <w:sz w:val="20"/>
                <w:szCs w:val="20"/>
                <w:vertAlign w:val="superscript"/>
              </w:rPr>
              <w:t>st</w:t>
            </w:r>
            <w:r w:rsidRPr="000406F8">
              <w:rPr>
                <w:sz w:val="20"/>
                <w:szCs w:val="20"/>
              </w:rPr>
              <w:t xml:space="preserve"> Jan 2014</w:t>
            </w:r>
            <w:r>
              <w:rPr>
                <w:sz w:val="20"/>
                <w:szCs w:val="20"/>
              </w:rPr>
              <w:t xml:space="preserve"> and repeat comms in early February and </w:t>
            </w:r>
            <w:r w:rsidR="00292212">
              <w:rPr>
                <w:sz w:val="20"/>
                <w:szCs w:val="20"/>
              </w:rPr>
              <w:t xml:space="preserve">early </w:t>
            </w:r>
            <w:r>
              <w:rPr>
                <w:sz w:val="20"/>
                <w:szCs w:val="20"/>
              </w:rPr>
              <w:t>March</w:t>
            </w:r>
          </w:p>
        </w:tc>
        <w:tc>
          <w:tcPr>
            <w:tcW w:w="1418"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ind w:right="-499"/>
            </w:pPr>
          </w:p>
        </w:tc>
        <w:tc>
          <w:tcPr>
            <w:tcW w:w="1134"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pPr>
            <w:r w:rsidRPr="009909A3">
              <w:rPr>
                <w:sz w:val="16"/>
                <w:szCs w:val="16"/>
              </w:rPr>
              <w:fldChar w:fldCharType="begin">
                <w:ffData>
                  <w:name w:val="Check1"/>
                  <w:enabled/>
                  <w:calcOnExit w:val="0"/>
                  <w:checkBox>
                    <w:sizeAuto/>
                    <w:default w:val="0"/>
                  </w:checkBox>
                </w:ffData>
              </w:fldChar>
            </w:r>
            <w:r w:rsidRPr="009909A3">
              <w:rPr>
                <w:sz w:val="16"/>
                <w:szCs w:val="16"/>
              </w:rPr>
              <w:instrText xml:space="preserve"> FORMCHECKBOX </w:instrText>
            </w:r>
            <w:r w:rsidR="00777D6D">
              <w:rPr>
                <w:sz w:val="16"/>
                <w:szCs w:val="16"/>
              </w:rPr>
            </w:r>
            <w:r w:rsidR="00777D6D">
              <w:rPr>
                <w:sz w:val="16"/>
                <w:szCs w:val="16"/>
              </w:rPr>
              <w:fldChar w:fldCharType="separate"/>
            </w:r>
            <w:r w:rsidRPr="009909A3">
              <w:rPr>
                <w:sz w:val="16"/>
                <w:szCs w:val="16"/>
              </w:rPr>
              <w:fldChar w:fldCharType="end"/>
            </w:r>
            <w:r w:rsidRPr="009909A3">
              <w:rPr>
                <w:sz w:val="16"/>
                <w:szCs w:val="16"/>
              </w:rPr>
              <w:t xml:space="preserve">  Date:</w:t>
            </w:r>
          </w:p>
        </w:tc>
      </w:tr>
      <w:tr w:rsidR="00EB5E08" w:rsidTr="00292212">
        <w:tc>
          <w:tcPr>
            <w:tcW w:w="425" w:type="dxa"/>
            <w:tcBorders>
              <w:top w:val="single" w:sz="4" w:space="0" w:color="5185C0"/>
              <w:left w:val="single" w:sz="4" w:space="0" w:color="5185C0"/>
              <w:bottom w:val="single" w:sz="4" w:space="0" w:color="5185C0"/>
              <w:right w:val="single" w:sz="4" w:space="0" w:color="5185C0"/>
            </w:tcBorders>
          </w:tcPr>
          <w:p w:rsidR="00EB5E08" w:rsidRPr="00566B88" w:rsidRDefault="00EB5E08" w:rsidP="004D2DE8">
            <w:pPr>
              <w:spacing w:before="120" w:after="120"/>
              <w:ind w:right="-499"/>
              <w:rPr>
                <w:color w:val="5185C0"/>
              </w:rPr>
            </w:pPr>
          </w:p>
          <w:p w:rsidR="00EB5E08" w:rsidRPr="00566B88" w:rsidRDefault="00EB5E08" w:rsidP="004D2DE8">
            <w:pPr>
              <w:spacing w:before="120" w:after="120"/>
              <w:ind w:right="-250"/>
              <w:rPr>
                <w:color w:val="5185C0"/>
              </w:rPr>
            </w:pPr>
            <w:r w:rsidRPr="00566B88">
              <w:rPr>
                <w:color w:val="5185C0"/>
              </w:rPr>
              <w:t>5</w:t>
            </w:r>
          </w:p>
        </w:tc>
        <w:tc>
          <w:tcPr>
            <w:tcW w:w="3545"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ind w:left="34" w:right="34"/>
            </w:pPr>
            <w:r w:rsidRPr="0087402E">
              <w:t>Consider organising a meeting for contractors on the CTA; this could be organised in partnership with neighbouring LPCs</w:t>
            </w:r>
            <w:r>
              <w:t>.</w:t>
            </w:r>
          </w:p>
        </w:tc>
        <w:tc>
          <w:tcPr>
            <w:tcW w:w="7654" w:type="dxa"/>
            <w:tcBorders>
              <w:top w:val="single" w:sz="4" w:space="0" w:color="5185C0"/>
              <w:left w:val="single" w:sz="4" w:space="0" w:color="5185C0"/>
              <w:bottom w:val="single" w:sz="4" w:space="0" w:color="5185C0"/>
              <w:right w:val="single" w:sz="4" w:space="0" w:color="5185C0"/>
            </w:tcBorders>
          </w:tcPr>
          <w:p w:rsidR="00EB5E08" w:rsidRDefault="003B39CF" w:rsidP="00EB5E08">
            <w:pPr>
              <w:spacing w:before="120" w:after="120"/>
              <w:rPr>
                <w:sz w:val="20"/>
                <w:szCs w:val="20"/>
              </w:rPr>
            </w:pPr>
            <w:r>
              <w:rPr>
                <w:sz w:val="20"/>
                <w:szCs w:val="20"/>
              </w:rPr>
              <w:t xml:space="preserve">If you organise a meeting for contractors, you could have small group discussions on the key issues to </w:t>
            </w:r>
            <w:r w:rsidR="000406F8">
              <w:rPr>
                <w:sz w:val="20"/>
                <w:szCs w:val="20"/>
              </w:rPr>
              <w:t xml:space="preserve">be </w:t>
            </w:r>
            <w:r>
              <w:rPr>
                <w:sz w:val="20"/>
                <w:szCs w:val="20"/>
              </w:rPr>
              <w:t>include</w:t>
            </w:r>
            <w:r w:rsidR="000406F8">
              <w:rPr>
                <w:sz w:val="20"/>
                <w:szCs w:val="20"/>
              </w:rPr>
              <w:t>d</w:t>
            </w:r>
            <w:r>
              <w:rPr>
                <w:sz w:val="20"/>
                <w:szCs w:val="20"/>
              </w:rPr>
              <w:t xml:space="preserve"> in responses to the CTA. You could also use the event to collect details o</w:t>
            </w:r>
            <w:r w:rsidR="00292212">
              <w:rPr>
                <w:sz w:val="20"/>
                <w:szCs w:val="20"/>
              </w:rPr>
              <w:t>f</w:t>
            </w:r>
            <w:r>
              <w:rPr>
                <w:sz w:val="20"/>
                <w:szCs w:val="20"/>
              </w:rPr>
              <w:t xml:space="preserve"> exemplar services or service related vignettes to include in your response.</w:t>
            </w:r>
          </w:p>
          <w:p w:rsidR="003B39CF" w:rsidRDefault="00777D6D" w:rsidP="00EB5E08">
            <w:pPr>
              <w:spacing w:before="120" w:after="120"/>
              <w:rPr>
                <w:sz w:val="20"/>
                <w:szCs w:val="20"/>
              </w:rPr>
            </w:pPr>
            <w:hyperlink r:id="rId14" w:history="1">
              <w:r w:rsidR="003B39CF" w:rsidRPr="003B39CF">
                <w:rPr>
                  <w:rStyle w:val="Hyperlink"/>
                  <w:color w:val="5185C0"/>
                  <w:sz w:val="20"/>
                  <w:szCs w:val="20"/>
                </w:rPr>
                <w:t>Temp</w:t>
              </w:r>
              <w:r w:rsidR="003B39CF" w:rsidRPr="00292212">
                <w:rPr>
                  <w:rStyle w:val="Hyperlink"/>
                  <w:color w:val="5185C0"/>
                  <w:sz w:val="20"/>
                  <w:szCs w:val="20"/>
                </w:rPr>
                <w:t xml:space="preserve">late PowerPoint </w:t>
              </w:r>
              <w:r w:rsidR="003B39CF" w:rsidRPr="003B39CF">
                <w:rPr>
                  <w:rStyle w:val="Hyperlink"/>
                  <w:color w:val="5185C0"/>
                  <w:sz w:val="20"/>
                  <w:szCs w:val="20"/>
                </w:rPr>
                <w:t>Presentation for use at LPC meetings for pharmacy teams</w:t>
              </w:r>
            </w:hyperlink>
          </w:p>
          <w:p w:rsidR="003B39CF" w:rsidRPr="003B39CF" w:rsidRDefault="00777D6D" w:rsidP="00EB5E08">
            <w:pPr>
              <w:spacing w:before="120" w:after="120"/>
              <w:rPr>
                <w:color w:val="5185C0"/>
                <w:sz w:val="20"/>
                <w:szCs w:val="20"/>
              </w:rPr>
            </w:pPr>
            <w:hyperlink r:id="rId15" w:history="1">
              <w:r w:rsidR="003B39CF" w:rsidRPr="003B39CF">
                <w:rPr>
                  <w:rStyle w:val="Hyperlink"/>
                  <w:color w:val="5185C0"/>
                  <w:sz w:val="20"/>
                  <w:szCs w:val="20"/>
                </w:rPr>
                <w:t>NHS England’s CTA questions and prompts for discussion (Microsoft Word)</w:t>
              </w:r>
            </w:hyperlink>
          </w:p>
          <w:p w:rsidR="003B39CF" w:rsidRDefault="00777D6D" w:rsidP="00EB5E08">
            <w:pPr>
              <w:spacing w:before="120" w:after="120"/>
              <w:rPr>
                <w:color w:val="5185C0"/>
                <w:sz w:val="20"/>
                <w:szCs w:val="20"/>
              </w:rPr>
            </w:pPr>
            <w:hyperlink r:id="rId16" w:history="1">
              <w:r w:rsidR="003B39CF" w:rsidRPr="00EB5E08">
                <w:rPr>
                  <w:rStyle w:val="Hyperlink"/>
                  <w:color w:val="5185C0"/>
                  <w:sz w:val="20"/>
                  <w:szCs w:val="20"/>
                </w:rPr>
                <w:t>LPC Response Planner</w:t>
              </w:r>
            </w:hyperlink>
          </w:p>
          <w:p w:rsidR="00BA2744" w:rsidRPr="00BA2744" w:rsidRDefault="00BA2744" w:rsidP="00EB5E08">
            <w:pPr>
              <w:spacing w:before="120" w:after="120"/>
              <w:rPr>
                <w:sz w:val="20"/>
                <w:szCs w:val="20"/>
              </w:rPr>
            </w:pPr>
            <w:r w:rsidRPr="00BA2744">
              <w:rPr>
                <w:sz w:val="20"/>
                <w:szCs w:val="20"/>
              </w:rPr>
              <w:t>Could your contractors help collect stakeholder comments in their pharmacies, e.g. the views of local GPs, nurses, care home managers etc.?</w:t>
            </w:r>
          </w:p>
          <w:p w:rsidR="00BA2744" w:rsidRDefault="00777D6D" w:rsidP="00BA2744">
            <w:pPr>
              <w:spacing w:before="120" w:after="120"/>
              <w:ind w:right="33"/>
              <w:rPr>
                <w:color w:val="5185C0"/>
                <w:sz w:val="20"/>
                <w:szCs w:val="20"/>
              </w:rPr>
            </w:pPr>
            <w:hyperlink r:id="rId17" w:history="1">
              <w:r w:rsidR="00037C8F" w:rsidRPr="00037C8F">
                <w:rPr>
                  <w:rStyle w:val="Hyperlink"/>
                  <w:color w:val="5185C0"/>
                  <w:sz w:val="20"/>
                  <w:szCs w:val="20"/>
                </w:rPr>
                <w:t>S</w:t>
              </w:r>
              <w:r w:rsidR="00BA2744" w:rsidRPr="00037C8F">
                <w:rPr>
                  <w:rStyle w:val="Hyperlink"/>
                  <w:color w:val="5185C0"/>
                  <w:sz w:val="20"/>
                  <w:szCs w:val="20"/>
                </w:rPr>
                <w:t xml:space="preserve">takeholder </w:t>
              </w:r>
              <w:r w:rsidR="00037C8F" w:rsidRPr="00037C8F">
                <w:rPr>
                  <w:rStyle w:val="Hyperlink"/>
                  <w:color w:val="5185C0"/>
                  <w:sz w:val="20"/>
                  <w:szCs w:val="20"/>
                </w:rPr>
                <w:t>feedback</w:t>
              </w:r>
              <w:r w:rsidR="00BA2744" w:rsidRPr="00037C8F">
                <w:rPr>
                  <w:rStyle w:val="Hyperlink"/>
                  <w:color w:val="5185C0"/>
                  <w:sz w:val="20"/>
                  <w:szCs w:val="20"/>
                </w:rPr>
                <w:t xml:space="preserve"> form</w:t>
              </w:r>
            </w:hyperlink>
          </w:p>
          <w:p w:rsidR="008709BF" w:rsidRPr="008709BF" w:rsidRDefault="00BA2744" w:rsidP="00BA2744">
            <w:pPr>
              <w:spacing w:before="120" w:after="120"/>
              <w:ind w:right="33"/>
              <w:rPr>
                <w:sz w:val="20"/>
                <w:szCs w:val="20"/>
              </w:rPr>
            </w:pPr>
            <w:r w:rsidRPr="00BA2744">
              <w:rPr>
                <w:sz w:val="20"/>
                <w:szCs w:val="20"/>
              </w:rPr>
              <w:t>You may want to invite representatives from a local CCG or the local authority to speak at the event as part of your stakeholder engagement work.</w:t>
            </w:r>
          </w:p>
        </w:tc>
        <w:tc>
          <w:tcPr>
            <w:tcW w:w="1276" w:type="dxa"/>
            <w:tcBorders>
              <w:top w:val="single" w:sz="4" w:space="0" w:color="5185C0"/>
              <w:left w:val="single" w:sz="4" w:space="0" w:color="5185C0"/>
              <w:bottom w:val="single" w:sz="4" w:space="0" w:color="5185C0"/>
              <w:right w:val="single" w:sz="4" w:space="0" w:color="5185C0"/>
            </w:tcBorders>
          </w:tcPr>
          <w:p w:rsidR="00EB5E08" w:rsidRDefault="00EB5E08" w:rsidP="00292212">
            <w:pPr>
              <w:jc w:val="center"/>
              <w:rPr>
                <w:sz w:val="16"/>
                <w:szCs w:val="16"/>
              </w:rPr>
            </w:pPr>
          </w:p>
          <w:p w:rsidR="00292212" w:rsidRPr="00292212" w:rsidRDefault="00292212" w:rsidP="00292212">
            <w:pPr>
              <w:jc w:val="center"/>
              <w:rPr>
                <w:sz w:val="20"/>
                <w:szCs w:val="20"/>
              </w:rPr>
            </w:pPr>
            <w:r w:rsidRPr="00292212">
              <w:rPr>
                <w:sz w:val="20"/>
                <w:szCs w:val="20"/>
              </w:rPr>
              <w:t>14</w:t>
            </w:r>
            <w:r w:rsidRPr="00292212">
              <w:rPr>
                <w:sz w:val="20"/>
                <w:szCs w:val="20"/>
                <w:vertAlign w:val="superscript"/>
              </w:rPr>
              <w:t>th</w:t>
            </w:r>
            <w:r w:rsidRPr="00292212">
              <w:rPr>
                <w:sz w:val="20"/>
                <w:szCs w:val="20"/>
              </w:rPr>
              <w:t xml:space="preserve"> </w:t>
            </w:r>
            <w:r>
              <w:rPr>
                <w:sz w:val="20"/>
                <w:szCs w:val="20"/>
              </w:rPr>
              <w:t>Feb 2014</w:t>
            </w:r>
          </w:p>
        </w:tc>
        <w:tc>
          <w:tcPr>
            <w:tcW w:w="1418"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ind w:right="-499"/>
            </w:pPr>
          </w:p>
        </w:tc>
        <w:tc>
          <w:tcPr>
            <w:tcW w:w="1134"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pPr>
            <w:r w:rsidRPr="009909A3">
              <w:rPr>
                <w:sz w:val="16"/>
                <w:szCs w:val="16"/>
              </w:rPr>
              <w:fldChar w:fldCharType="begin">
                <w:ffData>
                  <w:name w:val="Check1"/>
                  <w:enabled/>
                  <w:calcOnExit w:val="0"/>
                  <w:checkBox>
                    <w:sizeAuto/>
                    <w:default w:val="0"/>
                  </w:checkBox>
                </w:ffData>
              </w:fldChar>
            </w:r>
            <w:r w:rsidRPr="009909A3">
              <w:rPr>
                <w:sz w:val="16"/>
                <w:szCs w:val="16"/>
              </w:rPr>
              <w:instrText xml:space="preserve"> FORMCHECKBOX </w:instrText>
            </w:r>
            <w:r w:rsidR="00777D6D">
              <w:rPr>
                <w:sz w:val="16"/>
                <w:szCs w:val="16"/>
              </w:rPr>
            </w:r>
            <w:r w:rsidR="00777D6D">
              <w:rPr>
                <w:sz w:val="16"/>
                <w:szCs w:val="16"/>
              </w:rPr>
              <w:fldChar w:fldCharType="separate"/>
            </w:r>
            <w:r w:rsidRPr="009909A3">
              <w:rPr>
                <w:sz w:val="16"/>
                <w:szCs w:val="16"/>
              </w:rPr>
              <w:fldChar w:fldCharType="end"/>
            </w:r>
            <w:r w:rsidRPr="009909A3">
              <w:rPr>
                <w:sz w:val="16"/>
                <w:szCs w:val="16"/>
              </w:rPr>
              <w:t xml:space="preserve">  Date:</w:t>
            </w:r>
          </w:p>
        </w:tc>
      </w:tr>
      <w:tr w:rsidR="00EB5E08" w:rsidTr="00292212">
        <w:tc>
          <w:tcPr>
            <w:tcW w:w="425"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Pr="00566B88" w:rsidRDefault="00EB5E08" w:rsidP="004D2DE8">
            <w:pPr>
              <w:spacing w:before="120" w:after="120"/>
              <w:ind w:right="-499"/>
              <w:rPr>
                <w:color w:val="5185C0"/>
              </w:rPr>
            </w:pPr>
          </w:p>
          <w:p w:rsidR="00EB5E08" w:rsidRPr="00566B88" w:rsidRDefault="00EB5E08" w:rsidP="004D2DE8">
            <w:pPr>
              <w:spacing w:before="120" w:after="120"/>
              <w:ind w:right="-250"/>
              <w:rPr>
                <w:color w:val="5185C0"/>
              </w:rPr>
            </w:pPr>
            <w:r w:rsidRPr="00566B88">
              <w:rPr>
                <w:color w:val="5185C0"/>
              </w:rPr>
              <w:t>6</w:t>
            </w:r>
          </w:p>
        </w:tc>
        <w:tc>
          <w:tcPr>
            <w:tcW w:w="3545"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ind w:right="34"/>
            </w:pPr>
            <w:r w:rsidRPr="0087402E">
              <w:t xml:space="preserve">Approach local patient groups, </w:t>
            </w:r>
            <w:r w:rsidR="00982968">
              <w:t xml:space="preserve">councillors, </w:t>
            </w:r>
            <w:r w:rsidRPr="0087402E">
              <w:t xml:space="preserve">local Healthwatch, CCGs and other non-pharmacy stakeholders to highlight the call to </w:t>
            </w:r>
            <w:r w:rsidRPr="0087402E">
              <w:lastRenderedPageBreak/>
              <w:t>action and encourage them to participat</w:t>
            </w:r>
            <w:r>
              <w:t>e.</w:t>
            </w:r>
          </w:p>
        </w:tc>
        <w:tc>
          <w:tcPr>
            <w:tcW w:w="7654"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596C71" w:rsidP="00596C71">
            <w:pPr>
              <w:spacing w:before="120" w:after="120"/>
              <w:ind w:right="33"/>
              <w:rPr>
                <w:sz w:val="20"/>
                <w:szCs w:val="20"/>
              </w:rPr>
            </w:pPr>
            <w:r>
              <w:rPr>
                <w:sz w:val="20"/>
                <w:szCs w:val="20"/>
              </w:rPr>
              <w:lastRenderedPageBreak/>
              <w:t xml:space="preserve">This action is incredibly important, as the more external stakeholder support you can garner for developing community pharmacy services, the more credible your proposals will be. At the LPC workshops a small group discussion session considered the stakeholders that could be involved at a local level; a list of these stakeholders can be downloaded from </w:t>
            </w:r>
            <w:r>
              <w:rPr>
                <w:sz w:val="20"/>
                <w:szCs w:val="20"/>
              </w:rPr>
              <w:lastRenderedPageBreak/>
              <w:t>the PSNC website.</w:t>
            </w:r>
          </w:p>
          <w:p w:rsidR="00641E58" w:rsidRDefault="00777D6D" w:rsidP="00641E58">
            <w:pPr>
              <w:spacing w:before="120" w:after="120"/>
              <w:ind w:right="33"/>
              <w:rPr>
                <w:sz w:val="20"/>
                <w:szCs w:val="20"/>
              </w:rPr>
            </w:pPr>
            <w:hyperlink r:id="rId18" w:history="1">
              <w:r w:rsidR="00641E58" w:rsidRPr="00982968">
                <w:rPr>
                  <w:rStyle w:val="Hyperlink"/>
                  <w:color w:val="5185C0"/>
                  <w:sz w:val="20"/>
                  <w:szCs w:val="20"/>
                </w:rPr>
                <w:t>LPC Local Stakeholder Map and Action Plan</w:t>
              </w:r>
            </w:hyperlink>
          </w:p>
          <w:p w:rsidR="00292212" w:rsidRPr="00292212" w:rsidRDefault="00777D6D" w:rsidP="00596C71">
            <w:pPr>
              <w:spacing w:before="120" w:after="120"/>
              <w:ind w:right="33"/>
              <w:rPr>
                <w:color w:val="5185C0"/>
                <w:sz w:val="20"/>
                <w:szCs w:val="20"/>
              </w:rPr>
            </w:pPr>
            <w:hyperlink r:id="rId19" w:history="1">
              <w:r w:rsidR="00292212" w:rsidRPr="00292212">
                <w:rPr>
                  <w:rStyle w:val="Hyperlink"/>
                  <w:color w:val="5185C0"/>
                  <w:sz w:val="20"/>
                  <w:szCs w:val="20"/>
                </w:rPr>
                <w:t>Local stakeholder list</w:t>
              </w:r>
            </w:hyperlink>
          </w:p>
          <w:p w:rsidR="00596C71" w:rsidRDefault="00596C71" w:rsidP="00596C71">
            <w:pPr>
              <w:spacing w:before="120" w:after="120"/>
              <w:ind w:right="33"/>
              <w:rPr>
                <w:sz w:val="20"/>
                <w:szCs w:val="20"/>
              </w:rPr>
            </w:pPr>
            <w:r>
              <w:rPr>
                <w:sz w:val="20"/>
                <w:szCs w:val="20"/>
              </w:rPr>
              <w:t>For many of these groups it would be best to make a personal approach to encourage them to respond to the CTA. You may want to divide up your local stakeholder list between the members of the LPC. Local contractors may also be able to help where they have an existing link with one of the stakeholders.</w:t>
            </w:r>
            <w:r w:rsidR="000E3E78">
              <w:rPr>
                <w:sz w:val="20"/>
                <w:szCs w:val="20"/>
              </w:rPr>
              <w:t xml:space="preserve"> If a personal approach cannot be made an email or letter from the LPC may help to encourage the stakeholder to make a response; template text for an email or letter is available on the PSNC website.</w:t>
            </w:r>
          </w:p>
          <w:p w:rsidR="00292212" w:rsidRPr="00037C8F" w:rsidRDefault="00777D6D" w:rsidP="00292212">
            <w:pPr>
              <w:spacing w:before="120" w:after="120"/>
              <w:ind w:right="33"/>
              <w:rPr>
                <w:color w:val="5185C0"/>
                <w:sz w:val="20"/>
                <w:szCs w:val="20"/>
              </w:rPr>
            </w:pPr>
            <w:hyperlink r:id="rId20" w:history="1">
              <w:r w:rsidR="00292212" w:rsidRPr="00037C8F">
                <w:rPr>
                  <w:rStyle w:val="Hyperlink"/>
                  <w:color w:val="5185C0"/>
                  <w:sz w:val="20"/>
                  <w:szCs w:val="20"/>
                </w:rPr>
                <w:t>Template letter/email to local stakeholders</w:t>
              </w:r>
            </w:hyperlink>
          </w:p>
          <w:p w:rsidR="00292212" w:rsidRPr="00292212" w:rsidRDefault="00292212" w:rsidP="00292212">
            <w:pPr>
              <w:spacing w:before="120" w:after="120"/>
              <w:ind w:right="33"/>
              <w:rPr>
                <w:sz w:val="20"/>
                <w:szCs w:val="20"/>
              </w:rPr>
            </w:pPr>
            <w:r w:rsidRPr="00292212">
              <w:rPr>
                <w:sz w:val="20"/>
                <w:szCs w:val="20"/>
              </w:rPr>
              <w:t>A flyer on the CTA is also available to use with non-pharmacy stakeholders:</w:t>
            </w:r>
          </w:p>
          <w:p w:rsidR="00292212" w:rsidRDefault="00777D6D" w:rsidP="00292212">
            <w:pPr>
              <w:spacing w:before="120" w:after="120"/>
              <w:ind w:right="33"/>
              <w:rPr>
                <w:color w:val="5185C0"/>
                <w:sz w:val="20"/>
                <w:szCs w:val="20"/>
              </w:rPr>
            </w:pPr>
            <w:hyperlink r:id="rId21" w:history="1">
              <w:r w:rsidR="00292212" w:rsidRPr="00982968">
                <w:rPr>
                  <w:rStyle w:val="Hyperlink"/>
                  <w:color w:val="5185C0"/>
                  <w:sz w:val="20"/>
                  <w:szCs w:val="20"/>
                </w:rPr>
                <w:t>Flyer on the CTA for LPC use with non-pharmacy stakeholders</w:t>
              </w:r>
            </w:hyperlink>
          </w:p>
          <w:p w:rsidR="00596C71" w:rsidRDefault="00596C71" w:rsidP="00982968">
            <w:pPr>
              <w:spacing w:before="120" w:after="120"/>
              <w:ind w:right="33"/>
              <w:rPr>
                <w:sz w:val="20"/>
                <w:szCs w:val="20"/>
              </w:rPr>
            </w:pPr>
            <w:r>
              <w:rPr>
                <w:sz w:val="20"/>
                <w:szCs w:val="20"/>
              </w:rPr>
              <w:t>Some external stakeholders may be willing to submit a response to the AT, but other</w:t>
            </w:r>
            <w:r w:rsidR="00641E58">
              <w:rPr>
                <w:sz w:val="20"/>
                <w:szCs w:val="20"/>
              </w:rPr>
              <w:t>s</w:t>
            </w:r>
            <w:r>
              <w:rPr>
                <w:sz w:val="20"/>
                <w:szCs w:val="20"/>
              </w:rPr>
              <w:t xml:space="preserve"> may only have time to complete the national online questionnaire. If they don’t have time to do either, you may want to get them to</w:t>
            </w:r>
            <w:r w:rsidR="00982968">
              <w:rPr>
                <w:sz w:val="20"/>
                <w:szCs w:val="20"/>
              </w:rPr>
              <w:t xml:space="preserve"> write a few words on what services they would like community pharmacies to provide; a template form to capture these comments is available on the PSNC website. These comments could be collated by the LPC for inclusion in your response to the CTA.</w:t>
            </w:r>
          </w:p>
          <w:p w:rsidR="00037C8F" w:rsidRDefault="00777D6D" w:rsidP="00037C8F">
            <w:pPr>
              <w:spacing w:before="120" w:after="120"/>
              <w:ind w:right="33"/>
              <w:rPr>
                <w:color w:val="5185C0"/>
                <w:sz w:val="20"/>
                <w:szCs w:val="20"/>
              </w:rPr>
            </w:pPr>
            <w:hyperlink r:id="rId22" w:history="1">
              <w:r w:rsidR="00037C8F" w:rsidRPr="00037C8F">
                <w:rPr>
                  <w:rStyle w:val="Hyperlink"/>
                  <w:color w:val="5185C0"/>
                  <w:sz w:val="20"/>
                  <w:szCs w:val="20"/>
                </w:rPr>
                <w:t>Stakeh</w:t>
              </w:r>
              <w:r w:rsidR="00037C8F" w:rsidRPr="0051429F">
                <w:rPr>
                  <w:rStyle w:val="Hyperlink"/>
                  <w:color w:val="5185C0"/>
                  <w:sz w:val="20"/>
                  <w:szCs w:val="20"/>
                </w:rPr>
                <w:t>older feed</w:t>
              </w:r>
              <w:r w:rsidR="00037C8F" w:rsidRPr="00037C8F">
                <w:rPr>
                  <w:rStyle w:val="Hyperlink"/>
                  <w:color w:val="5185C0"/>
                  <w:sz w:val="20"/>
                  <w:szCs w:val="20"/>
                </w:rPr>
                <w:t>back form</w:t>
              </w:r>
            </w:hyperlink>
          </w:p>
          <w:p w:rsidR="00982968" w:rsidRDefault="00982968" w:rsidP="00982968">
            <w:pPr>
              <w:spacing w:before="120" w:after="120"/>
              <w:ind w:right="33"/>
              <w:rPr>
                <w:sz w:val="20"/>
                <w:szCs w:val="20"/>
              </w:rPr>
            </w:pPr>
            <w:r>
              <w:rPr>
                <w:sz w:val="20"/>
                <w:szCs w:val="20"/>
              </w:rPr>
              <w:t xml:space="preserve">You may want to </w:t>
            </w:r>
            <w:r w:rsidR="003B39CF">
              <w:rPr>
                <w:sz w:val="20"/>
                <w:szCs w:val="20"/>
              </w:rPr>
              <w:t>target local councillors with an interest in health to respond to the CTA, or to feed into the local authority response. You could invite local councillors (and possibly local MPs) to visit a community pharmacy in their area in order to learn more about the services that the sector offers.</w:t>
            </w:r>
          </w:p>
          <w:p w:rsidR="00037C8F" w:rsidRPr="00037C8F" w:rsidRDefault="00777D6D" w:rsidP="00982968">
            <w:pPr>
              <w:spacing w:before="120" w:after="120"/>
              <w:ind w:right="33"/>
              <w:rPr>
                <w:color w:val="5185C0"/>
                <w:sz w:val="20"/>
                <w:szCs w:val="20"/>
              </w:rPr>
            </w:pPr>
            <w:hyperlink r:id="rId23" w:history="1">
              <w:r w:rsidR="00037C8F" w:rsidRPr="00037C8F">
                <w:rPr>
                  <w:rStyle w:val="Hyperlink"/>
                  <w:color w:val="5185C0"/>
                  <w:sz w:val="20"/>
                  <w:szCs w:val="20"/>
                </w:rPr>
                <w:t>Template letter/email to a Councillor or MP</w:t>
              </w:r>
            </w:hyperlink>
          </w:p>
          <w:p w:rsidR="00D86942" w:rsidRDefault="00777D6D" w:rsidP="00982968">
            <w:pPr>
              <w:spacing w:before="120" w:after="120"/>
              <w:ind w:right="33"/>
              <w:rPr>
                <w:rStyle w:val="Hyperlink"/>
                <w:color w:val="5185C0"/>
                <w:sz w:val="20"/>
                <w:szCs w:val="20"/>
              </w:rPr>
            </w:pPr>
            <w:hyperlink r:id="rId24" w:history="1">
              <w:r w:rsidR="00D86942" w:rsidRPr="00D86942">
                <w:rPr>
                  <w:rStyle w:val="Hyperlink"/>
                  <w:color w:val="5185C0"/>
                  <w:sz w:val="20"/>
                  <w:szCs w:val="20"/>
                </w:rPr>
                <w:t xml:space="preserve">PSNC flyer on </w:t>
              </w:r>
              <w:r w:rsidR="00D86942">
                <w:rPr>
                  <w:rStyle w:val="Hyperlink"/>
                  <w:color w:val="5185C0"/>
                  <w:sz w:val="20"/>
                  <w:szCs w:val="20"/>
                </w:rPr>
                <w:t>its</w:t>
              </w:r>
              <w:r w:rsidR="00D86942" w:rsidRPr="00D86942">
                <w:rPr>
                  <w:rStyle w:val="Hyperlink"/>
                  <w:color w:val="5185C0"/>
                  <w:sz w:val="20"/>
                  <w:szCs w:val="20"/>
                </w:rPr>
                <w:t xml:space="preserve"> Vision</w:t>
              </w:r>
            </w:hyperlink>
          </w:p>
          <w:p w:rsidR="0051429F" w:rsidRPr="00037C8F" w:rsidRDefault="0051429F" w:rsidP="00982968">
            <w:pPr>
              <w:spacing w:before="120" w:after="120"/>
              <w:ind w:right="33"/>
              <w:rPr>
                <w:color w:val="5185C0"/>
                <w:sz w:val="20"/>
                <w:szCs w:val="20"/>
              </w:rPr>
            </w:pPr>
            <w:r w:rsidRPr="0051429F">
              <w:rPr>
                <w:sz w:val="20"/>
                <w:szCs w:val="20"/>
              </w:rPr>
              <w:t>The </w:t>
            </w:r>
            <w:hyperlink r:id="rId25" w:tgtFrame="_blank" w:history="1">
              <w:r w:rsidRPr="0051429F">
                <w:rPr>
                  <w:rStyle w:val="Hyperlink"/>
                  <w:color w:val="5185C0"/>
                  <w:sz w:val="20"/>
                  <w:szCs w:val="20"/>
                </w:rPr>
                <w:t>LGA booklet - Community Pharmacy – Local Government’s new public health role</w:t>
              </w:r>
            </w:hyperlink>
            <w:r w:rsidRPr="0051429F">
              <w:rPr>
                <w:sz w:val="20"/>
                <w:szCs w:val="20"/>
              </w:rPr>
              <w:t xml:space="preserve"> may be a useful resource to send with </w:t>
            </w:r>
            <w:r>
              <w:rPr>
                <w:sz w:val="20"/>
                <w:szCs w:val="20"/>
              </w:rPr>
              <w:t>an email/letter to a councillor.</w:t>
            </w:r>
          </w:p>
        </w:tc>
        <w:tc>
          <w:tcPr>
            <w:tcW w:w="1276"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292212">
            <w:pPr>
              <w:jc w:val="center"/>
              <w:rPr>
                <w:sz w:val="20"/>
                <w:szCs w:val="20"/>
              </w:rPr>
            </w:pPr>
          </w:p>
          <w:p w:rsidR="00292212" w:rsidRPr="00292212" w:rsidRDefault="00292212" w:rsidP="00641E58">
            <w:pPr>
              <w:jc w:val="center"/>
              <w:rPr>
                <w:sz w:val="20"/>
                <w:szCs w:val="20"/>
              </w:rPr>
            </w:pPr>
            <w:r>
              <w:rPr>
                <w:sz w:val="20"/>
                <w:szCs w:val="20"/>
              </w:rPr>
              <w:t>1</w:t>
            </w:r>
            <w:r w:rsidR="00641E58">
              <w:rPr>
                <w:sz w:val="20"/>
                <w:szCs w:val="20"/>
              </w:rPr>
              <w:t>7</w:t>
            </w:r>
            <w:r w:rsidRPr="00292212">
              <w:rPr>
                <w:sz w:val="20"/>
                <w:szCs w:val="20"/>
                <w:vertAlign w:val="superscript"/>
              </w:rPr>
              <w:t>th</w:t>
            </w:r>
            <w:r>
              <w:rPr>
                <w:sz w:val="20"/>
                <w:szCs w:val="20"/>
              </w:rPr>
              <w:t xml:space="preserve"> Feb 2014</w:t>
            </w:r>
          </w:p>
        </w:tc>
        <w:tc>
          <w:tcPr>
            <w:tcW w:w="1418"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ind w:right="-499"/>
            </w:pPr>
          </w:p>
        </w:tc>
        <w:tc>
          <w:tcPr>
            <w:tcW w:w="1134"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pPr>
            <w:r w:rsidRPr="009909A3">
              <w:rPr>
                <w:sz w:val="16"/>
                <w:szCs w:val="16"/>
              </w:rPr>
              <w:fldChar w:fldCharType="begin">
                <w:ffData>
                  <w:name w:val="Check1"/>
                  <w:enabled/>
                  <w:calcOnExit w:val="0"/>
                  <w:checkBox>
                    <w:sizeAuto/>
                    <w:default w:val="0"/>
                  </w:checkBox>
                </w:ffData>
              </w:fldChar>
            </w:r>
            <w:r w:rsidRPr="009909A3">
              <w:rPr>
                <w:sz w:val="16"/>
                <w:szCs w:val="16"/>
              </w:rPr>
              <w:instrText xml:space="preserve"> FORMCHECKBOX </w:instrText>
            </w:r>
            <w:r w:rsidR="00777D6D">
              <w:rPr>
                <w:sz w:val="16"/>
                <w:szCs w:val="16"/>
              </w:rPr>
            </w:r>
            <w:r w:rsidR="00777D6D">
              <w:rPr>
                <w:sz w:val="16"/>
                <w:szCs w:val="16"/>
              </w:rPr>
              <w:fldChar w:fldCharType="separate"/>
            </w:r>
            <w:r w:rsidRPr="009909A3">
              <w:rPr>
                <w:sz w:val="16"/>
                <w:szCs w:val="16"/>
              </w:rPr>
              <w:fldChar w:fldCharType="end"/>
            </w:r>
            <w:r w:rsidRPr="009909A3">
              <w:rPr>
                <w:sz w:val="16"/>
                <w:szCs w:val="16"/>
              </w:rPr>
              <w:t xml:space="preserve">  Date:</w:t>
            </w:r>
          </w:p>
        </w:tc>
      </w:tr>
      <w:tr w:rsidR="00EB5E08" w:rsidTr="00641E58">
        <w:tc>
          <w:tcPr>
            <w:tcW w:w="425" w:type="dxa"/>
            <w:tcBorders>
              <w:top w:val="single" w:sz="4" w:space="0" w:color="5185C0"/>
              <w:left w:val="single" w:sz="4" w:space="0" w:color="5185C0"/>
              <w:bottom w:val="single" w:sz="4" w:space="0" w:color="5185C0"/>
              <w:right w:val="single" w:sz="4" w:space="0" w:color="5185C0"/>
            </w:tcBorders>
          </w:tcPr>
          <w:p w:rsidR="00EB5E08" w:rsidRPr="00566B88" w:rsidRDefault="00EB5E08" w:rsidP="004D2DE8">
            <w:pPr>
              <w:spacing w:before="120" w:after="120"/>
              <w:ind w:right="-499"/>
              <w:rPr>
                <w:color w:val="5185C0"/>
              </w:rPr>
            </w:pPr>
          </w:p>
          <w:p w:rsidR="00EB5E08" w:rsidRPr="00566B88" w:rsidRDefault="00EB5E08" w:rsidP="004D2DE8">
            <w:pPr>
              <w:spacing w:before="120" w:after="120"/>
              <w:ind w:right="-250"/>
              <w:rPr>
                <w:color w:val="5185C0"/>
              </w:rPr>
            </w:pPr>
            <w:r w:rsidRPr="00566B88">
              <w:rPr>
                <w:color w:val="5185C0"/>
              </w:rPr>
              <w:t>7</w:t>
            </w:r>
          </w:p>
        </w:tc>
        <w:tc>
          <w:tcPr>
            <w:tcW w:w="3545" w:type="dxa"/>
            <w:tcBorders>
              <w:top w:val="single" w:sz="4" w:space="0" w:color="5185C0"/>
              <w:left w:val="single" w:sz="4" w:space="0" w:color="5185C0"/>
              <w:bottom w:val="single" w:sz="4" w:space="0" w:color="5185C0"/>
              <w:right w:val="single" w:sz="4" w:space="0" w:color="5185C0"/>
            </w:tcBorders>
          </w:tcPr>
          <w:p w:rsidR="00EB5E08" w:rsidRDefault="00596C71" w:rsidP="004D2DE8">
            <w:pPr>
              <w:spacing w:before="120" w:after="120"/>
              <w:ind w:right="34"/>
            </w:pPr>
            <w:r>
              <w:t>Approach the local media to seek coverage of the CTA in order to encourage local people to respond.</w:t>
            </w:r>
          </w:p>
        </w:tc>
        <w:tc>
          <w:tcPr>
            <w:tcW w:w="7654" w:type="dxa"/>
            <w:tcBorders>
              <w:top w:val="single" w:sz="4" w:space="0" w:color="5185C0"/>
              <w:left w:val="single" w:sz="4" w:space="0" w:color="5185C0"/>
              <w:bottom w:val="single" w:sz="4" w:space="0" w:color="5185C0"/>
              <w:right w:val="single" w:sz="4" w:space="0" w:color="5185C0"/>
            </w:tcBorders>
          </w:tcPr>
          <w:p w:rsidR="00EB5E08" w:rsidRDefault="00596C71" w:rsidP="005F42F4">
            <w:pPr>
              <w:spacing w:before="120" w:after="120"/>
              <w:rPr>
                <w:sz w:val="20"/>
                <w:szCs w:val="20"/>
              </w:rPr>
            </w:pPr>
            <w:r>
              <w:rPr>
                <w:sz w:val="20"/>
                <w:szCs w:val="20"/>
              </w:rPr>
              <w:t xml:space="preserve">A </w:t>
            </w:r>
            <w:r w:rsidRPr="00641E58">
              <w:rPr>
                <w:sz w:val="20"/>
                <w:szCs w:val="20"/>
              </w:rPr>
              <w:t>press release template</w:t>
            </w:r>
            <w:r>
              <w:rPr>
                <w:sz w:val="20"/>
                <w:szCs w:val="20"/>
              </w:rPr>
              <w:t xml:space="preserve"> is available</w:t>
            </w:r>
            <w:r w:rsidR="005F42F4">
              <w:rPr>
                <w:sz w:val="20"/>
                <w:szCs w:val="20"/>
              </w:rPr>
              <w:t xml:space="preserve"> on the PSNC website to help you gain media interest in the CTA</w:t>
            </w:r>
            <w:r w:rsidR="00641E58">
              <w:rPr>
                <w:sz w:val="20"/>
                <w:szCs w:val="20"/>
              </w:rPr>
              <w:t xml:space="preserve"> and assist in raising awareness of any events the LPC or AT is arranging to seek the views of patients on the CTA</w:t>
            </w:r>
            <w:r w:rsidR="005F42F4">
              <w:rPr>
                <w:sz w:val="20"/>
                <w:szCs w:val="20"/>
              </w:rPr>
              <w:t>. If you are organising a pharmacy visit for local councillors or an MP you could engage the media with this as well.</w:t>
            </w:r>
          </w:p>
          <w:p w:rsidR="00641E58" w:rsidRPr="00EB5E08" w:rsidRDefault="00777D6D" w:rsidP="005F42F4">
            <w:pPr>
              <w:spacing w:before="120" w:after="120"/>
              <w:rPr>
                <w:sz w:val="20"/>
                <w:szCs w:val="20"/>
              </w:rPr>
            </w:pPr>
            <w:hyperlink r:id="rId26" w:history="1">
              <w:r w:rsidR="00641E58">
                <w:rPr>
                  <w:rStyle w:val="Hyperlink"/>
                  <w:color w:val="5185C0"/>
                  <w:sz w:val="20"/>
                  <w:szCs w:val="20"/>
                </w:rPr>
                <w:t>P</w:t>
              </w:r>
              <w:r w:rsidR="00641E58" w:rsidRPr="00037C8F">
                <w:rPr>
                  <w:rStyle w:val="Hyperlink"/>
                  <w:color w:val="5185C0"/>
                  <w:sz w:val="20"/>
                  <w:szCs w:val="20"/>
                </w:rPr>
                <w:t>ress release template</w:t>
              </w:r>
            </w:hyperlink>
          </w:p>
        </w:tc>
        <w:tc>
          <w:tcPr>
            <w:tcW w:w="1276" w:type="dxa"/>
            <w:tcBorders>
              <w:top w:val="single" w:sz="4" w:space="0" w:color="5185C0"/>
              <w:left w:val="single" w:sz="4" w:space="0" w:color="5185C0"/>
              <w:bottom w:val="single" w:sz="4" w:space="0" w:color="5185C0"/>
              <w:right w:val="single" w:sz="4" w:space="0" w:color="5185C0"/>
            </w:tcBorders>
          </w:tcPr>
          <w:p w:rsidR="00EB5E08" w:rsidRDefault="00EB5E08" w:rsidP="00641E58">
            <w:pPr>
              <w:ind w:right="34"/>
              <w:jc w:val="center"/>
              <w:rPr>
                <w:sz w:val="20"/>
                <w:szCs w:val="20"/>
              </w:rPr>
            </w:pPr>
          </w:p>
          <w:p w:rsidR="00641E58" w:rsidRPr="00641E58" w:rsidRDefault="00641E58" w:rsidP="00641E58">
            <w:pPr>
              <w:ind w:right="34"/>
              <w:jc w:val="center"/>
              <w:rPr>
                <w:sz w:val="20"/>
                <w:szCs w:val="20"/>
              </w:rPr>
            </w:pPr>
            <w:r>
              <w:rPr>
                <w:sz w:val="20"/>
                <w:szCs w:val="20"/>
              </w:rPr>
              <w:t>17</w:t>
            </w:r>
            <w:r w:rsidRPr="00641E58">
              <w:rPr>
                <w:sz w:val="20"/>
                <w:szCs w:val="20"/>
                <w:vertAlign w:val="superscript"/>
              </w:rPr>
              <w:t>th</w:t>
            </w:r>
            <w:r>
              <w:rPr>
                <w:sz w:val="20"/>
                <w:szCs w:val="20"/>
              </w:rPr>
              <w:t xml:space="preserve"> Feb 2014</w:t>
            </w:r>
          </w:p>
        </w:tc>
        <w:tc>
          <w:tcPr>
            <w:tcW w:w="1418"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ind w:right="-499"/>
            </w:pPr>
          </w:p>
        </w:tc>
        <w:tc>
          <w:tcPr>
            <w:tcW w:w="1134"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pPr>
            <w:r w:rsidRPr="009909A3">
              <w:rPr>
                <w:sz w:val="16"/>
                <w:szCs w:val="16"/>
              </w:rPr>
              <w:fldChar w:fldCharType="begin">
                <w:ffData>
                  <w:name w:val="Check1"/>
                  <w:enabled/>
                  <w:calcOnExit w:val="0"/>
                  <w:checkBox>
                    <w:sizeAuto/>
                    <w:default w:val="0"/>
                  </w:checkBox>
                </w:ffData>
              </w:fldChar>
            </w:r>
            <w:r w:rsidRPr="009909A3">
              <w:rPr>
                <w:sz w:val="16"/>
                <w:szCs w:val="16"/>
              </w:rPr>
              <w:instrText xml:space="preserve"> FORMCHECKBOX </w:instrText>
            </w:r>
            <w:r w:rsidR="00777D6D">
              <w:rPr>
                <w:sz w:val="16"/>
                <w:szCs w:val="16"/>
              </w:rPr>
            </w:r>
            <w:r w:rsidR="00777D6D">
              <w:rPr>
                <w:sz w:val="16"/>
                <w:szCs w:val="16"/>
              </w:rPr>
              <w:fldChar w:fldCharType="separate"/>
            </w:r>
            <w:r w:rsidRPr="009909A3">
              <w:rPr>
                <w:sz w:val="16"/>
                <w:szCs w:val="16"/>
              </w:rPr>
              <w:fldChar w:fldCharType="end"/>
            </w:r>
            <w:r w:rsidRPr="009909A3">
              <w:rPr>
                <w:sz w:val="16"/>
                <w:szCs w:val="16"/>
              </w:rPr>
              <w:t xml:space="preserve">  Date:</w:t>
            </w:r>
          </w:p>
        </w:tc>
      </w:tr>
      <w:tr w:rsidR="00EB5E08" w:rsidTr="00641E58">
        <w:trPr>
          <w:trHeight w:val="56"/>
        </w:trPr>
        <w:tc>
          <w:tcPr>
            <w:tcW w:w="425"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Pr="00566B88" w:rsidRDefault="00EB5E08" w:rsidP="004D2DE8">
            <w:pPr>
              <w:spacing w:before="120" w:after="120"/>
              <w:ind w:right="-499"/>
              <w:rPr>
                <w:color w:val="5185C0"/>
              </w:rPr>
            </w:pPr>
          </w:p>
          <w:p w:rsidR="00EB5E08" w:rsidRPr="00566B88" w:rsidRDefault="00A014AB" w:rsidP="004D2DE8">
            <w:pPr>
              <w:spacing w:before="120" w:after="120"/>
              <w:ind w:right="-250"/>
              <w:rPr>
                <w:color w:val="5185C0"/>
              </w:rPr>
            </w:pPr>
            <w:r>
              <w:rPr>
                <w:color w:val="5185C0"/>
              </w:rPr>
              <w:t>8</w:t>
            </w:r>
          </w:p>
        </w:tc>
        <w:tc>
          <w:tcPr>
            <w:tcW w:w="3545"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641E58">
            <w:pPr>
              <w:spacing w:before="120" w:after="120"/>
              <w:ind w:right="34"/>
            </w:pPr>
            <w:r w:rsidRPr="0087402E">
              <w:t xml:space="preserve">Identify good examples of pharmacy services that demonstrate how </w:t>
            </w:r>
            <w:r w:rsidR="00641E58">
              <w:t>the sector</w:t>
            </w:r>
            <w:r w:rsidRPr="0087402E">
              <w:t xml:space="preserve"> can help the NHS provide better, more accessible patient car</w:t>
            </w:r>
            <w:r>
              <w:t>e.</w:t>
            </w:r>
          </w:p>
        </w:tc>
        <w:tc>
          <w:tcPr>
            <w:tcW w:w="7654"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Pr="00EB5E08" w:rsidRDefault="005F42F4" w:rsidP="005F42F4">
            <w:pPr>
              <w:spacing w:before="120" w:after="120"/>
              <w:rPr>
                <w:sz w:val="20"/>
                <w:szCs w:val="20"/>
              </w:rPr>
            </w:pPr>
            <w:r>
              <w:rPr>
                <w:sz w:val="20"/>
                <w:szCs w:val="20"/>
              </w:rPr>
              <w:t xml:space="preserve">If you identify good </w:t>
            </w:r>
            <w:r w:rsidRPr="005F42F4">
              <w:rPr>
                <w:sz w:val="20"/>
                <w:szCs w:val="20"/>
              </w:rPr>
              <w:t>examples of successful community pharmacy services that you believe would support PSNC’s submission</w:t>
            </w:r>
            <w:r>
              <w:rPr>
                <w:sz w:val="20"/>
                <w:szCs w:val="20"/>
              </w:rPr>
              <w:t xml:space="preserve"> to the CTA</w:t>
            </w:r>
            <w:r w:rsidRPr="005F42F4">
              <w:rPr>
                <w:sz w:val="20"/>
                <w:szCs w:val="20"/>
              </w:rPr>
              <w:t xml:space="preserve">, please email them to </w:t>
            </w:r>
            <w:hyperlink r:id="rId27" w:history="1">
              <w:r w:rsidRPr="005F42F4">
                <w:rPr>
                  <w:rStyle w:val="Hyperlink"/>
                  <w:color w:val="5185C0"/>
                  <w:sz w:val="20"/>
                  <w:szCs w:val="20"/>
                </w:rPr>
                <w:t>Alastair Buxton</w:t>
              </w:r>
            </w:hyperlink>
            <w:r w:rsidRPr="005F42F4">
              <w:rPr>
                <w:sz w:val="20"/>
                <w:szCs w:val="20"/>
              </w:rPr>
              <w:t>.</w:t>
            </w:r>
          </w:p>
        </w:tc>
        <w:tc>
          <w:tcPr>
            <w:tcW w:w="1276"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641E58">
            <w:pPr>
              <w:ind w:right="34"/>
              <w:jc w:val="center"/>
              <w:rPr>
                <w:sz w:val="20"/>
                <w:szCs w:val="20"/>
              </w:rPr>
            </w:pPr>
          </w:p>
          <w:p w:rsidR="00641E58" w:rsidRPr="00641E58" w:rsidRDefault="00641E58" w:rsidP="00641E58">
            <w:pPr>
              <w:ind w:right="34"/>
              <w:jc w:val="center"/>
              <w:rPr>
                <w:sz w:val="20"/>
                <w:szCs w:val="20"/>
              </w:rPr>
            </w:pPr>
            <w:r>
              <w:rPr>
                <w:sz w:val="20"/>
                <w:szCs w:val="20"/>
              </w:rPr>
              <w:t>3</w:t>
            </w:r>
            <w:r w:rsidRPr="00641E58">
              <w:rPr>
                <w:sz w:val="20"/>
                <w:szCs w:val="20"/>
                <w:vertAlign w:val="superscript"/>
              </w:rPr>
              <w:t>rd</w:t>
            </w:r>
            <w:r>
              <w:rPr>
                <w:sz w:val="20"/>
                <w:szCs w:val="20"/>
              </w:rPr>
              <w:t xml:space="preserve"> March 2014</w:t>
            </w:r>
          </w:p>
        </w:tc>
        <w:tc>
          <w:tcPr>
            <w:tcW w:w="1418"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ind w:right="-499"/>
            </w:pPr>
          </w:p>
        </w:tc>
        <w:tc>
          <w:tcPr>
            <w:tcW w:w="1134" w:type="dxa"/>
            <w:tcBorders>
              <w:top w:val="single" w:sz="4" w:space="0" w:color="5185C0"/>
              <w:left w:val="single" w:sz="4" w:space="0" w:color="5185C0"/>
              <w:bottom w:val="single" w:sz="4" w:space="0" w:color="5185C0"/>
              <w:right w:val="single" w:sz="4" w:space="0" w:color="5185C0"/>
            </w:tcBorders>
            <w:shd w:val="clear" w:color="auto" w:fill="F2F2F2" w:themeFill="background1" w:themeFillShade="F2"/>
          </w:tcPr>
          <w:p w:rsidR="00EB5E08" w:rsidRDefault="00EB5E08" w:rsidP="004D2DE8">
            <w:pPr>
              <w:spacing w:before="120" w:after="120"/>
            </w:pPr>
            <w:r w:rsidRPr="009909A3">
              <w:rPr>
                <w:sz w:val="16"/>
                <w:szCs w:val="16"/>
              </w:rPr>
              <w:fldChar w:fldCharType="begin">
                <w:ffData>
                  <w:name w:val="Check1"/>
                  <w:enabled/>
                  <w:calcOnExit w:val="0"/>
                  <w:checkBox>
                    <w:sizeAuto/>
                    <w:default w:val="0"/>
                  </w:checkBox>
                </w:ffData>
              </w:fldChar>
            </w:r>
            <w:r w:rsidRPr="009909A3">
              <w:rPr>
                <w:sz w:val="16"/>
                <w:szCs w:val="16"/>
              </w:rPr>
              <w:instrText xml:space="preserve"> FORMCHECKBOX </w:instrText>
            </w:r>
            <w:r w:rsidR="00777D6D">
              <w:rPr>
                <w:sz w:val="16"/>
                <w:szCs w:val="16"/>
              </w:rPr>
            </w:r>
            <w:r w:rsidR="00777D6D">
              <w:rPr>
                <w:sz w:val="16"/>
                <w:szCs w:val="16"/>
              </w:rPr>
              <w:fldChar w:fldCharType="separate"/>
            </w:r>
            <w:r w:rsidRPr="009909A3">
              <w:rPr>
                <w:sz w:val="16"/>
                <w:szCs w:val="16"/>
              </w:rPr>
              <w:fldChar w:fldCharType="end"/>
            </w:r>
            <w:r w:rsidRPr="009909A3">
              <w:rPr>
                <w:sz w:val="16"/>
                <w:szCs w:val="16"/>
              </w:rPr>
              <w:t xml:space="preserve">  Date:</w:t>
            </w:r>
          </w:p>
        </w:tc>
      </w:tr>
      <w:tr w:rsidR="00EB5E08" w:rsidRPr="009909A3" w:rsidTr="00EB5E08">
        <w:tc>
          <w:tcPr>
            <w:tcW w:w="425" w:type="dxa"/>
            <w:tcBorders>
              <w:top w:val="single" w:sz="4" w:space="0" w:color="5185C0"/>
              <w:left w:val="single" w:sz="4" w:space="0" w:color="5185C0"/>
              <w:bottom w:val="single" w:sz="4" w:space="0" w:color="5185C0"/>
              <w:right w:val="single" w:sz="4" w:space="0" w:color="5185C0"/>
            </w:tcBorders>
          </w:tcPr>
          <w:p w:rsidR="00A014AB" w:rsidRPr="00566B88" w:rsidRDefault="00A014AB" w:rsidP="00A014AB">
            <w:pPr>
              <w:spacing w:before="120" w:after="120"/>
              <w:ind w:right="-499"/>
              <w:rPr>
                <w:color w:val="5185C0"/>
              </w:rPr>
            </w:pPr>
          </w:p>
          <w:p w:rsidR="00EB5E08" w:rsidRPr="00566B88" w:rsidRDefault="00A014AB" w:rsidP="00A014AB">
            <w:pPr>
              <w:spacing w:before="120" w:after="120"/>
              <w:ind w:right="-499"/>
              <w:rPr>
                <w:color w:val="5185C0"/>
              </w:rPr>
            </w:pPr>
            <w:r>
              <w:rPr>
                <w:color w:val="5185C0"/>
              </w:rPr>
              <w:t>9</w:t>
            </w:r>
          </w:p>
        </w:tc>
        <w:tc>
          <w:tcPr>
            <w:tcW w:w="3545"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ind w:right="34"/>
            </w:pPr>
            <w:r w:rsidRPr="0087402E">
              <w:t xml:space="preserve">Complete </w:t>
            </w:r>
            <w:r w:rsidRPr="001720EF">
              <w:t>the online questionnaire</w:t>
            </w:r>
            <w:r w:rsidRPr="0087402E">
              <w:t xml:space="preserve"> by 18</w:t>
            </w:r>
            <w:r w:rsidRPr="0087402E">
              <w:rPr>
                <w:vertAlign w:val="superscript"/>
              </w:rPr>
              <w:t>th</w:t>
            </w:r>
            <w:r w:rsidRPr="0087402E">
              <w:t> March 2014 and/or submit a more substantive response to your A</w:t>
            </w:r>
            <w:r>
              <w:t>T.</w:t>
            </w:r>
          </w:p>
        </w:tc>
        <w:tc>
          <w:tcPr>
            <w:tcW w:w="7654"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rPr>
                <w:sz w:val="20"/>
                <w:szCs w:val="20"/>
              </w:rPr>
            </w:pPr>
            <w:r w:rsidRPr="00641E58">
              <w:rPr>
                <w:sz w:val="20"/>
                <w:szCs w:val="20"/>
              </w:rPr>
              <w:t>PSNC’s top tips on making your response to the CTA and suggested key points for inclusion</w:t>
            </w:r>
            <w:r w:rsidRPr="00F05241">
              <w:rPr>
                <w:sz w:val="20"/>
                <w:szCs w:val="20"/>
              </w:rPr>
              <w:t xml:space="preserve"> </w:t>
            </w:r>
            <w:r w:rsidRPr="00037C8F">
              <w:rPr>
                <w:sz w:val="20"/>
                <w:szCs w:val="20"/>
              </w:rPr>
              <w:t>are available on the PSNC website</w:t>
            </w:r>
            <w:r w:rsidR="00DC45C5" w:rsidRPr="00F05241">
              <w:rPr>
                <w:sz w:val="20"/>
                <w:szCs w:val="20"/>
              </w:rPr>
              <w:t>.</w:t>
            </w:r>
          </w:p>
          <w:p w:rsidR="00641E58" w:rsidRPr="008709BF" w:rsidRDefault="008709BF" w:rsidP="004D2DE8">
            <w:pPr>
              <w:spacing w:before="120" w:after="120"/>
              <w:rPr>
                <w:color w:val="5185C0"/>
                <w:sz w:val="20"/>
                <w:szCs w:val="20"/>
              </w:rPr>
            </w:pPr>
            <w:hyperlink r:id="rId28" w:history="1">
              <w:r w:rsidR="00641E58" w:rsidRPr="008709BF">
                <w:rPr>
                  <w:rStyle w:val="Hyperlink"/>
                  <w:color w:val="5185C0"/>
                  <w:sz w:val="20"/>
                  <w:szCs w:val="20"/>
                </w:rPr>
                <w:t>PSNC guidance on responding to the CT</w:t>
              </w:r>
              <w:r w:rsidR="0051429F" w:rsidRPr="008709BF">
                <w:rPr>
                  <w:rStyle w:val="Hyperlink"/>
                  <w:color w:val="5185C0"/>
                  <w:sz w:val="20"/>
                  <w:szCs w:val="20"/>
                </w:rPr>
                <w:t>A</w:t>
              </w:r>
            </w:hyperlink>
          </w:p>
          <w:p w:rsidR="00DC45C5" w:rsidRDefault="00A014AB" w:rsidP="004D2DE8">
            <w:pPr>
              <w:spacing w:before="120" w:after="120"/>
            </w:pPr>
            <w:r w:rsidRPr="00F05241">
              <w:rPr>
                <w:sz w:val="20"/>
                <w:szCs w:val="20"/>
              </w:rPr>
              <w:t xml:space="preserve">Please can you forward a copy of your response to </w:t>
            </w:r>
            <w:hyperlink r:id="rId29" w:history="1">
              <w:r w:rsidRPr="00F05241">
                <w:rPr>
                  <w:rStyle w:val="Hyperlink"/>
                  <w:color w:val="5185C0"/>
                  <w:sz w:val="20"/>
                  <w:szCs w:val="20"/>
                </w:rPr>
                <w:t>cta@psnc.org.uk</w:t>
              </w:r>
            </w:hyperlink>
            <w:r w:rsidRPr="00F05241">
              <w:rPr>
                <w:sz w:val="20"/>
                <w:szCs w:val="20"/>
              </w:rPr>
              <w:t>; PSNC would like to see local responses, so we can ensure any national summation of views from ATs reflects what has actually been said at a local level.</w:t>
            </w:r>
          </w:p>
        </w:tc>
        <w:tc>
          <w:tcPr>
            <w:tcW w:w="1276" w:type="dxa"/>
            <w:tcBorders>
              <w:top w:val="single" w:sz="4" w:space="0" w:color="5185C0"/>
              <w:left w:val="single" w:sz="4" w:space="0" w:color="5185C0"/>
              <w:bottom w:val="single" w:sz="4" w:space="0" w:color="5185C0"/>
              <w:right w:val="single" w:sz="4" w:space="0" w:color="5185C0"/>
            </w:tcBorders>
          </w:tcPr>
          <w:p w:rsidR="00EB5E08" w:rsidRDefault="00EB5E08" w:rsidP="00641E58">
            <w:pPr>
              <w:jc w:val="center"/>
              <w:rPr>
                <w:sz w:val="20"/>
                <w:szCs w:val="20"/>
              </w:rPr>
            </w:pPr>
          </w:p>
          <w:p w:rsidR="00641E58" w:rsidRPr="00641E58" w:rsidRDefault="00641E58" w:rsidP="00641E58">
            <w:pPr>
              <w:jc w:val="center"/>
              <w:rPr>
                <w:sz w:val="20"/>
                <w:szCs w:val="20"/>
              </w:rPr>
            </w:pPr>
            <w:r>
              <w:rPr>
                <w:sz w:val="20"/>
                <w:szCs w:val="20"/>
              </w:rPr>
              <w:t>11</w:t>
            </w:r>
            <w:r w:rsidRPr="00641E58">
              <w:rPr>
                <w:sz w:val="20"/>
                <w:szCs w:val="20"/>
                <w:vertAlign w:val="superscript"/>
              </w:rPr>
              <w:t>th</w:t>
            </w:r>
            <w:r>
              <w:rPr>
                <w:sz w:val="20"/>
                <w:szCs w:val="20"/>
              </w:rPr>
              <w:t xml:space="preserve"> March 2014</w:t>
            </w:r>
          </w:p>
        </w:tc>
        <w:tc>
          <w:tcPr>
            <w:tcW w:w="1418" w:type="dxa"/>
            <w:tcBorders>
              <w:top w:val="single" w:sz="4" w:space="0" w:color="5185C0"/>
              <w:left w:val="single" w:sz="4" w:space="0" w:color="5185C0"/>
              <w:bottom w:val="single" w:sz="4" w:space="0" w:color="5185C0"/>
              <w:right w:val="single" w:sz="4" w:space="0" w:color="5185C0"/>
            </w:tcBorders>
          </w:tcPr>
          <w:p w:rsidR="00EB5E08" w:rsidRDefault="00EB5E08" w:rsidP="004D2DE8">
            <w:pPr>
              <w:spacing w:before="120" w:after="120"/>
              <w:ind w:right="-499"/>
            </w:pPr>
          </w:p>
        </w:tc>
        <w:tc>
          <w:tcPr>
            <w:tcW w:w="1134" w:type="dxa"/>
            <w:tcBorders>
              <w:top w:val="single" w:sz="4" w:space="0" w:color="5185C0"/>
              <w:left w:val="single" w:sz="4" w:space="0" w:color="5185C0"/>
              <w:bottom w:val="single" w:sz="4" w:space="0" w:color="5185C0"/>
              <w:right w:val="single" w:sz="4" w:space="0" w:color="5185C0"/>
            </w:tcBorders>
          </w:tcPr>
          <w:p w:rsidR="00EB5E08" w:rsidRPr="009909A3" w:rsidRDefault="008709BF" w:rsidP="004D2DE8">
            <w:pPr>
              <w:spacing w:before="120" w:after="120"/>
              <w:rPr>
                <w:sz w:val="16"/>
                <w:szCs w:val="16"/>
              </w:rPr>
            </w:pPr>
            <w:r w:rsidRPr="009909A3">
              <w:rPr>
                <w:sz w:val="16"/>
                <w:szCs w:val="16"/>
              </w:rPr>
              <w:fldChar w:fldCharType="begin">
                <w:ffData>
                  <w:name w:val="Check1"/>
                  <w:enabled/>
                  <w:calcOnExit w:val="0"/>
                  <w:checkBox>
                    <w:sizeAuto/>
                    <w:default w:val="0"/>
                  </w:checkBox>
                </w:ffData>
              </w:fldChar>
            </w:r>
            <w:r w:rsidRPr="009909A3">
              <w:rPr>
                <w:sz w:val="16"/>
                <w:szCs w:val="16"/>
              </w:rPr>
              <w:instrText xml:space="preserve"> FORMCHECKBOX </w:instrText>
            </w:r>
            <w:r>
              <w:rPr>
                <w:sz w:val="16"/>
                <w:szCs w:val="16"/>
              </w:rPr>
            </w:r>
            <w:r>
              <w:rPr>
                <w:sz w:val="16"/>
                <w:szCs w:val="16"/>
              </w:rPr>
              <w:fldChar w:fldCharType="separate"/>
            </w:r>
            <w:r w:rsidRPr="009909A3">
              <w:rPr>
                <w:sz w:val="16"/>
                <w:szCs w:val="16"/>
              </w:rPr>
              <w:fldChar w:fldCharType="end"/>
            </w:r>
            <w:r w:rsidRPr="009909A3">
              <w:rPr>
                <w:sz w:val="16"/>
                <w:szCs w:val="16"/>
              </w:rPr>
              <w:t xml:space="preserve">  Date:</w:t>
            </w:r>
          </w:p>
        </w:tc>
      </w:tr>
    </w:tbl>
    <w:p w:rsidR="00EB5E08" w:rsidRDefault="00EB5E08" w:rsidP="00A014AB">
      <w:pPr>
        <w:spacing w:after="0" w:line="240" w:lineRule="auto"/>
        <w:ind w:left="-709"/>
      </w:pPr>
    </w:p>
    <w:p w:rsidR="008709BF" w:rsidRDefault="008709BF" w:rsidP="008709BF">
      <w:pPr>
        <w:spacing w:after="0" w:line="240" w:lineRule="auto"/>
        <w:ind w:left="-709"/>
      </w:pPr>
      <w:r>
        <w:t xml:space="preserve">PSNC’s main Call to Action webpage: </w:t>
      </w:r>
      <w:hyperlink r:id="rId30" w:history="1">
        <w:r w:rsidRPr="00A014AB">
          <w:rPr>
            <w:rStyle w:val="Hyperlink"/>
            <w:color w:val="5185C0"/>
          </w:rPr>
          <w:t>psnc.org.uk/cta</w:t>
        </w:r>
      </w:hyperlink>
      <w:r>
        <w:t xml:space="preserve"> </w:t>
      </w:r>
    </w:p>
    <w:p w:rsidR="008709BF" w:rsidRDefault="008709BF" w:rsidP="008709BF">
      <w:pPr>
        <w:pStyle w:val="Footer"/>
        <w:ind w:left="-709"/>
      </w:pPr>
      <w:r>
        <w:t xml:space="preserve">Resources for LPCs: </w:t>
      </w:r>
      <w:hyperlink r:id="rId31" w:history="1">
        <w:r w:rsidRPr="00A014AB">
          <w:rPr>
            <w:rStyle w:val="Hyperlink"/>
            <w:color w:val="5185C0"/>
          </w:rPr>
          <w:t>psnc.org.uk/the-healthcare-landscape/community-pharmacy-call-to-action/lpcs-and-nhs-englands-call-to-action/</w:t>
        </w:r>
      </w:hyperlink>
    </w:p>
    <w:p w:rsidR="00F26230" w:rsidRPr="00E14B2F" w:rsidRDefault="00F26230" w:rsidP="00E14B2F"/>
    <w:sectPr w:rsidR="00F26230" w:rsidRPr="00E14B2F" w:rsidSect="00037C8F">
      <w:headerReference w:type="default" r:id="rId32"/>
      <w:footerReference w:type="default" r:id="rId33"/>
      <w:pgSz w:w="16838" w:h="11906" w:orient="landscape"/>
      <w:pgMar w:top="1276" w:right="1440" w:bottom="709" w:left="1440" w:header="708" w:footer="4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6D" w:rsidRDefault="00777D6D" w:rsidP="00094FF1">
      <w:pPr>
        <w:spacing w:after="0" w:line="240" w:lineRule="auto"/>
      </w:pPr>
      <w:r>
        <w:separator/>
      </w:r>
    </w:p>
  </w:endnote>
  <w:endnote w:type="continuationSeparator" w:id="0">
    <w:p w:rsidR="00777D6D" w:rsidRDefault="00777D6D" w:rsidP="0009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F" w:rsidRPr="00037C8F" w:rsidRDefault="00037C8F" w:rsidP="00037C8F">
    <w:pPr>
      <w:spacing w:after="0" w:line="240" w:lineRule="auto"/>
      <w:ind w:left="-709"/>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6D" w:rsidRDefault="00777D6D" w:rsidP="00094FF1">
      <w:pPr>
        <w:spacing w:after="0" w:line="240" w:lineRule="auto"/>
      </w:pPr>
      <w:r>
        <w:separator/>
      </w:r>
    </w:p>
  </w:footnote>
  <w:footnote w:type="continuationSeparator" w:id="0">
    <w:p w:rsidR="00777D6D" w:rsidRDefault="00777D6D" w:rsidP="00094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45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0"/>
      <w:gridCol w:w="1701"/>
      <w:gridCol w:w="1701"/>
    </w:tblGrid>
    <w:tr w:rsidR="00840BDF" w:rsidTr="0090540D">
      <w:tc>
        <w:tcPr>
          <w:tcW w:w="12050" w:type="dxa"/>
        </w:tcPr>
        <w:p w:rsidR="00840BDF" w:rsidRPr="00566B88" w:rsidRDefault="00840BDF" w:rsidP="00840BDF">
          <w:pPr>
            <w:pStyle w:val="Header"/>
            <w:rPr>
              <w:b/>
              <w:color w:val="5185C0"/>
              <w:sz w:val="32"/>
              <w:szCs w:val="32"/>
            </w:rPr>
          </w:pPr>
          <w:r w:rsidRPr="00566B88">
            <w:rPr>
              <w:b/>
              <w:color w:val="5185C0"/>
              <w:sz w:val="32"/>
              <w:szCs w:val="32"/>
            </w:rPr>
            <w:t xml:space="preserve">NHS </w:t>
          </w:r>
          <w:r w:rsidRPr="00037C8F">
            <w:rPr>
              <w:b/>
              <w:color w:val="5185C0"/>
              <w:sz w:val="32"/>
              <w:szCs w:val="32"/>
            </w:rPr>
            <w:t>England’s Community</w:t>
          </w:r>
          <w:r w:rsidRPr="00566B88">
            <w:rPr>
              <w:b/>
              <w:color w:val="5185C0"/>
              <w:sz w:val="32"/>
              <w:szCs w:val="32"/>
            </w:rPr>
            <w:t xml:space="preserve"> Pharmacy Call to Action</w:t>
          </w:r>
        </w:p>
        <w:p w:rsidR="00840BDF" w:rsidRDefault="008C0163" w:rsidP="0087402E">
          <w:pPr>
            <w:pStyle w:val="Header"/>
          </w:pPr>
          <w:r w:rsidRPr="00566B88">
            <w:rPr>
              <w:b/>
              <w:color w:val="5185C0"/>
              <w:sz w:val="32"/>
              <w:szCs w:val="32"/>
            </w:rPr>
            <w:t xml:space="preserve">Suggested </w:t>
          </w:r>
          <w:r w:rsidR="00840BDF" w:rsidRPr="00566B88">
            <w:rPr>
              <w:b/>
              <w:color w:val="5185C0"/>
              <w:sz w:val="32"/>
              <w:szCs w:val="32"/>
            </w:rPr>
            <w:t xml:space="preserve">LPC </w:t>
          </w:r>
          <w:r w:rsidR="0087402E" w:rsidRPr="00566B88">
            <w:rPr>
              <w:b/>
              <w:color w:val="5185C0"/>
              <w:sz w:val="32"/>
              <w:szCs w:val="32"/>
            </w:rPr>
            <w:t>Action Plan</w:t>
          </w:r>
        </w:p>
      </w:tc>
      <w:tc>
        <w:tcPr>
          <w:tcW w:w="1701" w:type="dxa"/>
        </w:tcPr>
        <w:p w:rsidR="00840BDF" w:rsidRDefault="00840BDF" w:rsidP="00840BDF">
          <w:pPr>
            <w:pStyle w:val="Header"/>
            <w:jc w:val="right"/>
          </w:pPr>
          <w:r>
            <w:rPr>
              <w:noProof/>
              <w:lang w:eastAsia="en-GB"/>
            </w:rPr>
            <w:drawing>
              <wp:inline distT="0" distB="0" distL="0" distR="0" wp14:anchorId="12F2FD28" wp14:editId="0EE69B29">
                <wp:extent cx="804074" cy="574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nc-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740" cy="575150"/>
                        </a:xfrm>
                        <a:prstGeom prst="rect">
                          <a:avLst/>
                        </a:prstGeom>
                      </pic:spPr>
                    </pic:pic>
                  </a:graphicData>
                </a:graphic>
              </wp:inline>
            </w:drawing>
          </w:r>
        </w:p>
      </w:tc>
      <w:tc>
        <w:tcPr>
          <w:tcW w:w="1701" w:type="dxa"/>
        </w:tcPr>
        <w:p w:rsidR="00840BDF" w:rsidRDefault="00840BDF" w:rsidP="00840BDF">
          <w:pPr>
            <w:pStyle w:val="Header"/>
            <w:jc w:val="center"/>
          </w:pPr>
          <w:r>
            <w:rPr>
              <w:noProof/>
              <w:lang w:eastAsia="en-GB"/>
            </w:rPr>
            <w:drawing>
              <wp:inline distT="0" distB="0" distL="0" distR="0" wp14:anchorId="3FDB2D24" wp14:editId="565F8F39">
                <wp:extent cx="913350" cy="563270"/>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a:blip r:embed="rId2">
                          <a:extLst>
                            <a:ext uri="{28A0092B-C50C-407E-A947-70E740481C1C}">
                              <a14:useLocalDpi xmlns:a14="http://schemas.microsoft.com/office/drawing/2010/main" val="0"/>
                            </a:ext>
                          </a:extLst>
                        </a:blip>
                        <a:stretch>
                          <a:fillRect/>
                        </a:stretch>
                      </pic:blipFill>
                      <pic:spPr>
                        <a:xfrm>
                          <a:off x="0" y="0"/>
                          <a:ext cx="913621" cy="563437"/>
                        </a:xfrm>
                        <a:prstGeom prst="rect">
                          <a:avLst/>
                        </a:prstGeom>
                      </pic:spPr>
                    </pic:pic>
                  </a:graphicData>
                </a:graphic>
              </wp:inline>
            </w:drawing>
          </w:r>
        </w:p>
      </w:tc>
    </w:tr>
  </w:tbl>
  <w:p w:rsidR="00094FF1" w:rsidRPr="00840BDF" w:rsidRDefault="00094FF1" w:rsidP="00840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E3D"/>
    <w:multiLevelType w:val="hybridMultilevel"/>
    <w:tmpl w:val="397EEF20"/>
    <w:lvl w:ilvl="0" w:tplc="2E62EEBE">
      <w:start w:val="1"/>
      <w:numFmt w:val="bullet"/>
      <w:lvlText w:val="•"/>
      <w:lvlJc w:val="left"/>
      <w:pPr>
        <w:tabs>
          <w:tab w:val="num" w:pos="720"/>
        </w:tabs>
        <w:ind w:left="720" w:hanging="360"/>
      </w:pPr>
      <w:rPr>
        <w:rFonts w:ascii="Arial" w:hAnsi="Arial" w:hint="default"/>
      </w:rPr>
    </w:lvl>
    <w:lvl w:ilvl="1" w:tplc="7952CA64">
      <w:start w:val="445"/>
      <w:numFmt w:val="bullet"/>
      <w:lvlText w:val="–"/>
      <w:lvlJc w:val="left"/>
      <w:pPr>
        <w:tabs>
          <w:tab w:val="num" w:pos="1440"/>
        </w:tabs>
        <w:ind w:left="1440" w:hanging="360"/>
      </w:pPr>
      <w:rPr>
        <w:rFonts w:ascii="Arial" w:hAnsi="Arial" w:hint="default"/>
      </w:rPr>
    </w:lvl>
    <w:lvl w:ilvl="2" w:tplc="F55A3198" w:tentative="1">
      <w:start w:val="1"/>
      <w:numFmt w:val="bullet"/>
      <w:lvlText w:val="•"/>
      <w:lvlJc w:val="left"/>
      <w:pPr>
        <w:tabs>
          <w:tab w:val="num" w:pos="2160"/>
        </w:tabs>
        <w:ind w:left="2160" w:hanging="360"/>
      </w:pPr>
      <w:rPr>
        <w:rFonts w:ascii="Arial" w:hAnsi="Arial" w:hint="default"/>
      </w:rPr>
    </w:lvl>
    <w:lvl w:ilvl="3" w:tplc="DA6E58FC" w:tentative="1">
      <w:start w:val="1"/>
      <w:numFmt w:val="bullet"/>
      <w:lvlText w:val="•"/>
      <w:lvlJc w:val="left"/>
      <w:pPr>
        <w:tabs>
          <w:tab w:val="num" w:pos="2880"/>
        </w:tabs>
        <w:ind w:left="2880" w:hanging="360"/>
      </w:pPr>
      <w:rPr>
        <w:rFonts w:ascii="Arial" w:hAnsi="Arial" w:hint="default"/>
      </w:rPr>
    </w:lvl>
    <w:lvl w:ilvl="4" w:tplc="29AC068A" w:tentative="1">
      <w:start w:val="1"/>
      <w:numFmt w:val="bullet"/>
      <w:lvlText w:val="•"/>
      <w:lvlJc w:val="left"/>
      <w:pPr>
        <w:tabs>
          <w:tab w:val="num" w:pos="3600"/>
        </w:tabs>
        <w:ind w:left="3600" w:hanging="360"/>
      </w:pPr>
      <w:rPr>
        <w:rFonts w:ascii="Arial" w:hAnsi="Arial" w:hint="default"/>
      </w:rPr>
    </w:lvl>
    <w:lvl w:ilvl="5" w:tplc="1F36B628" w:tentative="1">
      <w:start w:val="1"/>
      <w:numFmt w:val="bullet"/>
      <w:lvlText w:val="•"/>
      <w:lvlJc w:val="left"/>
      <w:pPr>
        <w:tabs>
          <w:tab w:val="num" w:pos="4320"/>
        </w:tabs>
        <w:ind w:left="4320" w:hanging="360"/>
      </w:pPr>
      <w:rPr>
        <w:rFonts w:ascii="Arial" w:hAnsi="Arial" w:hint="default"/>
      </w:rPr>
    </w:lvl>
    <w:lvl w:ilvl="6" w:tplc="AA44A65E" w:tentative="1">
      <w:start w:val="1"/>
      <w:numFmt w:val="bullet"/>
      <w:lvlText w:val="•"/>
      <w:lvlJc w:val="left"/>
      <w:pPr>
        <w:tabs>
          <w:tab w:val="num" w:pos="5040"/>
        </w:tabs>
        <w:ind w:left="5040" w:hanging="360"/>
      </w:pPr>
      <w:rPr>
        <w:rFonts w:ascii="Arial" w:hAnsi="Arial" w:hint="default"/>
      </w:rPr>
    </w:lvl>
    <w:lvl w:ilvl="7" w:tplc="E11C9DDE" w:tentative="1">
      <w:start w:val="1"/>
      <w:numFmt w:val="bullet"/>
      <w:lvlText w:val="•"/>
      <w:lvlJc w:val="left"/>
      <w:pPr>
        <w:tabs>
          <w:tab w:val="num" w:pos="5760"/>
        </w:tabs>
        <w:ind w:left="5760" w:hanging="360"/>
      </w:pPr>
      <w:rPr>
        <w:rFonts w:ascii="Arial" w:hAnsi="Arial" w:hint="default"/>
      </w:rPr>
    </w:lvl>
    <w:lvl w:ilvl="8" w:tplc="F6A0DFF0" w:tentative="1">
      <w:start w:val="1"/>
      <w:numFmt w:val="bullet"/>
      <w:lvlText w:val="•"/>
      <w:lvlJc w:val="left"/>
      <w:pPr>
        <w:tabs>
          <w:tab w:val="num" w:pos="6480"/>
        </w:tabs>
        <w:ind w:left="6480" w:hanging="360"/>
      </w:pPr>
      <w:rPr>
        <w:rFonts w:ascii="Arial" w:hAnsi="Arial" w:hint="default"/>
      </w:rPr>
    </w:lvl>
  </w:abstractNum>
  <w:abstractNum w:abstractNumId="1">
    <w:nsid w:val="126729FC"/>
    <w:multiLevelType w:val="hybridMultilevel"/>
    <w:tmpl w:val="8B28E632"/>
    <w:lvl w:ilvl="0" w:tplc="23C6B854">
      <w:start w:val="1"/>
      <w:numFmt w:val="bullet"/>
      <w:lvlText w:val="•"/>
      <w:lvlJc w:val="left"/>
      <w:pPr>
        <w:tabs>
          <w:tab w:val="num" w:pos="720"/>
        </w:tabs>
        <w:ind w:left="720" w:hanging="360"/>
      </w:pPr>
      <w:rPr>
        <w:rFonts w:ascii="Arial" w:hAnsi="Arial" w:hint="default"/>
      </w:rPr>
    </w:lvl>
    <w:lvl w:ilvl="1" w:tplc="E43202A8" w:tentative="1">
      <w:start w:val="1"/>
      <w:numFmt w:val="bullet"/>
      <w:lvlText w:val="•"/>
      <w:lvlJc w:val="left"/>
      <w:pPr>
        <w:tabs>
          <w:tab w:val="num" w:pos="1440"/>
        </w:tabs>
        <w:ind w:left="1440" w:hanging="360"/>
      </w:pPr>
      <w:rPr>
        <w:rFonts w:ascii="Arial" w:hAnsi="Arial" w:hint="default"/>
      </w:rPr>
    </w:lvl>
    <w:lvl w:ilvl="2" w:tplc="23A25C2C" w:tentative="1">
      <w:start w:val="1"/>
      <w:numFmt w:val="bullet"/>
      <w:lvlText w:val="•"/>
      <w:lvlJc w:val="left"/>
      <w:pPr>
        <w:tabs>
          <w:tab w:val="num" w:pos="2160"/>
        </w:tabs>
        <w:ind w:left="2160" w:hanging="360"/>
      </w:pPr>
      <w:rPr>
        <w:rFonts w:ascii="Arial" w:hAnsi="Arial" w:hint="default"/>
      </w:rPr>
    </w:lvl>
    <w:lvl w:ilvl="3" w:tplc="6E40F7EE" w:tentative="1">
      <w:start w:val="1"/>
      <w:numFmt w:val="bullet"/>
      <w:lvlText w:val="•"/>
      <w:lvlJc w:val="left"/>
      <w:pPr>
        <w:tabs>
          <w:tab w:val="num" w:pos="2880"/>
        </w:tabs>
        <w:ind w:left="2880" w:hanging="360"/>
      </w:pPr>
      <w:rPr>
        <w:rFonts w:ascii="Arial" w:hAnsi="Arial" w:hint="default"/>
      </w:rPr>
    </w:lvl>
    <w:lvl w:ilvl="4" w:tplc="E9F285B0" w:tentative="1">
      <w:start w:val="1"/>
      <w:numFmt w:val="bullet"/>
      <w:lvlText w:val="•"/>
      <w:lvlJc w:val="left"/>
      <w:pPr>
        <w:tabs>
          <w:tab w:val="num" w:pos="3600"/>
        </w:tabs>
        <w:ind w:left="3600" w:hanging="360"/>
      </w:pPr>
      <w:rPr>
        <w:rFonts w:ascii="Arial" w:hAnsi="Arial" w:hint="default"/>
      </w:rPr>
    </w:lvl>
    <w:lvl w:ilvl="5" w:tplc="484013B8" w:tentative="1">
      <w:start w:val="1"/>
      <w:numFmt w:val="bullet"/>
      <w:lvlText w:val="•"/>
      <w:lvlJc w:val="left"/>
      <w:pPr>
        <w:tabs>
          <w:tab w:val="num" w:pos="4320"/>
        </w:tabs>
        <w:ind w:left="4320" w:hanging="360"/>
      </w:pPr>
      <w:rPr>
        <w:rFonts w:ascii="Arial" w:hAnsi="Arial" w:hint="default"/>
      </w:rPr>
    </w:lvl>
    <w:lvl w:ilvl="6" w:tplc="F2AE967C" w:tentative="1">
      <w:start w:val="1"/>
      <w:numFmt w:val="bullet"/>
      <w:lvlText w:val="•"/>
      <w:lvlJc w:val="left"/>
      <w:pPr>
        <w:tabs>
          <w:tab w:val="num" w:pos="5040"/>
        </w:tabs>
        <w:ind w:left="5040" w:hanging="360"/>
      </w:pPr>
      <w:rPr>
        <w:rFonts w:ascii="Arial" w:hAnsi="Arial" w:hint="default"/>
      </w:rPr>
    </w:lvl>
    <w:lvl w:ilvl="7" w:tplc="A3AA1A08" w:tentative="1">
      <w:start w:val="1"/>
      <w:numFmt w:val="bullet"/>
      <w:lvlText w:val="•"/>
      <w:lvlJc w:val="left"/>
      <w:pPr>
        <w:tabs>
          <w:tab w:val="num" w:pos="5760"/>
        </w:tabs>
        <w:ind w:left="5760" w:hanging="360"/>
      </w:pPr>
      <w:rPr>
        <w:rFonts w:ascii="Arial" w:hAnsi="Arial" w:hint="default"/>
      </w:rPr>
    </w:lvl>
    <w:lvl w:ilvl="8" w:tplc="2DDA8F0E" w:tentative="1">
      <w:start w:val="1"/>
      <w:numFmt w:val="bullet"/>
      <w:lvlText w:val="•"/>
      <w:lvlJc w:val="left"/>
      <w:pPr>
        <w:tabs>
          <w:tab w:val="num" w:pos="6480"/>
        </w:tabs>
        <w:ind w:left="6480" w:hanging="360"/>
      </w:pPr>
      <w:rPr>
        <w:rFonts w:ascii="Arial" w:hAnsi="Arial" w:hint="default"/>
      </w:rPr>
    </w:lvl>
  </w:abstractNum>
  <w:abstractNum w:abstractNumId="2">
    <w:nsid w:val="21EA3F19"/>
    <w:multiLevelType w:val="hybridMultilevel"/>
    <w:tmpl w:val="CD44571A"/>
    <w:lvl w:ilvl="0" w:tplc="FFCCE922">
      <w:start w:val="1"/>
      <w:numFmt w:val="bullet"/>
      <w:lvlText w:val="•"/>
      <w:lvlJc w:val="left"/>
      <w:pPr>
        <w:tabs>
          <w:tab w:val="num" w:pos="720"/>
        </w:tabs>
        <w:ind w:left="720" w:hanging="360"/>
      </w:pPr>
      <w:rPr>
        <w:rFonts w:ascii="Arial" w:hAnsi="Arial" w:hint="default"/>
      </w:rPr>
    </w:lvl>
    <w:lvl w:ilvl="1" w:tplc="6E0C295E" w:tentative="1">
      <w:start w:val="1"/>
      <w:numFmt w:val="bullet"/>
      <w:lvlText w:val="•"/>
      <w:lvlJc w:val="left"/>
      <w:pPr>
        <w:tabs>
          <w:tab w:val="num" w:pos="1440"/>
        </w:tabs>
        <w:ind w:left="1440" w:hanging="360"/>
      </w:pPr>
      <w:rPr>
        <w:rFonts w:ascii="Arial" w:hAnsi="Arial" w:hint="default"/>
      </w:rPr>
    </w:lvl>
    <w:lvl w:ilvl="2" w:tplc="66868D3A" w:tentative="1">
      <w:start w:val="1"/>
      <w:numFmt w:val="bullet"/>
      <w:lvlText w:val="•"/>
      <w:lvlJc w:val="left"/>
      <w:pPr>
        <w:tabs>
          <w:tab w:val="num" w:pos="2160"/>
        </w:tabs>
        <w:ind w:left="2160" w:hanging="360"/>
      </w:pPr>
      <w:rPr>
        <w:rFonts w:ascii="Arial" w:hAnsi="Arial" w:hint="default"/>
      </w:rPr>
    </w:lvl>
    <w:lvl w:ilvl="3" w:tplc="92EE44AE" w:tentative="1">
      <w:start w:val="1"/>
      <w:numFmt w:val="bullet"/>
      <w:lvlText w:val="•"/>
      <w:lvlJc w:val="left"/>
      <w:pPr>
        <w:tabs>
          <w:tab w:val="num" w:pos="2880"/>
        </w:tabs>
        <w:ind w:left="2880" w:hanging="360"/>
      </w:pPr>
      <w:rPr>
        <w:rFonts w:ascii="Arial" w:hAnsi="Arial" w:hint="default"/>
      </w:rPr>
    </w:lvl>
    <w:lvl w:ilvl="4" w:tplc="3BDE0494" w:tentative="1">
      <w:start w:val="1"/>
      <w:numFmt w:val="bullet"/>
      <w:lvlText w:val="•"/>
      <w:lvlJc w:val="left"/>
      <w:pPr>
        <w:tabs>
          <w:tab w:val="num" w:pos="3600"/>
        </w:tabs>
        <w:ind w:left="3600" w:hanging="360"/>
      </w:pPr>
      <w:rPr>
        <w:rFonts w:ascii="Arial" w:hAnsi="Arial" w:hint="default"/>
      </w:rPr>
    </w:lvl>
    <w:lvl w:ilvl="5" w:tplc="DEC01FAA" w:tentative="1">
      <w:start w:val="1"/>
      <w:numFmt w:val="bullet"/>
      <w:lvlText w:val="•"/>
      <w:lvlJc w:val="left"/>
      <w:pPr>
        <w:tabs>
          <w:tab w:val="num" w:pos="4320"/>
        </w:tabs>
        <w:ind w:left="4320" w:hanging="360"/>
      </w:pPr>
      <w:rPr>
        <w:rFonts w:ascii="Arial" w:hAnsi="Arial" w:hint="default"/>
      </w:rPr>
    </w:lvl>
    <w:lvl w:ilvl="6" w:tplc="43DA5AFC" w:tentative="1">
      <w:start w:val="1"/>
      <w:numFmt w:val="bullet"/>
      <w:lvlText w:val="•"/>
      <w:lvlJc w:val="left"/>
      <w:pPr>
        <w:tabs>
          <w:tab w:val="num" w:pos="5040"/>
        </w:tabs>
        <w:ind w:left="5040" w:hanging="360"/>
      </w:pPr>
      <w:rPr>
        <w:rFonts w:ascii="Arial" w:hAnsi="Arial" w:hint="default"/>
      </w:rPr>
    </w:lvl>
    <w:lvl w:ilvl="7" w:tplc="E08254CC" w:tentative="1">
      <w:start w:val="1"/>
      <w:numFmt w:val="bullet"/>
      <w:lvlText w:val="•"/>
      <w:lvlJc w:val="left"/>
      <w:pPr>
        <w:tabs>
          <w:tab w:val="num" w:pos="5760"/>
        </w:tabs>
        <w:ind w:left="5760" w:hanging="360"/>
      </w:pPr>
      <w:rPr>
        <w:rFonts w:ascii="Arial" w:hAnsi="Arial" w:hint="default"/>
      </w:rPr>
    </w:lvl>
    <w:lvl w:ilvl="8" w:tplc="99C0CE1C" w:tentative="1">
      <w:start w:val="1"/>
      <w:numFmt w:val="bullet"/>
      <w:lvlText w:val="•"/>
      <w:lvlJc w:val="left"/>
      <w:pPr>
        <w:tabs>
          <w:tab w:val="num" w:pos="6480"/>
        </w:tabs>
        <w:ind w:left="6480" w:hanging="360"/>
      </w:pPr>
      <w:rPr>
        <w:rFonts w:ascii="Arial" w:hAnsi="Arial" w:hint="default"/>
      </w:rPr>
    </w:lvl>
  </w:abstractNum>
  <w:abstractNum w:abstractNumId="3">
    <w:nsid w:val="2E4D036E"/>
    <w:multiLevelType w:val="hybridMultilevel"/>
    <w:tmpl w:val="76668930"/>
    <w:lvl w:ilvl="0" w:tplc="55BEDB04">
      <w:start w:val="1"/>
      <w:numFmt w:val="bullet"/>
      <w:lvlText w:val="•"/>
      <w:lvlJc w:val="left"/>
      <w:pPr>
        <w:tabs>
          <w:tab w:val="num" w:pos="720"/>
        </w:tabs>
        <w:ind w:left="720" w:hanging="360"/>
      </w:pPr>
      <w:rPr>
        <w:rFonts w:ascii="Arial" w:hAnsi="Arial" w:hint="default"/>
      </w:rPr>
    </w:lvl>
    <w:lvl w:ilvl="1" w:tplc="DD6C0416" w:tentative="1">
      <w:start w:val="1"/>
      <w:numFmt w:val="bullet"/>
      <w:lvlText w:val="•"/>
      <w:lvlJc w:val="left"/>
      <w:pPr>
        <w:tabs>
          <w:tab w:val="num" w:pos="1440"/>
        </w:tabs>
        <w:ind w:left="1440" w:hanging="360"/>
      </w:pPr>
      <w:rPr>
        <w:rFonts w:ascii="Arial" w:hAnsi="Arial" w:hint="default"/>
      </w:rPr>
    </w:lvl>
    <w:lvl w:ilvl="2" w:tplc="25BAAE54" w:tentative="1">
      <w:start w:val="1"/>
      <w:numFmt w:val="bullet"/>
      <w:lvlText w:val="•"/>
      <w:lvlJc w:val="left"/>
      <w:pPr>
        <w:tabs>
          <w:tab w:val="num" w:pos="2160"/>
        </w:tabs>
        <w:ind w:left="2160" w:hanging="360"/>
      </w:pPr>
      <w:rPr>
        <w:rFonts w:ascii="Arial" w:hAnsi="Arial" w:hint="default"/>
      </w:rPr>
    </w:lvl>
    <w:lvl w:ilvl="3" w:tplc="68700AAE" w:tentative="1">
      <w:start w:val="1"/>
      <w:numFmt w:val="bullet"/>
      <w:lvlText w:val="•"/>
      <w:lvlJc w:val="left"/>
      <w:pPr>
        <w:tabs>
          <w:tab w:val="num" w:pos="2880"/>
        </w:tabs>
        <w:ind w:left="2880" w:hanging="360"/>
      </w:pPr>
      <w:rPr>
        <w:rFonts w:ascii="Arial" w:hAnsi="Arial" w:hint="default"/>
      </w:rPr>
    </w:lvl>
    <w:lvl w:ilvl="4" w:tplc="168E8E28" w:tentative="1">
      <w:start w:val="1"/>
      <w:numFmt w:val="bullet"/>
      <w:lvlText w:val="•"/>
      <w:lvlJc w:val="left"/>
      <w:pPr>
        <w:tabs>
          <w:tab w:val="num" w:pos="3600"/>
        </w:tabs>
        <w:ind w:left="3600" w:hanging="360"/>
      </w:pPr>
      <w:rPr>
        <w:rFonts w:ascii="Arial" w:hAnsi="Arial" w:hint="default"/>
      </w:rPr>
    </w:lvl>
    <w:lvl w:ilvl="5" w:tplc="129C6CC6" w:tentative="1">
      <w:start w:val="1"/>
      <w:numFmt w:val="bullet"/>
      <w:lvlText w:val="•"/>
      <w:lvlJc w:val="left"/>
      <w:pPr>
        <w:tabs>
          <w:tab w:val="num" w:pos="4320"/>
        </w:tabs>
        <w:ind w:left="4320" w:hanging="360"/>
      </w:pPr>
      <w:rPr>
        <w:rFonts w:ascii="Arial" w:hAnsi="Arial" w:hint="default"/>
      </w:rPr>
    </w:lvl>
    <w:lvl w:ilvl="6" w:tplc="78CE0070" w:tentative="1">
      <w:start w:val="1"/>
      <w:numFmt w:val="bullet"/>
      <w:lvlText w:val="•"/>
      <w:lvlJc w:val="left"/>
      <w:pPr>
        <w:tabs>
          <w:tab w:val="num" w:pos="5040"/>
        </w:tabs>
        <w:ind w:left="5040" w:hanging="360"/>
      </w:pPr>
      <w:rPr>
        <w:rFonts w:ascii="Arial" w:hAnsi="Arial" w:hint="default"/>
      </w:rPr>
    </w:lvl>
    <w:lvl w:ilvl="7" w:tplc="0050777C" w:tentative="1">
      <w:start w:val="1"/>
      <w:numFmt w:val="bullet"/>
      <w:lvlText w:val="•"/>
      <w:lvlJc w:val="left"/>
      <w:pPr>
        <w:tabs>
          <w:tab w:val="num" w:pos="5760"/>
        </w:tabs>
        <w:ind w:left="5760" w:hanging="360"/>
      </w:pPr>
      <w:rPr>
        <w:rFonts w:ascii="Arial" w:hAnsi="Arial" w:hint="default"/>
      </w:rPr>
    </w:lvl>
    <w:lvl w:ilvl="8" w:tplc="49CC8B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F1"/>
    <w:rsid w:val="00037C8F"/>
    <w:rsid w:val="000406F8"/>
    <w:rsid w:val="00094FF1"/>
    <w:rsid w:val="000E3E78"/>
    <w:rsid w:val="001720EF"/>
    <w:rsid w:val="001861F5"/>
    <w:rsid w:val="00230F9A"/>
    <w:rsid w:val="00231F15"/>
    <w:rsid w:val="00292212"/>
    <w:rsid w:val="00373AE0"/>
    <w:rsid w:val="00397835"/>
    <w:rsid w:val="003B39CF"/>
    <w:rsid w:val="00455BC2"/>
    <w:rsid w:val="0051429F"/>
    <w:rsid w:val="00566B88"/>
    <w:rsid w:val="00596C71"/>
    <w:rsid w:val="005F42F4"/>
    <w:rsid w:val="006054A5"/>
    <w:rsid w:val="00641E58"/>
    <w:rsid w:val="006824EF"/>
    <w:rsid w:val="006934FC"/>
    <w:rsid w:val="006E7F2D"/>
    <w:rsid w:val="0072583F"/>
    <w:rsid w:val="00777D6D"/>
    <w:rsid w:val="00840BDF"/>
    <w:rsid w:val="008709BF"/>
    <w:rsid w:val="0087402E"/>
    <w:rsid w:val="008C0163"/>
    <w:rsid w:val="0090540D"/>
    <w:rsid w:val="00955554"/>
    <w:rsid w:val="00976B92"/>
    <w:rsid w:val="00982968"/>
    <w:rsid w:val="00A014AB"/>
    <w:rsid w:val="00AB4FD8"/>
    <w:rsid w:val="00AD08A6"/>
    <w:rsid w:val="00AF67A8"/>
    <w:rsid w:val="00B11762"/>
    <w:rsid w:val="00BA2744"/>
    <w:rsid w:val="00BE2EE9"/>
    <w:rsid w:val="00C54663"/>
    <w:rsid w:val="00C82CF9"/>
    <w:rsid w:val="00C85E07"/>
    <w:rsid w:val="00CF6491"/>
    <w:rsid w:val="00D6147D"/>
    <w:rsid w:val="00D86942"/>
    <w:rsid w:val="00D9610D"/>
    <w:rsid w:val="00DC45C5"/>
    <w:rsid w:val="00E14B2F"/>
    <w:rsid w:val="00E20FF3"/>
    <w:rsid w:val="00E95CEC"/>
    <w:rsid w:val="00EB5E08"/>
    <w:rsid w:val="00F05241"/>
    <w:rsid w:val="00F2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FF1"/>
  </w:style>
  <w:style w:type="paragraph" w:styleId="Footer">
    <w:name w:val="footer"/>
    <w:basedOn w:val="Normal"/>
    <w:link w:val="FooterChar"/>
    <w:uiPriority w:val="99"/>
    <w:unhideWhenUsed/>
    <w:rsid w:val="00094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FF1"/>
  </w:style>
  <w:style w:type="table" w:styleId="TableGrid">
    <w:name w:val="Table Grid"/>
    <w:basedOn w:val="TableNormal"/>
    <w:uiPriority w:val="59"/>
    <w:rsid w:val="00840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DF"/>
    <w:rPr>
      <w:rFonts w:ascii="Tahoma" w:hAnsi="Tahoma" w:cs="Tahoma"/>
      <w:sz w:val="16"/>
      <w:szCs w:val="16"/>
    </w:rPr>
  </w:style>
  <w:style w:type="paragraph" w:styleId="ListParagraph">
    <w:name w:val="List Paragraph"/>
    <w:basedOn w:val="Normal"/>
    <w:uiPriority w:val="34"/>
    <w:qFormat/>
    <w:rsid w:val="00840BDF"/>
    <w:pPr>
      <w:ind w:left="720"/>
      <w:contextualSpacing/>
    </w:pPr>
  </w:style>
  <w:style w:type="character" w:styleId="Hyperlink">
    <w:name w:val="Hyperlink"/>
    <w:basedOn w:val="DefaultParagraphFont"/>
    <w:uiPriority w:val="99"/>
    <w:unhideWhenUsed/>
    <w:rsid w:val="00874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FF1"/>
  </w:style>
  <w:style w:type="paragraph" w:styleId="Footer">
    <w:name w:val="footer"/>
    <w:basedOn w:val="Normal"/>
    <w:link w:val="FooterChar"/>
    <w:uiPriority w:val="99"/>
    <w:unhideWhenUsed/>
    <w:rsid w:val="00094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FF1"/>
  </w:style>
  <w:style w:type="table" w:styleId="TableGrid">
    <w:name w:val="Table Grid"/>
    <w:basedOn w:val="TableNormal"/>
    <w:uiPriority w:val="59"/>
    <w:rsid w:val="00840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DF"/>
    <w:rPr>
      <w:rFonts w:ascii="Tahoma" w:hAnsi="Tahoma" w:cs="Tahoma"/>
      <w:sz w:val="16"/>
      <w:szCs w:val="16"/>
    </w:rPr>
  </w:style>
  <w:style w:type="paragraph" w:styleId="ListParagraph">
    <w:name w:val="List Paragraph"/>
    <w:basedOn w:val="Normal"/>
    <w:uiPriority w:val="34"/>
    <w:qFormat/>
    <w:rsid w:val="00840BDF"/>
    <w:pPr>
      <w:ind w:left="720"/>
      <w:contextualSpacing/>
    </w:pPr>
  </w:style>
  <w:style w:type="character" w:styleId="Hyperlink">
    <w:name w:val="Hyperlink"/>
    <w:basedOn w:val="DefaultParagraphFont"/>
    <w:uiPriority w:val="99"/>
    <w:unhideWhenUsed/>
    <w:rsid w:val="00874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0242">
      <w:bodyDiv w:val="1"/>
      <w:marLeft w:val="0"/>
      <w:marRight w:val="0"/>
      <w:marTop w:val="0"/>
      <w:marBottom w:val="0"/>
      <w:divBdr>
        <w:top w:val="none" w:sz="0" w:space="0" w:color="auto"/>
        <w:left w:val="none" w:sz="0" w:space="0" w:color="auto"/>
        <w:bottom w:val="none" w:sz="0" w:space="0" w:color="auto"/>
        <w:right w:val="none" w:sz="0" w:space="0" w:color="auto"/>
      </w:divBdr>
      <w:divsChild>
        <w:div w:id="1864901629">
          <w:marLeft w:val="547"/>
          <w:marRight w:val="0"/>
          <w:marTop w:val="144"/>
          <w:marBottom w:val="0"/>
          <w:divBdr>
            <w:top w:val="none" w:sz="0" w:space="0" w:color="auto"/>
            <w:left w:val="none" w:sz="0" w:space="0" w:color="auto"/>
            <w:bottom w:val="none" w:sz="0" w:space="0" w:color="auto"/>
            <w:right w:val="none" w:sz="0" w:space="0" w:color="auto"/>
          </w:divBdr>
        </w:div>
        <w:div w:id="1659308019">
          <w:marLeft w:val="1166"/>
          <w:marRight w:val="0"/>
          <w:marTop w:val="125"/>
          <w:marBottom w:val="0"/>
          <w:divBdr>
            <w:top w:val="none" w:sz="0" w:space="0" w:color="auto"/>
            <w:left w:val="none" w:sz="0" w:space="0" w:color="auto"/>
            <w:bottom w:val="none" w:sz="0" w:space="0" w:color="auto"/>
            <w:right w:val="none" w:sz="0" w:space="0" w:color="auto"/>
          </w:divBdr>
        </w:div>
        <w:div w:id="547686381">
          <w:marLeft w:val="1166"/>
          <w:marRight w:val="0"/>
          <w:marTop w:val="125"/>
          <w:marBottom w:val="0"/>
          <w:divBdr>
            <w:top w:val="none" w:sz="0" w:space="0" w:color="auto"/>
            <w:left w:val="none" w:sz="0" w:space="0" w:color="auto"/>
            <w:bottom w:val="none" w:sz="0" w:space="0" w:color="auto"/>
            <w:right w:val="none" w:sz="0" w:space="0" w:color="auto"/>
          </w:divBdr>
        </w:div>
      </w:divsChild>
    </w:div>
    <w:div w:id="340015192">
      <w:bodyDiv w:val="1"/>
      <w:marLeft w:val="0"/>
      <w:marRight w:val="0"/>
      <w:marTop w:val="0"/>
      <w:marBottom w:val="0"/>
      <w:divBdr>
        <w:top w:val="none" w:sz="0" w:space="0" w:color="auto"/>
        <w:left w:val="none" w:sz="0" w:space="0" w:color="auto"/>
        <w:bottom w:val="none" w:sz="0" w:space="0" w:color="auto"/>
        <w:right w:val="none" w:sz="0" w:space="0" w:color="auto"/>
      </w:divBdr>
    </w:div>
    <w:div w:id="521863857">
      <w:bodyDiv w:val="1"/>
      <w:marLeft w:val="0"/>
      <w:marRight w:val="0"/>
      <w:marTop w:val="0"/>
      <w:marBottom w:val="0"/>
      <w:divBdr>
        <w:top w:val="none" w:sz="0" w:space="0" w:color="auto"/>
        <w:left w:val="none" w:sz="0" w:space="0" w:color="auto"/>
        <w:bottom w:val="none" w:sz="0" w:space="0" w:color="auto"/>
        <w:right w:val="none" w:sz="0" w:space="0" w:color="auto"/>
      </w:divBdr>
      <w:divsChild>
        <w:div w:id="712581910">
          <w:marLeft w:val="547"/>
          <w:marRight w:val="0"/>
          <w:marTop w:val="154"/>
          <w:marBottom w:val="0"/>
          <w:divBdr>
            <w:top w:val="none" w:sz="0" w:space="0" w:color="auto"/>
            <w:left w:val="none" w:sz="0" w:space="0" w:color="auto"/>
            <w:bottom w:val="none" w:sz="0" w:space="0" w:color="auto"/>
            <w:right w:val="none" w:sz="0" w:space="0" w:color="auto"/>
          </w:divBdr>
        </w:div>
      </w:divsChild>
    </w:div>
    <w:div w:id="951205286">
      <w:bodyDiv w:val="1"/>
      <w:marLeft w:val="0"/>
      <w:marRight w:val="0"/>
      <w:marTop w:val="0"/>
      <w:marBottom w:val="0"/>
      <w:divBdr>
        <w:top w:val="none" w:sz="0" w:space="0" w:color="auto"/>
        <w:left w:val="none" w:sz="0" w:space="0" w:color="auto"/>
        <w:bottom w:val="none" w:sz="0" w:space="0" w:color="auto"/>
        <w:right w:val="none" w:sz="0" w:space="0" w:color="auto"/>
      </w:divBdr>
      <w:divsChild>
        <w:div w:id="1362510604">
          <w:marLeft w:val="547"/>
          <w:marRight w:val="0"/>
          <w:marTop w:val="173"/>
          <w:marBottom w:val="0"/>
          <w:divBdr>
            <w:top w:val="none" w:sz="0" w:space="0" w:color="auto"/>
            <w:left w:val="none" w:sz="0" w:space="0" w:color="auto"/>
            <w:bottom w:val="none" w:sz="0" w:space="0" w:color="auto"/>
            <w:right w:val="none" w:sz="0" w:space="0" w:color="auto"/>
          </w:divBdr>
        </w:div>
      </w:divsChild>
    </w:div>
    <w:div w:id="1790852704">
      <w:bodyDiv w:val="1"/>
      <w:marLeft w:val="0"/>
      <w:marRight w:val="0"/>
      <w:marTop w:val="0"/>
      <w:marBottom w:val="0"/>
      <w:divBdr>
        <w:top w:val="none" w:sz="0" w:space="0" w:color="auto"/>
        <w:left w:val="none" w:sz="0" w:space="0" w:color="auto"/>
        <w:bottom w:val="none" w:sz="0" w:space="0" w:color="auto"/>
        <w:right w:val="none" w:sz="0" w:space="0" w:color="auto"/>
      </w:divBdr>
      <w:divsChild>
        <w:div w:id="149915397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nc.org.uk/wp-content/uploads/2013/12/CTA-LPC-Comms-2-Jan.docx" TargetMode="External"/><Relationship Id="rId18" Type="http://schemas.openxmlformats.org/officeDocument/2006/relationships/hyperlink" Target="http://psnc.org.uk/wp-content/uploads/2013/12/CTA-LPC-local-stakeholder-map.docx" TargetMode="External"/><Relationship Id="rId26" Type="http://schemas.openxmlformats.org/officeDocument/2006/relationships/hyperlink" Target="http://psnc.org.uk/wp-content/uploads/2013/12/Template-Call-to-Action-press-release.docx" TargetMode="External"/><Relationship Id="rId3" Type="http://schemas.openxmlformats.org/officeDocument/2006/relationships/styles" Target="styles.xml"/><Relationship Id="rId21" Type="http://schemas.openxmlformats.org/officeDocument/2006/relationships/hyperlink" Target="http://psnc.org.uk/wp-content/uploads/2013/12/PSNC-flyer-on-NHS-England-CTA-Dec-2013.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snc.org.uk/wp-content/uploads/2013/12/CTA-text-1-for-LPC-use.docx" TargetMode="External"/><Relationship Id="rId17" Type="http://schemas.openxmlformats.org/officeDocument/2006/relationships/hyperlink" Target="http://psnc.org.uk/wp-content/uploads/2013/12/Stakeholder-feedback-form.docx" TargetMode="External"/><Relationship Id="rId25" Type="http://schemas.openxmlformats.org/officeDocument/2006/relationships/hyperlink" Target="http://www.local.gov.uk/publications/-/journal_content/56/10180/5597846/PUBLICA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snc.org.uk/wp-content/uploads/2013/12/CTA-LPC-response-planner.docx" TargetMode="External"/><Relationship Id="rId20" Type="http://schemas.openxmlformats.org/officeDocument/2006/relationships/hyperlink" Target="http://psnc.org.uk/wp-content/uploads/2013/12/Template-CTA-letter-to-Stakeholders.docx" TargetMode="External"/><Relationship Id="rId29" Type="http://schemas.openxmlformats.org/officeDocument/2006/relationships/hyperlink" Target="mailto:cta@psnc.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nc.org.uk/wp-content/uploads/2013/12/CTA-LPC-response-planner.docx" TargetMode="External"/><Relationship Id="rId24" Type="http://schemas.openxmlformats.org/officeDocument/2006/relationships/hyperlink" Target="http://psnc.org.uk/wp-content/uploads/2013/07/Vision-narrative-flyer-Sept-2013.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snc.org.uk/wp-content/uploads/2013/12/CP-CTA-questions-for-discussion.docx" TargetMode="External"/><Relationship Id="rId23" Type="http://schemas.openxmlformats.org/officeDocument/2006/relationships/hyperlink" Target="http://psnc.org.uk/wp-content/uploads/2013/12/Template-CTA-letter-to-a-local-Councillor-or-MP.docx" TargetMode="External"/><Relationship Id="rId28" Type="http://schemas.openxmlformats.org/officeDocument/2006/relationships/hyperlink" Target="http://psnc.org.uk/wp-content/uploads/2013/12/PSNC-guidance-on-responding-to-the-CTA.pdf" TargetMode="External"/><Relationship Id="rId10" Type="http://schemas.openxmlformats.org/officeDocument/2006/relationships/hyperlink" Target="http://psnc.org.uk/wp-content/uploads/2013/12/CP-CTA-questions-for-discussion.docx" TargetMode="External"/><Relationship Id="rId19" Type="http://schemas.openxmlformats.org/officeDocument/2006/relationships/hyperlink" Target="http://psnc.org.uk/wp-content/uploads/2013/12/CTA-local-stakeholder-list.pdf" TargetMode="External"/><Relationship Id="rId31" Type="http://schemas.openxmlformats.org/officeDocument/2006/relationships/hyperlink" Target="http://psnc.org.uk/the-healthcare-landscape/community-pharmacy-call-to-action/lpcs-and-nhs-englands-call-to-action/" TargetMode="External"/><Relationship Id="rId4" Type="http://schemas.microsoft.com/office/2007/relationships/stylesWithEffects" Target="stylesWithEffects.xml"/><Relationship Id="rId9" Type="http://schemas.openxmlformats.org/officeDocument/2006/relationships/hyperlink" Target="http://psnc.org.uk/wp-content/uploads/2013/12/CP-CTA-PSNC-workshops-Jan-2014.pptx" TargetMode="External"/><Relationship Id="rId14" Type="http://schemas.openxmlformats.org/officeDocument/2006/relationships/hyperlink" Target="http://psnc.org.uk/wp-content/uploads/2013/12/CP-CTA-meeting-presentation-Dec-2013.pptx" TargetMode="External"/><Relationship Id="rId22" Type="http://schemas.openxmlformats.org/officeDocument/2006/relationships/hyperlink" Target="http://psnc.org.uk/wp-content/uploads/2013/12/Stakeholder-feedback-form.docx" TargetMode="External"/><Relationship Id="rId27" Type="http://schemas.openxmlformats.org/officeDocument/2006/relationships/hyperlink" Target="mailto:alastair.buxton@psnc.org.uk?subject=CTA%20example" TargetMode="External"/><Relationship Id="rId30" Type="http://schemas.openxmlformats.org/officeDocument/2006/relationships/hyperlink" Target="http://psnc.org.uk/ct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8E16-E8F0-47D7-A2AF-BAA22962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Buxton</dc:creator>
  <cp:lastModifiedBy>Alastair Buxton</cp:lastModifiedBy>
  <cp:revision>27</cp:revision>
  <cp:lastPrinted>2014-01-13T13:19:00Z</cp:lastPrinted>
  <dcterms:created xsi:type="dcterms:W3CDTF">2014-01-13T12:44:00Z</dcterms:created>
  <dcterms:modified xsi:type="dcterms:W3CDTF">2014-01-30T12:02:00Z</dcterms:modified>
</cp:coreProperties>
</file>