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D7378" w14:textId="5CC5A4F3" w:rsidR="00796C23" w:rsidRPr="00211C18" w:rsidRDefault="009462B2" w:rsidP="00211C18">
      <w:r w:rsidRPr="00A37666">
        <w:rPr>
          <w:rFonts w:eastAsiaTheme="majorEastAsia" w:cstheme="majorBidi"/>
          <w:b/>
          <w:color w:val="519680"/>
          <w:sz w:val="36"/>
          <w:szCs w:val="36"/>
        </w:rPr>
        <w:t xml:space="preserve">Business Case:  </w:t>
      </w:r>
      <w:r w:rsidR="001A0081" w:rsidRPr="00A37666">
        <w:rPr>
          <w:rFonts w:eastAsiaTheme="majorEastAsia" w:cstheme="majorBidi"/>
          <w:b/>
          <w:color w:val="519680"/>
          <w:sz w:val="36"/>
          <w:szCs w:val="36"/>
        </w:rPr>
        <w:t>Commissioning a community pharmacy Minor Ailment Service</w:t>
      </w:r>
    </w:p>
    <w:p w14:paraId="268BFB3D" w14:textId="77777777" w:rsidR="001A0081" w:rsidRDefault="001A0081" w:rsidP="001A0081">
      <w:pPr>
        <w:pStyle w:val="Heading2"/>
        <w:spacing w:before="0" w:line="240" w:lineRule="auto"/>
        <w:ind w:right="-613"/>
        <w:rPr>
          <w:rFonts w:asciiTheme="minorHAnsi" w:hAnsiTheme="minorHAnsi"/>
          <w:b/>
          <w:color w:val="519680"/>
          <w:sz w:val="28"/>
          <w:szCs w:val="28"/>
        </w:rPr>
      </w:pPr>
      <w:r>
        <w:rPr>
          <w:rFonts w:asciiTheme="minorHAnsi" w:hAnsiTheme="minorHAnsi"/>
          <w:b/>
          <w:color w:val="519680"/>
          <w:sz w:val="28"/>
          <w:szCs w:val="28"/>
        </w:rPr>
        <w:t>Commissioning background</w:t>
      </w:r>
    </w:p>
    <w:p w14:paraId="6332165E" w14:textId="37E6EB94" w:rsidR="001A0081" w:rsidRDefault="001A0081" w:rsidP="001A0081">
      <w:pPr>
        <w:spacing w:after="0" w:line="240" w:lineRule="auto"/>
        <w:ind w:right="-23"/>
        <w:jc w:val="both"/>
      </w:pPr>
      <w:r>
        <w:t xml:space="preserve">Minor ailments are defined as </w:t>
      </w:r>
      <w:r w:rsidR="00BD7E35">
        <w:t>“</w:t>
      </w:r>
      <w:r>
        <w:t>common or self-limiting or uncomplicated conditions which can be diagnosed and managed without medical intervention</w:t>
      </w:r>
      <w:r w:rsidR="00BD7E35">
        <w:t>”</w:t>
      </w:r>
      <w:r>
        <w:t>.</w:t>
      </w:r>
    </w:p>
    <w:p w14:paraId="139111BB" w14:textId="77777777" w:rsidR="001A0081" w:rsidRDefault="001A0081" w:rsidP="001A0081">
      <w:pPr>
        <w:spacing w:after="0" w:line="240" w:lineRule="auto"/>
        <w:ind w:right="-613"/>
        <w:jc w:val="both"/>
      </w:pPr>
    </w:p>
    <w:p w14:paraId="3F61F6E5" w14:textId="77777777" w:rsidR="001A0081" w:rsidRDefault="001A0081" w:rsidP="001A0081">
      <w:pPr>
        <w:spacing w:after="0" w:line="240" w:lineRule="auto"/>
        <w:ind w:right="-23"/>
        <w:jc w:val="both"/>
      </w:pPr>
      <w:r>
        <w:t>Pharmacy based services to treat minor ailments were introduced locally across the UK more than 15 years ago,</w:t>
      </w:r>
      <w:r w:rsidRPr="00A37666">
        <w:rPr>
          <w:rStyle w:val="FootnoteReference"/>
          <w:rFonts w:asciiTheme="minorHAnsi" w:hAnsiTheme="minorHAnsi" w:cstheme="minorHAnsi"/>
          <w:bCs/>
          <w:iCs/>
        </w:rPr>
        <w:footnoteReference w:id="1"/>
      </w:r>
      <w:r w:rsidRPr="00BF22C3">
        <w:t xml:space="preserve"> </w:t>
      </w:r>
      <w:r>
        <w:t>to reduce the burden on higher cost settings such as general practice and A&amp;E departments. Consultations for minor ailments are less expensive when provided through community pharmacy and evidence suggests that the pharmacy service provides a suitable alternative to GP consultations.</w:t>
      </w:r>
      <w:r w:rsidRPr="00A37666">
        <w:rPr>
          <w:rStyle w:val="FootnoteReference"/>
          <w:rFonts w:asciiTheme="minorHAnsi" w:hAnsiTheme="minorHAnsi" w:cstheme="minorHAnsi"/>
        </w:rPr>
        <w:footnoteReference w:id="2"/>
      </w:r>
    </w:p>
    <w:p w14:paraId="2C497F5E" w14:textId="77777777" w:rsidR="001A0081" w:rsidRDefault="001A0081" w:rsidP="001A0081">
      <w:pPr>
        <w:spacing w:after="0" w:line="240" w:lineRule="auto"/>
        <w:ind w:right="-23"/>
        <w:jc w:val="both"/>
      </w:pPr>
    </w:p>
    <w:p w14:paraId="1AA7FA44" w14:textId="30E8693A" w:rsidR="001A0081" w:rsidRDefault="001A0081" w:rsidP="001A0081">
      <w:pPr>
        <w:spacing w:after="0" w:line="240" w:lineRule="auto"/>
        <w:ind w:right="-23"/>
        <w:jc w:val="both"/>
      </w:pPr>
      <w:r>
        <w:t>Nearly one in five (18%) of GP consultations are for minor ailments alone;</w:t>
      </w:r>
      <w:bookmarkStart w:id="0" w:name="_Ref486599703"/>
      <w:r w:rsidRPr="00A37666">
        <w:rPr>
          <w:rStyle w:val="FootnoteReference"/>
          <w:rFonts w:asciiTheme="minorHAnsi" w:hAnsiTheme="minorHAnsi" w:cstheme="minorHAnsi"/>
        </w:rPr>
        <w:footnoteReference w:id="3"/>
      </w:r>
      <w:bookmarkEnd w:id="0"/>
      <w:r w:rsidRPr="00A37666">
        <w:rPr>
          <w:rFonts w:cstheme="minorHAnsi"/>
        </w:rPr>
        <w:t xml:space="preserve"> </w:t>
      </w:r>
      <w:r>
        <w:t>many of which could be managed in community pharmacies through a Minor Ailment Service.</w:t>
      </w:r>
      <w:r>
        <w:rPr>
          <w:rFonts w:eastAsia="Times New Roman"/>
          <w:vertAlign w:val="superscript"/>
          <w:lang w:eastAsia="en-GB"/>
        </w:rPr>
        <w:t xml:space="preserve"> </w:t>
      </w:r>
      <w:r>
        <w:rPr>
          <w:rFonts w:eastAsia="Times New Roman"/>
          <w:lang w:eastAsia="en-GB"/>
        </w:rPr>
        <w:t>W</w:t>
      </w:r>
      <w:r>
        <w:t>ith the prevailing economic climate, services such as these – which reduce costs, create GP time for the management of more complex long-term conditions and that have a positive impact on urgent and emergency services – should form part of system redesign.</w:t>
      </w:r>
    </w:p>
    <w:p w14:paraId="3938B043" w14:textId="77777777" w:rsidR="001A0081" w:rsidRDefault="001A0081" w:rsidP="001A0081">
      <w:pPr>
        <w:spacing w:after="0" w:line="240" w:lineRule="auto"/>
        <w:ind w:right="-23"/>
        <w:jc w:val="both"/>
      </w:pPr>
    </w:p>
    <w:p w14:paraId="4ECEBE99" w14:textId="77777777" w:rsidR="001A0081" w:rsidRDefault="001A0081" w:rsidP="001A0081">
      <w:pPr>
        <w:spacing w:after="0" w:line="240" w:lineRule="auto"/>
        <w:ind w:right="-23"/>
        <w:jc w:val="both"/>
      </w:pPr>
      <w:r>
        <w:t>The NHS England evidence base report on the urgent care review</w:t>
      </w:r>
      <w:r w:rsidRPr="00A37666">
        <w:rPr>
          <w:rStyle w:val="FootnoteReference"/>
          <w:rFonts w:asciiTheme="minorHAnsi" w:hAnsiTheme="minorHAnsi" w:cstheme="minorHAnsi"/>
        </w:rPr>
        <w:footnoteReference w:id="4"/>
      </w:r>
      <w:r>
        <w:t>, published in June 2013, highlighted the role that pharmacies could play in providing accessible care and helping many patients who would otherwise visit their GP for minor ailments. It concluded that:</w:t>
      </w:r>
    </w:p>
    <w:p w14:paraId="6C72DFA0" w14:textId="77777777" w:rsidR="001A0081" w:rsidRDefault="001A0081" w:rsidP="001A0081">
      <w:pPr>
        <w:spacing w:after="0" w:line="240" w:lineRule="auto"/>
        <w:ind w:right="-23"/>
        <w:jc w:val="both"/>
      </w:pPr>
    </w:p>
    <w:p w14:paraId="0DF9FA7C" w14:textId="785305BE" w:rsidR="001A0081" w:rsidRPr="00861710" w:rsidRDefault="00DC7894" w:rsidP="001A0081">
      <w:pPr>
        <w:spacing w:after="0" w:line="240" w:lineRule="auto"/>
        <w:ind w:right="-23"/>
        <w:jc w:val="center"/>
        <w:rPr>
          <w:b/>
          <w:i/>
          <w:color w:val="519680"/>
          <w:sz w:val="24"/>
        </w:rPr>
      </w:pPr>
      <w:r>
        <w:rPr>
          <w:rStyle w:val="SubtleEmphasis"/>
          <w:b/>
          <w:color w:val="519680"/>
          <w:sz w:val="24"/>
        </w:rPr>
        <w:t>“</w:t>
      </w:r>
      <w:r w:rsidR="001A0081" w:rsidRPr="00861710">
        <w:rPr>
          <w:rStyle w:val="SubtleEmphasis"/>
          <w:b/>
          <w:color w:val="519680"/>
          <w:sz w:val="24"/>
        </w:rPr>
        <w:t>Community pharmacy services can play an important role in enabling self-care, particularly amongst patients with minor ailments and long-term conditions</w:t>
      </w:r>
      <w:r w:rsidR="001A0081" w:rsidRPr="00861710">
        <w:rPr>
          <w:b/>
          <w:i/>
          <w:color w:val="519680"/>
          <w:sz w:val="24"/>
        </w:rPr>
        <w:t>.</w:t>
      </w:r>
      <w:r>
        <w:rPr>
          <w:b/>
          <w:i/>
          <w:color w:val="519680"/>
          <w:sz w:val="24"/>
        </w:rPr>
        <w:t>”</w:t>
      </w:r>
    </w:p>
    <w:p w14:paraId="4A0B162D" w14:textId="77777777" w:rsidR="001A0081" w:rsidRDefault="001A0081" w:rsidP="001A0081">
      <w:pPr>
        <w:spacing w:after="0" w:line="240" w:lineRule="auto"/>
        <w:ind w:right="-23"/>
        <w:jc w:val="both"/>
        <w:rPr>
          <w:b/>
          <w:color w:val="519680"/>
        </w:rPr>
      </w:pPr>
    </w:p>
    <w:p w14:paraId="265E9FDB" w14:textId="393FD01C" w:rsidR="001A0081" w:rsidRDefault="001A0081" w:rsidP="001A0081">
      <w:pPr>
        <w:spacing w:after="0" w:line="240" w:lineRule="auto"/>
        <w:ind w:right="-23"/>
        <w:jc w:val="both"/>
      </w:pPr>
      <w:r>
        <w:t>Around 80% of all care in the UK is self-care</w:t>
      </w:r>
      <w:r w:rsidR="00206513" w:rsidRPr="00794246">
        <w:rPr>
          <w:rStyle w:val="FootnoteReference"/>
          <w:rFonts w:asciiTheme="minorHAnsi" w:hAnsiTheme="minorHAnsi" w:cstheme="minorHAnsi"/>
        </w:rPr>
        <w:footnoteReference w:id="5"/>
      </w:r>
      <w:r>
        <w:t xml:space="preserve"> and this is an area in which community pharmacy can make a real difference. NHS England highlighted that:</w:t>
      </w:r>
    </w:p>
    <w:p w14:paraId="1727506E" w14:textId="77777777" w:rsidR="001A0081" w:rsidRDefault="001A0081" w:rsidP="001A0081">
      <w:pPr>
        <w:pStyle w:val="ListParagraph"/>
        <w:numPr>
          <w:ilvl w:val="0"/>
          <w:numId w:val="1"/>
        </w:numPr>
        <w:spacing w:after="0" w:line="240" w:lineRule="auto"/>
        <w:ind w:left="540" w:right="-23"/>
        <w:jc w:val="both"/>
      </w:pPr>
      <w:r>
        <w:t>self-care for minor ailments can reduce dependence on emergency care services;</w:t>
      </w:r>
    </w:p>
    <w:p w14:paraId="5A454475" w14:textId="77777777" w:rsidR="001A0081" w:rsidRDefault="001A0081" w:rsidP="001A0081">
      <w:pPr>
        <w:pStyle w:val="ListParagraph"/>
        <w:numPr>
          <w:ilvl w:val="0"/>
          <w:numId w:val="1"/>
        </w:numPr>
        <w:spacing w:after="0" w:line="240" w:lineRule="auto"/>
        <w:ind w:left="540" w:right="-23"/>
        <w:jc w:val="both"/>
      </w:pPr>
      <w:r>
        <w:t>there is a need to improve awareness among patients about how to access self-care support services; and</w:t>
      </w:r>
    </w:p>
    <w:p w14:paraId="2E6014B2" w14:textId="77777777" w:rsidR="001A0081" w:rsidRDefault="001A0081" w:rsidP="001A0081">
      <w:pPr>
        <w:pStyle w:val="ListParagraph"/>
        <w:numPr>
          <w:ilvl w:val="0"/>
          <w:numId w:val="1"/>
        </w:numPr>
        <w:spacing w:after="0" w:line="240" w:lineRule="auto"/>
        <w:ind w:left="540" w:right="-23"/>
        <w:jc w:val="both"/>
      </w:pPr>
      <w:r>
        <w:t xml:space="preserve">there is a need to ensure such services are used consistently by patients. </w:t>
      </w:r>
    </w:p>
    <w:p w14:paraId="3706C27D" w14:textId="77777777" w:rsidR="001A0081" w:rsidRDefault="001A0081" w:rsidP="001A0081">
      <w:pPr>
        <w:pStyle w:val="ListParagraph"/>
        <w:spacing w:after="0" w:line="240" w:lineRule="auto"/>
        <w:ind w:left="0" w:right="-23"/>
        <w:jc w:val="both"/>
      </w:pPr>
    </w:p>
    <w:p w14:paraId="195FF660" w14:textId="77777777" w:rsidR="001A0081" w:rsidRDefault="001A0081" w:rsidP="001A0081">
      <w:pPr>
        <w:spacing w:after="0" w:line="240" w:lineRule="auto"/>
        <w:ind w:right="-23"/>
        <w:jc w:val="both"/>
      </w:pPr>
      <w:r>
        <w:t>General practice and A&amp;E departments are both in crisis. GP workload has increased substantially in recent years and has not been matched by growth in either funding or in workforce. As the pressures on general practice have grown, the experience for patients has deteriorated, albeit from high levels</w:t>
      </w:r>
      <w:r w:rsidRPr="00A37666">
        <w:rPr>
          <w:rStyle w:val="FootnoteReference"/>
          <w:rFonts w:asciiTheme="minorHAnsi" w:hAnsiTheme="minorHAnsi" w:cstheme="minorHAnsi"/>
        </w:rPr>
        <w:footnoteReference w:id="6"/>
      </w:r>
      <w:r>
        <w:t xml:space="preserve"> and data suggests that patients are finding it increasingly difficult to get appointments – the number of people who have failed to get an appointment has increased from 9% to 11% since 2011/12, which suggests there is some growth in unmet demand.</w:t>
      </w:r>
      <w:r w:rsidRPr="00A37666">
        <w:rPr>
          <w:rStyle w:val="FootnoteReference"/>
          <w:rFonts w:asciiTheme="minorHAnsi" w:hAnsiTheme="minorHAnsi" w:cstheme="minorHAnsi"/>
        </w:rPr>
        <w:footnoteReference w:id="7"/>
      </w:r>
    </w:p>
    <w:p w14:paraId="117B86DC" w14:textId="77777777" w:rsidR="001A0081" w:rsidRDefault="001A0081" w:rsidP="001A0081">
      <w:pPr>
        <w:spacing w:after="0" w:line="240" w:lineRule="auto"/>
        <w:ind w:right="-23"/>
        <w:jc w:val="both"/>
      </w:pPr>
    </w:p>
    <w:p w14:paraId="4AF1726C" w14:textId="77777777" w:rsidR="001A0081" w:rsidRDefault="001A0081" w:rsidP="001A0081">
      <w:pPr>
        <w:spacing w:after="0" w:line="240" w:lineRule="auto"/>
        <w:ind w:right="-23"/>
        <w:jc w:val="both"/>
      </w:pPr>
      <w:r>
        <w:lastRenderedPageBreak/>
        <w:t>In 2012/13, there were an estimated 22 million attendances at A&amp;E departments in England, one third of which involved ‘guidance or advice only’</w:t>
      </w:r>
      <w:bookmarkStart w:id="1" w:name="_Ref476741325"/>
      <w:r w:rsidRPr="00A37666">
        <w:rPr>
          <w:rStyle w:val="FootnoteReference"/>
          <w:rFonts w:asciiTheme="minorHAnsi" w:hAnsiTheme="minorHAnsi" w:cstheme="minorHAnsi"/>
        </w:rPr>
        <w:footnoteReference w:id="8"/>
      </w:r>
      <w:bookmarkEnd w:id="1"/>
      <w:r>
        <w:t xml:space="preserve"> and 5.8 million of the attendances to A&amp;E or walk-in centres followed patients not being able to get an appointment or a convenient appointment in general practice.</w:t>
      </w:r>
      <w:r w:rsidRPr="00A37666">
        <w:rPr>
          <w:rStyle w:val="FootnoteReference"/>
          <w:rFonts w:asciiTheme="minorHAnsi" w:hAnsiTheme="minorHAnsi" w:cstheme="minorHAnsi"/>
        </w:rPr>
        <w:footnoteReference w:id="9"/>
      </w:r>
    </w:p>
    <w:p w14:paraId="2BBF8489" w14:textId="77777777" w:rsidR="001A0081" w:rsidRDefault="001A0081" w:rsidP="001A0081">
      <w:pPr>
        <w:spacing w:after="0" w:line="240" w:lineRule="auto"/>
        <w:ind w:right="-23"/>
        <w:jc w:val="both"/>
      </w:pPr>
      <w:r>
        <w:t>A&amp;E departments have been struggling to meet the four-hour standard, failing most months to hit this target</w:t>
      </w:r>
      <w:r w:rsidRPr="00A37666">
        <w:rPr>
          <w:rStyle w:val="FootnoteReference"/>
          <w:rFonts w:asciiTheme="minorHAnsi" w:hAnsiTheme="minorHAnsi" w:cstheme="minorHAnsi"/>
        </w:rPr>
        <w:footnoteReference w:id="10"/>
      </w:r>
      <w:r>
        <w:t>. There are numerous reasons for this; however, patients accessing A&amp;E because of not being able to get a GP appointment is contributing to this failure.</w:t>
      </w:r>
    </w:p>
    <w:p w14:paraId="6D4C3370" w14:textId="77777777" w:rsidR="001A0081" w:rsidRPr="005D5010" w:rsidRDefault="001A0081" w:rsidP="001A0081">
      <w:pPr>
        <w:spacing w:after="0" w:line="240" w:lineRule="auto"/>
        <w:ind w:right="-23"/>
        <w:jc w:val="both"/>
        <w:rPr>
          <w:sz w:val="28"/>
        </w:rPr>
      </w:pPr>
    </w:p>
    <w:p w14:paraId="1F5E4E52" w14:textId="5EFE8CA9" w:rsidR="001A0081" w:rsidRPr="00C73074" w:rsidRDefault="001A0081" w:rsidP="001A0081">
      <w:pPr>
        <w:spacing w:after="0" w:line="240" w:lineRule="auto"/>
        <w:ind w:right="-23"/>
        <w:jc w:val="both"/>
        <w:rPr>
          <w:b/>
          <w:sz w:val="24"/>
        </w:rPr>
      </w:pPr>
      <w:r w:rsidRPr="00C73074">
        <w:rPr>
          <w:b/>
          <w:color w:val="519680"/>
          <w:sz w:val="24"/>
        </w:rPr>
        <w:t>The consequential diversion of patients to urgent care, such as A&amp;E departments, could be reversed if a community pharmacy Minor Ailment Service is implemented, freeing up GP appointments and capacity in A&amp;E departments; while also reducing costs by moving demand from higher cost settings to community pharmacy.</w:t>
      </w:r>
    </w:p>
    <w:p w14:paraId="7FEF525D" w14:textId="77777777" w:rsidR="001A0081" w:rsidRDefault="001A0081" w:rsidP="001A0081">
      <w:pPr>
        <w:spacing w:after="0" w:line="240" w:lineRule="auto"/>
        <w:ind w:right="-23"/>
        <w:jc w:val="both"/>
        <w:rPr>
          <w:b/>
        </w:rPr>
      </w:pPr>
    </w:p>
    <w:p w14:paraId="1B37AAEE" w14:textId="69190ADD" w:rsidR="001A0081" w:rsidRDefault="001A0081" w:rsidP="001A0081">
      <w:pPr>
        <w:pStyle w:val="Heading2"/>
        <w:spacing w:before="0" w:line="240" w:lineRule="auto"/>
        <w:ind w:right="-23"/>
        <w:rPr>
          <w:rFonts w:asciiTheme="minorHAnsi" w:hAnsiTheme="minorHAnsi"/>
          <w:b/>
          <w:color w:val="519680"/>
          <w:sz w:val="28"/>
          <w:szCs w:val="28"/>
        </w:rPr>
      </w:pPr>
      <w:r>
        <w:rPr>
          <w:rFonts w:asciiTheme="minorHAnsi" w:hAnsiTheme="minorHAnsi"/>
          <w:b/>
          <w:color w:val="519680"/>
          <w:sz w:val="28"/>
          <w:szCs w:val="28"/>
        </w:rPr>
        <w:t>Why [insert commissioner name] should commission a Minor Ailment Service</w:t>
      </w:r>
    </w:p>
    <w:p w14:paraId="41A52ABA" w14:textId="16139D8B" w:rsidR="001A0081" w:rsidRDefault="001A0081" w:rsidP="001A0081">
      <w:pPr>
        <w:spacing w:after="0" w:line="240" w:lineRule="auto"/>
        <w:ind w:right="-23"/>
        <w:jc w:val="both"/>
      </w:pPr>
      <w:r>
        <w:t xml:space="preserve">The benefits of a Minor </w:t>
      </w:r>
      <w:r w:rsidR="00E1271B">
        <w:t>Aliment</w:t>
      </w:r>
      <w:r>
        <w:t xml:space="preserve"> Service commissioned through community pharmacy, which have already resulted in national commissioning of the service in Scotland</w:t>
      </w:r>
      <w:r w:rsidRPr="00A37666">
        <w:rPr>
          <w:rStyle w:val="FootnoteReference"/>
          <w:rFonts w:asciiTheme="majorHAnsi" w:hAnsiTheme="majorHAnsi" w:cstheme="majorHAnsi"/>
        </w:rPr>
        <w:footnoteReference w:id="11"/>
      </w:r>
      <w:r>
        <w:t xml:space="preserve"> and Wales</w:t>
      </w:r>
      <w:r w:rsidRPr="00A37666">
        <w:rPr>
          <w:rStyle w:val="FootnoteReference"/>
          <w:rFonts w:asciiTheme="minorHAnsi" w:hAnsiTheme="minorHAnsi" w:cstheme="minorHAnsi"/>
        </w:rPr>
        <w:footnoteReference w:id="12"/>
      </w:r>
      <w:r>
        <w:t>, are primarily:</w:t>
      </w:r>
    </w:p>
    <w:p w14:paraId="7864F93C" w14:textId="77777777" w:rsidR="001A0081" w:rsidRDefault="001A0081" w:rsidP="001A0081">
      <w:pPr>
        <w:spacing w:after="0" w:line="240" w:lineRule="auto"/>
        <w:ind w:right="-23"/>
        <w:jc w:val="both"/>
      </w:pPr>
    </w:p>
    <w:p w14:paraId="54BA6091" w14:textId="77777777" w:rsidR="001A0081" w:rsidRDefault="001A0081" w:rsidP="001A0081">
      <w:pPr>
        <w:pStyle w:val="Heading3"/>
        <w:numPr>
          <w:ilvl w:val="0"/>
          <w:numId w:val="3"/>
        </w:numPr>
        <w:spacing w:before="0" w:beforeAutospacing="0" w:after="0" w:afterAutospacing="0"/>
        <w:ind w:right="-23"/>
        <w:jc w:val="both"/>
        <w:rPr>
          <w:rFonts w:asciiTheme="minorHAnsi" w:hAnsiTheme="minorHAnsi"/>
          <w:color w:val="519680"/>
          <w:sz w:val="24"/>
          <w:szCs w:val="24"/>
        </w:rPr>
      </w:pPr>
      <w:r>
        <w:rPr>
          <w:rFonts w:asciiTheme="minorHAnsi" w:hAnsiTheme="minorHAnsi"/>
          <w:color w:val="519680"/>
          <w:sz w:val="24"/>
          <w:szCs w:val="24"/>
        </w:rPr>
        <w:t xml:space="preserve">Reducing </w:t>
      </w:r>
      <w:r w:rsidRPr="00861710">
        <w:rPr>
          <w:rFonts w:asciiTheme="minorHAnsi" w:hAnsiTheme="minorHAnsi"/>
          <w:color w:val="519680"/>
          <w:sz w:val="24"/>
          <w:szCs w:val="24"/>
        </w:rPr>
        <w:t>costs and saving</w:t>
      </w:r>
      <w:r>
        <w:rPr>
          <w:rFonts w:asciiTheme="minorHAnsi" w:hAnsiTheme="minorHAnsi"/>
          <w:color w:val="519680"/>
          <w:sz w:val="24"/>
          <w:szCs w:val="24"/>
        </w:rPr>
        <w:t xml:space="preserve"> GP time</w:t>
      </w:r>
    </w:p>
    <w:p w14:paraId="0D177890" w14:textId="77777777" w:rsidR="001A0081" w:rsidRDefault="001A0081" w:rsidP="001A0081">
      <w:pPr>
        <w:pStyle w:val="Heading3"/>
        <w:spacing w:before="0" w:beforeAutospacing="0" w:after="0" w:afterAutospacing="0"/>
        <w:ind w:left="720" w:right="-23"/>
        <w:jc w:val="both"/>
        <w:rPr>
          <w:rFonts w:asciiTheme="minorHAnsi" w:hAnsiTheme="minorHAnsi"/>
          <w:b w:val="0"/>
          <w:sz w:val="22"/>
          <w:szCs w:val="22"/>
        </w:rPr>
      </w:pPr>
      <w:r>
        <w:rPr>
          <w:rFonts w:asciiTheme="minorHAnsi" w:hAnsiTheme="minorHAnsi"/>
          <w:b w:val="0"/>
          <w:sz w:val="22"/>
          <w:szCs w:val="22"/>
        </w:rPr>
        <w:t>Nearly one in five (18%) of GP consultations are for minor ailments alone.</w:t>
      </w:r>
      <w:bookmarkStart w:id="2" w:name="_Ref365992029"/>
      <w:r>
        <w:rPr>
          <w:rFonts w:asciiTheme="minorHAnsi" w:hAnsiTheme="minorHAnsi"/>
          <w:b w:val="0"/>
          <w:sz w:val="22"/>
          <w:szCs w:val="22"/>
        </w:rPr>
        <w:t xml:space="preserve"> If these consultations could be handled by a pharmacist, at least an hour a day could be released for every GP to see patients with more complex needs</w:t>
      </w:r>
      <w:bookmarkEnd w:id="2"/>
      <w:r w:rsidRPr="00C101F7">
        <w:rPr>
          <w:rFonts w:asciiTheme="minorHAnsi" w:hAnsiTheme="minorHAnsi"/>
          <w:b w:val="0"/>
          <w:sz w:val="22"/>
          <w:szCs w:val="22"/>
          <w:vertAlign w:val="superscript"/>
        </w:rPr>
        <w:fldChar w:fldCharType="begin"/>
      </w:r>
      <w:r w:rsidRPr="00C101F7">
        <w:rPr>
          <w:rFonts w:asciiTheme="minorHAnsi" w:hAnsiTheme="minorHAnsi"/>
          <w:b w:val="0"/>
          <w:sz w:val="22"/>
          <w:szCs w:val="22"/>
          <w:vertAlign w:val="superscript"/>
        </w:rPr>
        <w:instrText xml:space="preserve"> NOTEREF _Ref486599703 \h </w:instrText>
      </w:r>
      <w:r>
        <w:rPr>
          <w:rFonts w:asciiTheme="minorHAnsi" w:hAnsiTheme="minorHAnsi"/>
          <w:b w:val="0"/>
          <w:sz w:val="22"/>
          <w:szCs w:val="22"/>
          <w:vertAlign w:val="superscript"/>
        </w:rPr>
        <w:instrText xml:space="preserve"> \* MERGEFORMAT </w:instrText>
      </w:r>
      <w:r w:rsidRPr="00C101F7">
        <w:rPr>
          <w:rFonts w:asciiTheme="minorHAnsi" w:hAnsiTheme="minorHAnsi"/>
          <w:b w:val="0"/>
          <w:sz w:val="22"/>
          <w:szCs w:val="22"/>
          <w:vertAlign w:val="superscript"/>
        </w:rPr>
      </w:r>
      <w:r w:rsidRPr="00C101F7">
        <w:rPr>
          <w:rFonts w:asciiTheme="minorHAnsi" w:hAnsiTheme="minorHAnsi"/>
          <w:b w:val="0"/>
          <w:sz w:val="22"/>
          <w:szCs w:val="22"/>
          <w:vertAlign w:val="superscript"/>
        </w:rPr>
        <w:fldChar w:fldCharType="separate"/>
      </w:r>
      <w:r>
        <w:rPr>
          <w:rFonts w:asciiTheme="minorHAnsi" w:hAnsiTheme="minorHAnsi"/>
          <w:b w:val="0"/>
          <w:sz w:val="22"/>
          <w:szCs w:val="22"/>
          <w:vertAlign w:val="superscript"/>
        </w:rPr>
        <w:t>3</w:t>
      </w:r>
      <w:r w:rsidRPr="00C101F7">
        <w:rPr>
          <w:rFonts w:asciiTheme="minorHAnsi" w:hAnsiTheme="minorHAnsi"/>
          <w:b w:val="0"/>
          <w:sz w:val="22"/>
          <w:szCs w:val="22"/>
          <w:vertAlign w:val="superscript"/>
        </w:rPr>
        <w:fldChar w:fldCharType="end"/>
      </w:r>
      <w:r>
        <w:rPr>
          <w:rFonts w:asciiTheme="minorHAnsi" w:hAnsiTheme="minorHAnsi"/>
          <w:b w:val="0"/>
          <w:sz w:val="22"/>
          <w:szCs w:val="22"/>
        </w:rPr>
        <w:t xml:space="preserve"> and it could potentially reduce patient waiting times. In the CCG area, this equates to approximately [</w:t>
      </w:r>
      <w:r w:rsidRPr="00646C34">
        <w:rPr>
          <w:rFonts w:asciiTheme="minorHAnsi" w:hAnsiTheme="minorHAnsi"/>
          <w:color w:val="519680"/>
          <w:sz w:val="22"/>
          <w:szCs w:val="22"/>
        </w:rPr>
        <w:t xml:space="preserve">insert the </w:t>
      </w:r>
      <w:r w:rsidRPr="009D2471">
        <w:rPr>
          <w:rFonts w:asciiTheme="minorHAnsi" w:hAnsiTheme="minorHAnsi"/>
          <w:color w:val="519680"/>
          <w:sz w:val="22"/>
          <w:szCs w:val="22"/>
        </w:rPr>
        <w:t xml:space="preserve">CCG figure from Appendix 1 – Column E of </w:t>
      </w:r>
      <w:r w:rsidRPr="009D2471">
        <w:rPr>
          <w:rFonts w:asciiTheme="minorHAnsi" w:hAnsiTheme="minorHAnsi"/>
          <w:i/>
          <w:color w:val="519680"/>
          <w:sz w:val="22"/>
          <w:szCs w:val="22"/>
        </w:rPr>
        <w:t>PSNC Briefing: Building a business case for a Minor Ailment Service</w:t>
      </w:r>
      <w:r w:rsidRPr="00A37666">
        <w:rPr>
          <w:rFonts w:asciiTheme="minorHAnsi" w:hAnsiTheme="minorHAnsi"/>
          <w:b w:val="0"/>
          <w:sz w:val="22"/>
          <w:szCs w:val="22"/>
        </w:rPr>
        <w:t>]</w:t>
      </w:r>
      <w:r w:rsidRPr="003045B7">
        <w:rPr>
          <w:rFonts w:asciiTheme="minorHAnsi" w:hAnsiTheme="minorHAnsi"/>
          <w:b w:val="0"/>
          <w:sz w:val="22"/>
          <w:szCs w:val="22"/>
        </w:rPr>
        <w:t xml:space="preserve"> </w:t>
      </w:r>
      <w:r>
        <w:rPr>
          <w:rFonts w:asciiTheme="minorHAnsi" w:hAnsiTheme="minorHAnsi"/>
          <w:b w:val="0"/>
          <w:sz w:val="22"/>
          <w:szCs w:val="22"/>
        </w:rPr>
        <w:t>consultations per year</w:t>
      </w:r>
      <w:bookmarkStart w:id="3" w:name="_Ref486601108"/>
      <w:r w:rsidRPr="009D2471">
        <w:rPr>
          <w:rStyle w:val="FootnoteReference"/>
          <w:rFonts w:asciiTheme="minorHAnsi" w:hAnsiTheme="minorHAnsi"/>
          <w:b w:val="0"/>
          <w:sz w:val="22"/>
          <w:szCs w:val="22"/>
        </w:rPr>
        <w:footnoteReference w:id="13"/>
      </w:r>
      <w:bookmarkEnd w:id="3"/>
      <w:r>
        <w:rPr>
          <w:rFonts w:asciiTheme="minorHAnsi" w:hAnsiTheme="minorHAnsi"/>
          <w:b w:val="0"/>
          <w:sz w:val="22"/>
          <w:szCs w:val="22"/>
        </w:rPr>
        <w:t xml:space="preserve"> that could potentially move to community pharmacy.</w:t>
      </w:r>
    </w:p>
    <w:p w14:paraId="5878F6A4" w14:textId="77777777" w:rsidR="001A0081" w:rsidRDefault="001A0081" w:rsidP="001A0081">
      <w:pPr>
        <w:pStyle w:val="Heading3"/>
        <w:spacing w:before="0" w:beforeAutospacing="0" w:after="0" w:afterAutospacing="0"/>
        <w:ind w:right="-23"/>
        <w:jc w:val="both"/>
        <w:rPr>
          <w:rFonts w:asciiTheme="minorHAnsi" w:hAnsiTheme="minorHAnsi"/>
          <w:b w:val="0"/>
          <w:color w:val="519680"/>
          <w:sz w:val="22"/>
          <w:szCs w:val="22"/>
        </w:rPr>
      </w:pPr>
    </w:p>
    <w:p w14:paraId="339AD29D" w14:textId="77777777" w:rsidR="001A0081" w:rsidRDefault="001A0081" w:rsidP="001A0081">
      <w:pPr>
        <w:spacing w:after="0" w:line="240" w:lineRule="auto"/>
        <w:ind w:left="720" w:right="-23"/>
        <w:jc w:val="both"/>
      </w:pPr>
      <w:r w:rsidRPr="0052448D">
        <w:t>Such consultations in pharmacy are less costly than general practice consultations and have been shown to provide favourable health-related outcomes.</w:t>
      </w:r>
      <w:r>
        <w:t xml:space="preserve"> A modelling analysis of the cost of a national Minor Ailment Service in community pharmacies in England in 2011 showed that there was a significant cost saving.</w:t>
      </w:r>
      <w:r w:rsidRPr="00A37666">
        <w:rPr>
          <w:rStyle w:val="FootnoteReference"/>
          <w:rFonts w:asciiTheme="minorHAnsi" w:hAnsiTheme="minorHAnsi" w:cstheme="minorHAnsi"/>
        </w:rPr>
        <w:footnoteReference w:id="14"/>
      </w:r>
      <w:r>
        <w:t xml:space="preserve"> The Department of Health (DH) undertook a Partial Impact Assessment in 2008 which suggested that a saving of £300 million could be made with wide-scale implementation of local services.</w:t>
      </w:r>
      <w:r w:rsidRPr="00A37666">
        <w:rPr>
          <w:rStyle w:val="FootnoteReference"/>
          <w:rFonts w:asciiTheme="minorHAnsi" w:hAnsiTheme="minorHAnsi" w:cstheme="minorHAnsi"/>
        </w:rPr>
        <w:footnoteReference w:id="15"/>
      </w:r>
    </w:p>
    <w:p w14:paraId="558E8D20" w14:textId="77777777" w:rsidR="001A0081" w:rsidRDefault="001A0081" w:rsidP="001A0081">
      <w:pPr>
        <w:spacing w:after="0" w:line="240" w:lineRule="auto"/>
        <w:ind w:right="-23"/>
        <w:jc w:val="both"/>
      </w:pPr>
    </w:p>
    <w:p w14:paraId="58C8F863" w14:textId="55CBFD29" w:rsidR="001A0081" w:rsidRDefault="001A0081" w:rsidP="001A0081">
      <w:pPr>
        <w:spacing w:after="0" w:line="240" w:lineRule="auto"/>
        <w:ind w:left="720" w:right="-23"/>
        <w:jc w:val="both"/>
      </w:pPr>
      <w:r>
        <w:t>Pinnacle Health Partnership carried out an analysis of data recorded on PharmOutcomes</w:t>
      </w:r>
      <w:r w:rsidRPr="00A37666">
        <w:rPr>
          <w:rStyle w:val="FootnoteReference"/>
          <w:rFonts w:asciiTheme="minorHAnsi" w:hAnsiTheme="minorHAnsi" w:cstheme="minorHAnsi"/>
        </w:rPr>
        <w:footnoteReference w:id="16"/>
      </w:r>
      <w:r>
        <w:t xml:space="preserve"> of </w:t>
      </w:r>
      <w:r w:rsidRPr="00646C34">
        <w:t>74</w:t>
      </w:r>
      <w:r>
        <w:t xml:space="preserve"> Minor Ailment Services across England which involved 1,722,230 consultations. Patients were asked what action they would have taken if the community pharmacy Minor Ailment Service was not in place and 87% of patients would have made an appointment with their GP and only 8% of patients would have purchased medicines if the Minor Ailment Service was not available.</w:t>
      </w:r>
      <w:bookmarkStart w:id="5" w:name="_Ref476736707"/>
      <w:r w:rsidRPr="00A37666">
        <w:rPr>
          <w:rStyle w:val="FootnoteReference"/>
          <w:rFonts w:asciiTheme="minorHAnsi" w:hAnsiTheme="minorHAnsi" w:cstheme="minorHAnsi"/>
        </w:rPr>
        <w:footnoteReference w:id="17"/>
      </w:r>
      <w:bookmarkEnd w:id="5"/>
      <w:r>
        <w:t xml:space="preserve"> This </w:t>
      </w:r>
      <w:r>
        <w:lastRenderedPageBreak/>
        <w:t>shows that where a Minor Ailment Service is commissioned, patients are being diverted away from GP practices.</w:t>
      </w:r>
    </w:p>
    <w:p w14:paraId="0DBC01E3" w14:textId="77777777" w:rsidR="00BE20AE" w:rsidRDefault="00BE20AE" w:rsidP="001A0081">
      <w:pPr>
        <w:spacing w:after="0" w:line="240" w:lineRule="auto"/>
        <w:ind w:left="720" w:right="-23"/>
        <w:jc w:val="both"/>
      </w:pPr>
    </w:p>
    <w:p w14:paraId="30EDE028" w14:textId="32B6A4F4" w:rsidR="001A0081" w:rsidRPr="00C73074" w:rsidRDefault="001A0081" w:rsidP="001A0081">
      <w:pPr>
        <w:spacing w:after="0" w:line="240" w:lineRule="auto"/>
        <w:ind w:right="-23"/>
        <w:jc w:val="both"/>
        <w:rPr>
          <w:b/>
          <w:sz w:val="36"/>
        </w:rPr>
      </w:pPr>
      <w:r w:rsidRPr="00C73074">
        <w:rPr>
          <w:b/>
          <w:color w:val="519680"/>
          <w:sz w:val="24"/>
        </w:rPr>
        <w:t>A community pharmacy Minor Ailment Service is a cheaper alternative to patients presenting at a GP practice for the treatment of a minor ailment and has been shown to divert patients away from GP practices.</w:t>
      </w:r>
    </w:p>
    <w:p w14:paraId="30BD317A" w14:textId="77777777" w:rsidR="001A0081" w:rsidRDefault="001A0081" w:rsidP="001A0081">
      <w:pPr>
        <w:spacing w:after="0" w:line="240" w:lineRule="auto"/>
        <w:ind w:right="-23"/>
        <w:jc w:val="center"/>
        <w:rPr>
          <w:b/>
          <w:sz w:val="28"/>
        </w:rPr>
      </w:pPr>
    </w:p>
    <w:p w14:paraId="651FF214" w14:textId="77777777" w:rsidR="001A0081" w:rsidRDefault="001A0081" w:rsidP="001A0081">
      <w:pPr>
        <w:pStyle w:val="Heading3"/>
        <w:numPr>
          <w:ilvl w:val="0"/>
          <w:numId w:val="3"/>
        </w:numPr>
        <w:spacing w:before="0" w:beforeAutospacing="0" w:after="0" w:afterAutospacing="0"/>
        <w:ind w:right="-23"/>
        <w:jc w:val="both"/>
        <w:rPr>
          <w:rFonts w:asciiTheme="minorHAnsi" w:hAnsiTheme="minorHAnsi"/>
          <w:color w:val="519680"/>
          <w:sz w:val="24"/>
          <w:szCs w:val="24"/>
        </w:rPr>
      </w:pPr>
      <w:r>
        <w:rPr>
          <w:rFonts w:asciiTheme="minorHAnsi" w:hAnsiTheme="minorHAnsi"/>
          <w:color w:val="519680"/>
          <w:sz w:val="24"/>
          <w:szCs w:val="24"/>
        </w:rPr>
        <w:t>Reducing demand and costs for urgent care</w:t>
      </w:r>
    </w:p>
    <w:p w14:paraId="1596E487" w14:textId="77777777" w:rsidR="001A0081" w:rsidRDefault="001A0081" w:rsidP="001A0081">
      <w:pPr>
        <w:spacing w:after="0" w:line="240" w:lineRule="auto"/>
        <w:ind w:left="720" w:right="-23"/>
        <w:jc w:val="both"/>
        <w:rPr>
          <w:color w:val="000000"/>
          <w:szCs w:val="27"/>
        </w:rPr>
      </w:pPr>
      <w:r>
        <w:rPr>
          <w:color w:val="000000"/>
          <w:szCs w:val="27"/>
        </w:rPr>
        <w:t>Minor ailments are one of the most common issues that result in the use of urgent care services and it has been found that 8% of A&amp;E consultations could be managed by a pharmacist if a pharmacy service was commissioned.</w:t>
      </w:r>
      <w:bookmarkStart w:id="6" w:name="_Ref476743126"/>
      <w:r w:rsidRPr="00A37666">
        <w:rPr>
          <w:rStyle w:val="FootnoteReference"/>
          <w:rFonts w:asciiTheme="minorHAnsi" w:hAnsiTheme="minorHAnsi" w:cstheme="minorHAnsi"/>
          <w:color w:val="000000"/>
          <w:szCs w:val="27"/>
        </w:rPr>
        <w:footnoteReference w:id="18"/>
      </w:r>
      <w:bookmarkEnd w:id="6"/>
    </w:p>
    <w:p w14:paraId="58C9BACD" w14:textId="77777777" w:rsidR="001A0081" w:rsidRDefault="001A0081" w:rsidP="001A0081">
      <w:pPr>
        <w:spacing w:after="0" w:line="240" w:lineRule="auto"/>
        <w:ind w:right="-23"/>
        <w:jc w:val="both"/>
      </w:pPr>
    </w:p>
    <w:p w14:paraId="4E10274F" w14:textId="5F5B6F66" w:rsidR="001A0081" w:rsidRDefault="001A0081" w:rsidP="001A0081">
      <w:pPr>
        <w:spacing w:after="0" w:line="240" w:lineRule="auto"/>
        <w:ind w:left="720" w:right="-23"/>
        <w:jc w:val="both"/>
      </w:pPr>
      <w:r>
        <w:t>The Government has an aim to improve the performance of A&amp;E departments, which are under rising pressures, and trusts and CCGs will be required to meet the Government’s 2017/18 mandate to the NHS that: in or before September 2017 over 90% of emergency patients are treated, admitted or transferred within four hours – up from 85%; the majority of trusts me</w:t>
      </w:r>
      <w:r w:rsidR="009D556B">
        <w:t>e</w:t>
      </w:r>
      <w:r>
        <w:t>t the 95% standard in March 2018; and the NHS overall returns to the 95% standard within the course of 2018.</w:t>
      </w:r>
      <w:r w:rsidRPr="00A37666">
        <w:rPr>
          <w:rStyle w:val="FootnoteReference"/>
          <w:rFonts w:asciiTheme="minorHAnsi" w:hAnsiTheme="minorHAnsi" w:cstheme="minorHAnsi"/>
        </w:rPr>
        <w:footnoteReference w:id="19"/>
      </w:r>
      <w:r>
        <w:t xml:space="preserve"> Additional NHS funding will be provided to support the implementation of the processes required to achieve this and minimising attendances through the commissioning of a community pharmacy Minor Ailment Service could be considered which could also potentially reduce attendances at the </w:t>
      </w:r>
      <w:r w:rsidR="009176BC">
        <w:t>“</w:t>
      </w:r>
      <w:r>
        <w:t>Urgent Treatment Centres</w:t>
      </w:r>
      <w:r w:rsidR="009176BC">
        <w:t>”</w:t>
      </w:r>
      <w:r>
        <w:t xml:space="preserve"> when these are rolled out across the country. </w:t>
      </w:r>
    </w:p>
    <w:p w14:paraId="5CC0DD8F" w14:textId="77777777" w:rsidR="001A0081" w:rsidRDefault="001A0081" w:rsidP="001A0081">
      <w:pPr>
        <w:spacing w:after="0" w:line="240" w:lineRule="auto"/>
        <w:ind w:right="-23"/>
        <w:jc w:val="both"/>
      </w:pPr>
    </w:p>
    <w:p w14:paraId="6E00AB4F" w14:textId="51CD8720" w:rsidR="001A0081" w:rsidRDefault="001A0081" w:rsidP="001A0081">
      <w:pPr>
        <w:spacing w:after="0" w:line="240" w:lineRule="auto"/>
        <w:ind w:left="720" w:right="-23"/>
        <w:jc w:val="both"/>
      </w:pPr>
      <w:r>
        <w:t xml:space="preserve">Community pharmacies can have an important role in diverting patients away from A&amp;E and managing demand </w:t>
      </w:r>
      <w:r w:rsidR="00297C66">
        <w:t>for</w:t>
      </w:r>
      <w:r>
        <w:t xml:space="preserve"> local urgent and emergency care services. When commissioned, these services can potentially be accessed through triage by GP practice staff or clinical streaming within A&amp;E departments, NHS 111 when included in their Directory of Services, or by self-referral, depending on the commissioner’s requirements.</w:t>
      </w:r>
    </w:p>
    <w:p w14:paraId="2AB8F946" w14:textId="77777777" w:rsidR="001A0081" w:rsidRDefault="001A0081" w:rsidP="001A0081">
      <w:pPr>
        <w:spacing w:after="0" w:line="240" w:lineRule="auto"/>
        <w:ind w:right="-23"/>
        <w:jc w:val="both"/>
      </w:pPr>
    </w:p>
    <w:p w14:paraId="153FCAC6" w14:textId="77777777" w:rsidR="001A0081" w:rsidRDefault="001A0081" w:rsidP="001A0081">
      <w:pPr>
        <w:spacing w:after="0" w:line="240" w:lineRule="auto"/>
        <w:ind w:left="720" w:right="-23"/>
        <w:jc w:val="both"/>
      </w:pPr>
      <w:r>
        <w:t>Community pharmacy offers the most cost-effective provision of the treatment of minor ailments, with treatment in an A&amp;E department costing a minimum of £63</w:t>
      </w:r>
      <w:bookmarkStart w:id="7" w:name="_Ref486600209"/>
      <w:r w:rsidRPr="0084735F">
        <w:rPr>
          <w:rStyle w:val="FootnoteReference"/>
          <w:rFonts w:asciiTheme="minorHAnsi" w:hAnsiTheme="minorHAnsi" w:cstheme="minorHAnsi"/>
        </w:rPr>
        <w:footnoteReference w:id="20"/>
      </w:r>
      <w:bookmarkEnd w:id="7"/>
      <w:r w:rsidRPr="00962677">
        <w:t xml:space="preserve"> for each presentation, and each visit to a walk-in-centre or similar service</w:t>
      </w:r>
      <w:bookmarkStart w:id="8" w:name="_Ref486600374"/>
      <w:r w:rsidRPr="0084735F">
        <w:rPr>
          <w:rStyle w:val="FootnoteReference"/>
          <w:rFonts w:asciiTheme="minorHAnsi" w:hAnsiTheme="minorHAnsi" w:cstheme="minorHAnsi"/>
        </w:rPr>
        <w:footnoteReference w:id="21"/>
      </w:r>
      <w:bookmarkEnd w:id="8"/>
      <w:r w:rsidRPr="00A37666">
        <w:rPr>
          <w:rFonts w:cstheme="minorHAnsi"/>
        </w:rPr>
        <w:t xml:space="preserve"> </w:t>
      </w:r>
      <w:r w:rsidRPr="00962677">
        <w:t>or a GP consultation</w:t>
      </w:r>
      <w:r w:rsidRPr="0084735F">
        <w:rPr>
          <w:rStyle w:val="FootnoteReference"/>
          <w:rFonts w:asciiTheme="minorHAnsi" w:hAnsiTheme="minorHAnsi" w:cstheme="minorHAnsi"/>
        </w:rPr>
        <w:footnoteReference w:id="22"/>
      </w:r>
      <w:r w:rsidRPr="00962677">
        <w:t xml:space="preserve"> </w:t>
      </w:r>
      <w:r>
        <w:t>costing the NHS around £36. NHS funded community pharmacies provide potential solutions to all these urgent care challenges.</w:t>
      </w:r>
    </w:p>
    <w:p w14:paraId="4B52C753" w14:textId="77777777" w:rsidR="001A0081" w:rsidRDefault="001A0081" w:rsidP="001A0081">
      <w:pPr>
        <w:spacing w:after="0" w:line="240" w:lineRule="auto"/>
        <w:ind w:right="-23"/>
        <w:jc w:val="both"/>
      </w:pPr>
    </w:p>
    <w:p w14:paraId="41B59A3D" w14:textId="77777777" w:rsidR="001A0081" w:rsidRPr="0052448D" w:rsidRDefault="001A0081" w:rsidP="001A0081">
      <w:pPr>
        <w:spacing w:after="0" w:line="240" w:lineRule="auto"/>
        <w:ind w:right="-23"/>
        <w:jc w:val="both"/>
        <w:rPr>
          <w:b/>
          <w:sz w:val="28"/>
        </w:rPr>
      </w:pPr>
      <w:r w:rsidRPr="00C73074">
        <w:rPr>
          <w:b/>
          <w:color w:val="519680"/>
          <w:sz w:val="24"/>
        </w:rPr>
        <w:t>A community pharmacy Minor Ailment Service is a potential solution to local urgent care challenges.</w:t>
      </w:r>
    </w:p>
    <w:p w14:paraId="6EEADCE4" w14:textId="77777777" w:rsidR="001A0081" w:rsidRDefault="001A0081" w:rsidP="001A0081">
      <w:pPr>
        <w:spacing w:after="0" w:line="240" w:lineRule="auto"/>
        <w:ind w:right="-23"/>
        <w:jc w:val="both"/>
      </w:pPr>
    </w:p>
    <w:p w14:paraId="432902A6" w14:textId="77777777" w:rsidR="001A0081" w:rsidRDefault="001A0081" w:rsidP="001A0081">
      <w:pPr>
        <w:pStyle w:val="Heading3"/>
        <w:numPr>
          <w:ilvl w:val="0"/>
          <w:numId w:val="3"/>
        </w:numPr>
        <w:spacing w:before="0" w:beforeAutospacing="0" w:after="0" w:afterAutospacing="0"/>
        <w:ind w:right="-23"/>
        <w:rPr>
          <w:rFonts w:asciiTheme="minorHAnsi" w:hAnsiTheme="minorHAnsi"/>
          <w:color w:val="519680"/>
          <w:sz w:val="24"/>
          <w:szCs w:val="24"/>
        </w:rPr>
      </w:pPr>
      <w:r w:rsidRPr="0097169E">
        <w:rPr>
          <w:rFonts w:asciiTheme="minorHAnsi" w:hAnsiTheme="minorHAnsi"/>
          <w:color w:val="519680"/>
          <w:sz w:val="24"/>
          <w:szCs w:val="24"/>
        </w:rPr>
        <w:t xml:space="preserve">Providing </w:t>
      </w:r>
      <w:r>
        <w:rPr>
          <w:rFonts w:asciiTheme="minorHAnsi" w:hAnsiTheme="minorHAnsi"/>
          <w:color w:val="519680"/>
          <w:sz w:val="24"/>
          <w:szCs w:val="24"/>
        </w:rPr>
        <w:t>quality patient care</w:t>
      </w:r>
    </w:p>
    <w:p w14:paraId="175782D5" w14:textId="424E5187" w:rsidR="001A0081" w:rsidRDefault="001A0081" w:rsidP="001A0081">
      <w:pPr>
        <w:pStyle w:val="Heading3"/>
        <w:spacing w:before="0" w:beforeAutospacing="0" w:after="0" w:afterAutospacing="0"/>
        <w:ind w:left="720" w:right="-23"/>
        <w:jc w:val="both"/>
        <w:rPr>
          <w:rFonts w:asciiTheme="minorHAnsi" w:hAnsiTheme="minorHAnsi"/>
          <w:b w:val="0"/>
          <w:sz w:val="22"/>
          <w:szCs w:val="22"/>
        </w:rPr>
      </w:pPr>
      <w:r>
        <w:rPr>
          <w:rFonts w:asciiTheme="minorHAnsi" w:hAnsiTheme="minorHAnsi"/>
          <w:b w:val="0"/>
          <w:sz w:val="22"/>
          <w:szCs w:val="22"/>
        </w:rPr>
        <w:t>Data from Pinnacle Health Partnership</w:t>
      </w:r>
      <w:r w:rsidRPr="00962677">
        <w:rPr>
          <w:rFonts w:asciiTheme="minorHAnsi" w:hAnsiTheme="minorHAnsi"/>
          <w:b w:val="0"/>
          <w:sz w:val="22"/>
          <w:szCs w:val="22"/>
          <w:vertAlign w:val="superscript"/>
        </w:rPr>
        <w:fldChar w:fldCharType="begin"/>
      </w:r>
      <w:r w:rsidRPr="00962677">
        <w:rPr>
          <w:rFonts w:asciiTheme="minorHAnsi" w:hAnsiTheme="minorHAnsi"/>
          <w:b w:val="0"/>
          <w:sz w:val="22"/>
          <w:szCs w:val="22"/>
          <w:vertAlign w:val="superscript"/>
        </w:rPr>
        <w:instrText xml:space="preserve"> NOTEREF _Ref476736707 \h </w:instrText>
      </w:r>
      <w:r>
        <w:rPr>
          <w:rFonts w:asciiTheme="minorHAnsi" w:hAnsiTheme="minorHAnsi"/>
          <w:b w:val="0"/>
          <w:sz w:val="22"/>
          <w:szCs w:val="22"/>
          <w:vertAlign w:val="superscript"/>
        </w:rPr>
        <w:instrText xml:space="preserve"> \* MERGEFORMAT </w:instrText>
      </w:r>
      <w:r w:rsidRPr="00962677">
        <w:rPr>
          <w:rFonts w:asciiTheme="minorHAnsi" w:hAnsiTheme="minorHAnsi"/>
          <w:b w:val="0"/>
          <w:sz w:val="22"/>
          <w:szCs w:val="22"/>
          <w:vertAlign w:val="superscript"/>
        </w:rPr>
      </w:r>
      <w:r w:rsidRPr="00962677">
        <w:rPr>
          <w:rFonts w:asciiTheme="minorHAnsi" w:hAnsiTheme="minorHAnsi"/>
          <w:b w:val="0"/>
          <w:sz w:val="22"/>
          <w:szCs w:val="22"/>
          <w:vertAlign w:val="superscript"/>
        </w:rPr>
        <w:fldChar w:fldCharType="separate"/>
      </w:r>
      <w:r>
        <w:rPr>
          <w:rFonts w:asciiTheme="minorHAnsi" w:hAnsiTheme="minorHAnsi"/>
          <w:b w:val="0"/>
          <w:sz w:val="22"/>
          <w:szCs w:val="22"/>
          <w:vertAlign w:val="superscript"/>
        </w:rPr>
        <w:t>16</w:t>
      </w:r>
      <w:r w:rsidRPr="00962677">
        <w:rPr>
          <w:rFonts w:asciiTheme="minorHAnsi" w:hAnsiTheme="minorHAnsi"/>
          <w:b w:val="0"/>
          <w:sz w:val="22"/>
          <w:szCs w:val="22"/>
          <w:vertAlign w:val="superscript"/>
        </w:rPr>
        <w:fldChar w:fldCharType="end"/>
      </w:r>
      <w:r>
        <w:rPr>
          <w:rFonts w:asciiTheme="minorHAnsi" w:hAnsiTheme="minorHAnsi"/>
          <w:b w:val="0"/>
          <w:sz w:val="22"/>
          <w:szCs w:val="22"/>
        </w:rPr>
        <w:t xml:space="preserve">, which analysed 74 Minor Ailment Services across England and 1,722,230 consultations, showed that </w:t>
      </w:r>
      <w:r w:rsidRPr="0052448D">
        <w:rPr>
          <w:rFonts w:asciiTheme="minorHAnsi" w:hAnsiTheme="minorHAnsi"/>
          <w:b w:val="0"/>
          <w:sz w:val="22"/>
          <w:szCs w:val="22"/>
        </w:rPr>
        <w:t>95.8%</w:t>
      </w:r>
      <w:r>
        <w:rPr>
          <w:rFonts w:asciiTheme="minorHAnsi" w:hAnsiTheme="minorHAnsi"/>
          <w:b w:val="0"/>
          <w:sz w:val="22"/>
          <w:szCs w:val="22"/>
        </w:rPr>
        <w:t xml:space="preserve"> of patients who attended a pharmacy to access a Minor Ailment Service required no onward referral to another healthcare professional and the patient was provided with appropriate advice and medicines without further NHS resource. Of the referrals, the clear majority were for a non-urgent appointment with the individual’s GP through </w:t>
      </w:r>
      <w:r>
        <w:rPr>
          <w:rFonts w:asciiTheme="minorHAnsi" w:hAnsiTheme="minorHAnsi"/>
          <w:b w:val="0"/>
          <w:sz w:val="22"/>
          <w:szCs w:val="22"/>
        </w:rPr>
        <w:lastRenderedPageBreak/>
        <w:t xml:space="preserve">the usual appointment system, therefore not adding pressure to </w:t>
      </w:r>
      <w:r w:rsidR="00FA77E1">
        <w:rPr>
          <w:rFonts w:asciiTheme="minorHAnsi" w:hAnsiTheme="minorHAnsi"/>
          <w:b w:val="0"/>
          <w:sz w:val="22"/>
          <w:szCs w:val="22"/>
        </w:rPr>
        <w:t>“</w:t>
      </w:r>
      <w:r>
        <w:rPr>
          <w:rFonts w:asciiTheme="minorHAnsi" w:hAnsiTheme="minorHAnsi"/>
          <w:b w:val="0"/>
          <w:sz w:val="22"/>
          <w:szCs w:val="22"/>
        </w:rPr>
        <w:t>sit and wait</w:t>
      </w:r>
      <w:r w:rsidR="00FA77E1">
        <w:rPr>
          <w:rFonts w:asciiTheme="minorHAnsi" w:hAnsiTheme="minorHAnsi"/>
          <w:b w:val="0"/>
          <w:sz w:val="22"/>
          <w:szCs w:val="22"/>
        </w:rPr>
        <w:t>”</w:t>
      </w:r>
      <w:r>
        <w:rPr>
          <w:rFonts w:asciiTheme="minorHAnsi" w:hAnsiTheme="minorHAnsi"/>
          <w:b w:val="0"/>
          <w:sz w:val="22"/>
          <w:szCs w:val="22"/>
        </w:rPr>
        <w:t xml:space="preserve"> style GP practice visits.</w:t>
      </w:r>
    </w:p>
    <w:p w14:paraId="1342E7C5" w14:textId="77777777" w:rsidR="001A0081" w:rsidRDefault="001A0081" w:rsidP="001A0081">
      <w:pPr>
        <w:pStyle w:val="Heading3"/>
        <w:spacing w:before="0" w:beforeAutospacing="0" w:after="0" w:afterAutospacing="0"/>
        <w:ind w:right="-23"/>
        <w:rPr>
          <w:rFonts w:asciiTheme="minorHAnsi" w:hAnsiTheme="minorHAnsi"/>
          <w:b w:val="0"/>
          <w:sz w:val="22"/>
          <w:szCs w:val="22"/>
        </w:rPr>
      </w:pPr>
    </w:p>
    <w:p w14:paraId="08C22180" w14:textId="2F223086" w:rsidR="001A0081" w:rsidRDefault="00222F17" w:rsidP="001A0081">
      <w:pPr>
        <w:spacing w:after="0" w:line="240" w:lineRule="auto"/>
        <w:ind w:right="-23"/>
        <w:jc w:val="both"/>
      </w:pPr>
      <w:r>
        <w:t>[</w:t>
      </w:r>
      <w:r w:rsidR="001A0081">
        <w:t>The options for treating minor ailments in community pharmacies have increased over the years, with many medicines being reclassified from prescription only medicines (POMs) to medicines that can be supplied over the counter (pharmacy only (P) medicines) in a pharmacy. This gives pharmacy teams a wider breadth of medicines to choose from when recommending a medicine to a patient to treat a minor ailment.</w:t>
      </w:r>
      <w:r w:rsidR="00CD1230">
        <w:t xml:space="preserve">] – the emphasis in this paragraph should be amended if your service is a PGD only </w:t>
      </w:r>
      <w:r w:rsidR="00E67DC4">
        <w:t>service.</w:t>
      </w:r>
    </w:p>
    <w:p w14:paraId="1A8BD011" w14:textId="77777777" w:rsidR="001A0081" w:rsidRDefault="001A0081" w:rsidP="001A0081">
      <w:pPr>
        <w:pStyle w:val="Heading3"/>
        <w:spacing w:before="0" w:beforeAutospacing="0" w:after="0" w:afterAutospacing="0"/>
        <w:ind w:right="-23"/>
        <w:rPr>
          <w:rFonts w:asciiTheme="minorHAnsi" w:hAnsiTheme="minorHAnsi"/>
          <w:b w:val="0"/>
          <w:color w:val="519680"/>
          <w:sz w:val="22"/>
          <w:szCs w:val="22"/>
        </w:rPr>
      </w:pPr>
    </w:p>
    <w:p w14:paraId="00B9E83B" w14:textId="10D79A21" w:rsidR="001A0081" w:rsidRDefault="001A0081" w:rsidP="001A0081">
      <w:pPr>
        <w:spacing w:after="0" w:line="240" w:lineRule="auto"/>
        <w:ind w:right="-23"/>
        <w:jc w:val="both"/>
      </w:pPr>
      <w:r>
        <w:t>There are over [</w:t>
      </w:r>
      <w:r w:rsidRPr="005D5010">
        <w:rPr>
          <w:b/>
          <w:color w:val="519680"/>
        </w:rPr>
        <w:t>insert number</w:t>
      </w:r>
      <w:r>
        <w:t xml:space="preserve">] community pharmacies in the </w:t>
      </w:r>
      <w:r w:rsidR="004E0BBD">
        <w:t>[</w:t>
      </w:r>
      <w:r w:rsidRPr="0084735F">
        <w:rPr>
          <w:b/>
          <w:color w:val="519680"/>
        </w:rPr>
        <w:t xml:space="preserve">CCG </w:t>
      </w:r>
      <w:r w:rsidR="004E0BBD" w:rsidRPr="0084735F">
        <w:rPr>
          <w:b/>
          <w:color w:val="519680"/>
        </w:rPr>
        <w:t xml:space="preserve">/ local NHS England </w:t>
      </w:r>
      <w:r w:rsidRPr="0084735F">
        <w:rPr>
          <w:b/>
          <w:color w:val="519680"/>
        </w:rPr>
        <w:t>area</w:t>
      </w:r>
      <w:r w:rsidR="004E0BBD">
        <w:rPr>
          <w:b/>
          <w:color w:val="519680"/>
        </w:rPr>
        <w:t xml:space="preserve"> (delete as appropriate]</w:t>
      </w:r>
      <w:r>
        <w:t xml:space="preserve">, situated in high-street locations, in supermarkets and in residential neighbourhoods and they are easily accessible. </w:t>
      </w:r>
      <w:r>
        <w:rPr>
          <w:rFonts w:eastAsia="Times New Roman"/>
          <w:lang w:eastAsia="en-GB"/>
        </w:rPr>
        <w:t xml:space="preserve">An estimated 99.8% of people from the most deprived areas live within just a 20-minute walk of a community pharmacy and overall </w:t>
      </w:r>
      <w:r>
        <w:t>89.2% of the population is estimated to have access to a community pharmacy within a 20-minute walk.</w:t>
      </w:r>
      <w:r w:rsidRPr="0084735F">
        <w:rPr>
          <w:rStyle w:val="FootnoteReference"/>
          <w:rFonts w:asciiTheme="minorHAnsi" w:hAnsiTheme="minorHAnsi" w:cstheme="minorHAnsi"/>
        </w:rPr>
        <w:footnoteReference w:id="23"/>
      </w:r>
      <w:r>
        <w:rPr>
          <w:rStyle w:val="apple-converted-space"/>
          <w:color w:val="444444"/>
        </w:rPr>
        <w:t> </w:t>
      </w:r>
      <w:r>
        <w:t>Patients are seen by qualified staff in the pharmacy consultation area without the need for an appointment. There are community pharmacies in most areas, many of which are open for extended hours including Saturdays and Sundays, which will reduce the demand on urgent care further, and increase patient choice.</w:t>
      </w:r>
    </w:p>
    <w:p w14:paraId="770EE0EB" w14:textId="77777777" w:rsidR="001A0081" w:rsidRDefault="001A0081" w:rsidP="001A0081">
      <w:pPr>
        <w:spacing w:after="0" w:line="240" w:lineRule="auto"/>
        <w:ind w:right="-23"/>
        <w:jc w:val="both"/>
      </w:pPr>
    </w:p>
    <w:p w14:paraId="10D78E23" w14:textId="3F4F081B" w:rsidR="001A0081" w:rsidRPr="0052448D" w:rsidRDefault="001A0081" w:rsidP="001A0081">
      <w:pPr>
        <w:spacing w:after="0" w:line="240" w:lineRule="auto"/>
        <w:ind w:right="-23"/>
        <w:jc w:val="both"/>
        <w:rPr>
          <w:sz w:val="28"/>
        </w:rPr>
      </w:pPr>
      <w:r w:rsidRPr="00C73074">
        <w:rPr>
          <w:b/>
          <w:color w:val="519680"/>
          <w:sz w:val="24"/>
        </w:rPr>
        <w:t>A community pharmacy Minor Ailment Service provides patients with easy access to high quality treatment for minor ailments.</w:t>
      </w:r>
    </w:p>
    <w:p w14:paraId="38748FFC" w14:textId="77777777" w:rsidR="001A0081" w:rsidRDefault="001A0081" w:rsidP="001A0081">
      <w:pPr>
        <w:spacing w:after="0" w:line="240" w:lineRule="auto"/>
        <w:ind w:right="-23"/>
        <w:jc w:val="both"/>
      </w:pPr>
    </w:p>
    <w:p w14:paraId="6AC48405" w14:textId="77777777" w:rsidR="001A0081" w:rsidRDefault="001A0081" w:rsidP="001A0081">
      <w:pPr>
        <w:pStyle w:val="Heading2"/>
        <w:spacing w:before="0" w:line="240" w:lineRule="auto"/>
        <w:ind w:right="-23"/>
        <w:jc w:val="both"/>
        <w:rPr>
          <w:rFonts w:asciiTheme="minorHAnsi" w:hAnsiTheme="minorHAnsi"/>
          <w:b/>
          <w:color w:val="519680"/>
          <w:sz w:val="28"/>
          <w:szCs w:val="28"/>
        </w:rPr>
      </w:pPr>
      <w:r>
        <w:rPr>
          <w:rFonts w:asciiTheme="minorHAnsi" w:hAnsiTheme="minorHAnsi"/>
          <w:b/>
          <w:color w:val="519680"/>
          <w:sz w:val="28"/>
          <w:szCs w:val="28"/>
        </w:rPr>
        <w:t>Achieving financial balance</w:t>
      </w:r>
    </w:p>
    <w:p w14:paraId="1009ACFB" w14:textId="77777777" w:rsidR="001A0081" w:rsidRDefault="001A0081" w:rsidP="001A0081">
      <w:pPr>
        <w:spacing w:after="0" w:line="240" w:lineRule="auto"/>
        <w:ind w:right="-23"/>
        <w:jc w:val="both"/>
      </w:pPr>
      <w:r>
        <w:t>Although there is a clear need for change to meet the challenges of the healthcare system, it is important that the funding for services meets the needs of commissioners.</w:t>
      </w:r>
    </w:p>
    <w:p w14:paraId="5E3DC1B8" w14:textId="77777777" w:rsidR="001A0081" w:rsidRDefault="001A0081" w:rsidP="001A0081">
      <w:pPr>
        <w:spacing w:after="0" w:line="240" w:lineRule="auto"/>
        <w:ind w:right="-23"/>
        <w:jc w:val="both"/>
      </w:pPr>
    </w:p>
    <w:p w14:paraId="023D93F4" w14:textId="77777777" w:rsidR="001A0081" w:rsidRDefault="001A0081" w:rsidP="001A0081">
      <w:pPr>
        <w:pStyle w:val="NoSpacing"/>
        <w:ind w:right="-23"/>
        <w:jc w:val="both"/>
        <w:rPr>
          <w:rFonts w:asciiTheme="minorHAnsi" w:hAnsiTheme="minorHAnsi"/>
          <w:b/>
          <w:color w:val="auto"/>
        </w:rPr>
      </w:pPr>
      <w:r>
        <w:rPr>
          <w:rFonts w:asciiTheme="minorHAnsi" w:hAnsiTheme="minorHAnsi"/>
          <w:b/>
          <w:color w:val="auto"/>
        </w:rPr>
        <w:t>The provision of a pharmacy service would have several routes to immediate cost savings:</w:t>
      </w:r>
    </w:p>
    <w:p w14:paraId="0F619E88" w14:textId="77777777" w:rsidR="001A0081" w:rsidRDefault="001A0081" w:rsidP="001A0081">
      <w:pPr>
        <w:pStyle w:val="ListParagraph"/>
        <w:numPr>
          <w:ilvl w:val="0"/>
          <w:numId w:val="2"/>
        </w:numPr>
        <w:spacing w:after="0" w:line="240" w:lineRule="auto"/>
        <w:ind w:left="540" w:right="-23"/>
        <w:jc w:val="both"/>
      </w:pPr>
      <w:r>
        <w:t>reduction in A&amp;E presentation for minor ailments;</w:t>
      </w:r>
    </w:p>
    <w:p w14:paraId="2F0B854D" w14:textId="77777777" w:rsidR="001A0081" w:rsidRDefault="001A0081" w:rsidP="001A0081">
      <w:pPr>
        <w:pStyle w:val="ListParagraph"/>
        <w:numPr>
          <w:ilvl w:val="0"/>
          <w:numId w:val="2"/>
        </w:numPr>
        <w:spacing w:after="0" w:line="240" w:lineRule="auto"/>
        <w:ind w:left="540" w:right="-23"/>
        <w:jc w:val="both"/>
      </w:pPr>
      <w:r>
        <w:t>reduction in attendance at walk-in centres [</w:t>
      </w:r>
      <w:r w:rsidRPr="00962677">
        <w:rPr>
          <w:b/>
          <w:color w:val="519680"/>
        </w:rPr>
        <w:t>delete if you do not have any in your area</w:t>
      </w:r>
      <w:r>
        <w:t>]; and</w:t>
      </w:r>
    </w:p>
    <w:p w14:paraId="6805A6CC" w14:textId="77777777" w:rsidR="001A0081" w:rsidRDefault="001A0081" w:rsidP="001A0081">
      <w:pPr>
        <w:pStyle w:val="ListParagraph"/>
        <w:numPr>
          <w:ilvl w:val="0"/>
          <w:numId w:val="2"/>
        </w:numPr>
        <w:spacing w:after="0" w:line="240" w:lineRule="auto"/>
        <w:ind w:left="540" w:right="-23"/>
        <w:jc w:val="both"/>
      </w:pPr>
      <w:r>
        <w:t>releasing opportunity costs through freeing up GP consultations.</w:t>
      </w:r>
    </w:p>
    <w:p w14:paraId="3BDCD96B" w14:textId="77777777" w:rsidR="001A0081" w:rsidRDefault="001A0081" w:rsidP="001A0081">
      <w:pPr>
        <w:pStyle w:val="ListParagraph"/>
        <w:spacing w:after="0" w:line="240" w:lineRule="auto"/>
        <w:ind w:left="0" w:right="-23"/>
        <w:jc w:val="both"/>
      </w:pPr>
    </w:p>
    <w:p w14:paraId="228DBAA2" w14:textId="694B3F22" w:rsidR="001A0081" w:rsidRDefault="001A0081" w:rsidP="001A0081">
      <w:pPr>
        <w:spacing w:after="0" w:line="240" w:lineRule="auto"/>
        <w:ind w:right="-23"/>
        <w:jc w:val="both"/>
      </w:pPr>
      <w:r>
        <w:t>There are additional savings that would be made through improved opportunities for continued independent living and improvements in early identification of long-term conditions. However, these savings and other non-monetised benefits have been excluded from this business case.</w:t>
      </w:r>
    </w:p>
    <w:p w14:paraId="323DADBF" w14:textId="77777777" w:rsidR="001A0081" w:rsidRDefault="001A0081" w:rsidP="001A0081">
      <w:pPr>
        <w:spacing w:after="0" w:line="240" w:lineRule="auto"/>
        <w:ind w:right="-23"/>
        <w:jc w:val="both"/>
        <w:rPr>
          <w:highlight w:val="yellow"/>
        </w:rPr>
      </w:pPr>
    </w:p>
    <w:p w14:paraId="033F4A83" w14:textId="77777777" w:rsidR="001A0081" w:rsidRDefault="001A0081" w:rsidP="001A0081">
      <w:pPr>
        <w:pStyle w:val="Heading3"/>
        <w:spacing w:before="0" w:beforeAutospacing="0" w:after="0" w:afterAutospacing="0"/>
        <w:ind w:right="-23"/>
        <w:rPr>
          <w:rFonts w:asciiTheme="minorHAnsi" w:hAnsiTheme="minorHAnsi"/>
          <w:color w:val="519680"/>
          <w:sz w:val="24"/>
          <w:szCs w:val="24"/>
        </w:rPr>
      </w:pPr>
      <w:r>
        <w:rPr>
          <w:rFonts w:asciiTheme="minorHAnsi" w:hAnsiTheme="minorHAnsi"/>
          <w:color w:val="519680"/>
          <w:sz w:val="24"/>
          <w:szCs w:val="24"/>
        </w:rPr>
        <w:t>Reduction in urgent care presentations</w:t>
      </w:r>
    </w:p>
    <w:p w14:paraId="2E1A3A10" w14:textId="77777777" w:rsidR="001A0081" w:rsidRDefault="001A0081" w:rsidP="001A0081">
      <w:pPr>
        <w:shd w:val="clear" w:color="auto" w:fill="FFFFFF" w:themeFill="background1"/>
        <w:spacing w:after="0" w:line="240" w:lineRule="auto"/>
        <w:ind w:right="-23"/>
        <w:jc w:val="both"/>
      </w:pPr>
      <w:r>
        <w:t>The National Tariff Payment System 2017</w:t>
      </w:r>
      <w:bookmarkStart w:id="10" w:name="_Ref476741828"/>
      <w:r>
        <w:t>/18 and 2018/19</w:t>
      </w:r>
      <w:bookmarkEnd w:id="10"/>
      <w:r w:rsidRPr="00962677">
        <w:rPr>
          <w:vertAlign w:val="superscript"/>
        </w:rPr>
        <w:fldChar w:fldCharType="begin"/>
      </w:r>
      <w:r w:rsidRPr="00962677">
        <w:rPr>
          <w:vertAlign w:val="superscript"/>
        </w:rPr>
        <w:instrText xml:space="preserve"> NOTEREF _Ref486600209 \h </w:instrText>
      </w:r>
      <w:r>
        <w:rPr>
          <w:vertAlign w:val="superscript"/>
        </w:rPr>
        <w:instrText xml:space="preserve"> \* MERGEFORMAT </w:instrText>
      </w:r>
      <w:r w:rsidRPr="00962677">
        <w:rPr>
          <w:vertAlign w:val="superscript"/>
        </w:rPr>
      </w:r>
      <w:r w:rsidRPr="00962677">
        <w:rPr>
          <w:vertAlign w:val="superscript"/>
        </w:rPr>
        <w:fldChar w:fldCharType="separate"/>
      </w:r>
      <w:r>
        <w:rPr>
          <w:vertAlign w:val="superscript"/>
        </w:rPr>
        <w:t>18</w:t>
      </w:r>
      <w:r w:rsidRPr="00962677">
        <w:rPr>
          <w:vertAlign w:val="superscript"/>
        </w:rPr>
        <w:fldChar w:fldCharType="end"/>
      </w:r>
      <w:r w:rsidRPr="00DF294E">
        <w:t xml:space="preserve"> </w:t>
      </w:r>
      <w:r>
        <w:t>requires a minimum payment of £63 to be made when patients present at A&amp;E departments. The payments are based on A&amp;E attendances, so are triggered at the point of registration within the A&amp;E department.</w:t>
      </w:r>
    </w:p>
    <w:p w14:paraId="3F3253AD" w14:textId="77777777" w:rsidR="001A0081" w:rsidRDefault="001A0081" w:rsidP="001A0081">
      <w:pPr>
        <w:shd w:val="clear" w:color="auto" w:fill="FFFFFF" w:themeFill="background1"/>
        <w:spacing w:after="0" w:line="240" w:lineRule="auto"/>
        <w:ind w:right="-23"/>
        <w:jc w:val="both"/>
      </w:pPr>
    </w:p>
    <w:p w14:paraId="08C0F8DB" w14:textId="705FC8D0" w:rsidR="001A0081" w:rsidRPr="00E36F62" w:rsidRDefault="001A0081" w:rsidP="001A0081">
      <w:pPr>
        <w:shd w:val="clear" w:color="auto" w:fill="FFFFFF" w:themeFill="background1"/>
        <w:spacing w:after="0" w:line="240" w:lineRule="auto"/>
        <w:ind w:right="-23"/>
        <w:jc w:val="both"/>
        <w:rPr>
          <w:b/>
        </w:rPr>
      </w:pPr>
      <w:r w:rsidRPr="00E36F62">
        <w:rPr>
          <w:b/>
        </w:rPr>
        <w:t xml:space="preserve">The most significant A&amp;E department locally is </w:t>
      </w:r>
      <w:r w:rsidRPr="00AF6A84">
        <w:rPr>
          <w:b/>
          <w:color w:val="519680"/>
        </w:rPr>
        <w:t xml:space="preserve">[insert the name of the hospital from Annex 2 – Column </w:t>
      </w:r>
      <w:r w:rsidRPr="00AF6A84">
        <w:rPr>
          <w:b/>
          <w:color w:val="519680"/>
          <w:shd w:val="clear" w:color="auto" w:fill="FFFFFF" w:themeFill="background1"/>
        </w:rPr>
        <w:t>A]</w:t>
      </w:r>
      <w:r w:rsidRPr="00AF6A84">
        <w:rPr>
          <w:b/>
          <w:shd w:val="clear" w:color="auto" w:fill="FFFFFF" w:themeFill="background1"/>
        </w:rPr>
        <w:t>,</w:t>
      </w:r>
      <w:r w:rsidRPr="00E36F62">
        <w:rPr>
          <w:b/>
          <w:i/>
        </w:rPr>
        <w:t xml:space="preserve"> </w:t>
      </w:r>
      <w:r w:rsidRPr="00E36F62">
        <w:rPr>
          <w:b/>
        </w:rPr>
        <w:t xml:space="preserve">which saw attendances at the A&amp;E reach </w:t>
      </w:r>
      <w:r w:rsidRPr="00E36F62">
        <w:rPr>
          <w:b/>
          <w:color w:val="519680"/>
        </w:rPr>
        <w:t>[insert the CCG figure from Annex 2 – Column B</w:t>
      </w:r>
      <w:r w:rsidRPr="00AF6A84">
        <w:rPr>
          <w:b/>
          <w:color w:val="519680"/>
        </w:rPr>
        <w:t>]</w:t>
      </w:r>
      <w:r w:rsidRPr="00E36F62">
        <w:rPr>
          <w:b/>
        </w:rPr>
        <w:t xml:space="preserve"> in 2014/15, the latest period for which statistics are publicly available.</w:t>
      </w:r>
      <w:r w:rsidRPr="0084735F">
        <w:rPr>
          <w:rStyle w:val="FootnoteReference"/>
          <w:rFonts w:asciiTheme="minorHAnsi" w:hAnsiTheme="minorHAnsi" w:cstheme="minorHAnsi"/>
          <w:b/>
        </w:rPr>
        <w:footnoteReference w:id="24"/>
      </w:r>
      <w:r w:rsidRPr="00A37666">
        <w:rPr>
          <w:rFonts w:cstheme="minorHAnsi"/>
          <w:b/>
        </w:rPr>
        <w:t xml:space="preserve"> </w:t>
      </w:r>
      <w:r w:rsidRPr="00E36F62">
        <w:rPr>
          <w:b/>
        </w:rPr>
        <w:t xml:space="preserve">With 8% of attendances being able to be dealt with in other settings such </w:t>
      </w:r>
      <w:r>
        <w:rPr>
          <w:b/>
        </w:rPr>
        <w:t>as pharmacy</w:t>
      </w:r>
      <w:r w:rsidRPr="00AF6A84">
        <w:rPr>
          <w:b/>
          <w:vertAlign w:val="superscript"/>
        </w:rPr>
        <w:fldChar w:fldCharType="begin"/>
      </w:r>
      <w:r w:rsidRPr="00AF6A84">
        <w:rPr>
          <w:b/>
          <w:vertAlign w:val="superscript"/>
        </w:rPr>
        <w:instrText xml:space="preserve"> NOTEREF _Ref476743126 \h </w:instrText>
      </w:r>
      <w:r>
        <w:rPr>
          <w:b/>
          <w:vertAlign w:val="superscript"/>
        </w:rPr>
        <w:instrText xml:space="preserve"> \* MERGEFORMAT </w:instrText>
      </w:r>
      <w:r w:rsidRPr="00AF6A84">
        <w:rPr>
          <w:b/>
          <w:vertAlign w:val="superscript"/>
        </w:rPr>
      </w:r>
      <w:r w:rsidRPr="00AF6A84">
        <w:rPr>
          <w:b/>
          <w:vertAlign w:val="superscript"/>
        </w:rPr>
        <w:fldChar w:fldCharType="separate"/>
      </w:r>
      <w:r>
        <w:rPr>
          <w:b/>
          <w:vertAlign w:val="superscript"/>
        </w:rPr>
        <w:t>17</w:t>
      </w:r>
      <w:r w:rsidRPr="00AF6A84">
        <w:rPr>
          <w:b/>
          <w:vertAlign w:val="superscript"/>
        </w:rPr>
        <w:fldChar w:fldCharType="end"/>
      </w:r>
      <w:r>
        <w:rPr>
          <w:b/>
        </w:rPr>
        <w:t>, this means that</w:t>
      </w:r>
      <w:r w:rsidRPr="00E36F62">
        <w:rPr>
          <w:b/>
        </w:rPr>
        <w:t xml:space="preserve"> </w:t>
      </w:r>
      <w:r w:rsidRPr="00E36F62">
        <w:rPr>
          <w:b/>
          <w:color w:val="519680"/>
        </w:rPr>
        <w:t>[insert the figure from Annex 2 – Column</w:t>
      </w:r>
      <w:r w:rsidR="006C14A7">
        <w:rPr>
          <w:b/>
          <w:color w:val="519680"/>
        </w:rPr>
        <w:t xml:space="preserve"> C</w:t>
      </w:r>
      <w:r w:rsidRPr="00AF6A84">
        <w:rPr>
          <w:b/>
          <w:color w:val="519680"/>
        </w:rPr>
        <w:t>]</w:t>
      </w:r>
      <w:r>
        <w:rPr>
          <w:b/>
          <w:color w:val="519680"/>
        </w:rPr>
        <w:t xml:space="preserve"> </w:t>
      </w:r>
      <w:r w:rsidRPr="00F23361">
        <w:rPr>
          <w:b/>
        </w:rPr>
        <w:t>A&amp;</w:t>
      </w:r>
      <w:r>
        <w:rPr>
          <w:b/>
        </w:rPr>
        <w:t>E</w:t>
      </w:r>
      <w:r w:rsidRPr="00F23361">
        <w:rPr>
          <w:b/>
        </w:rPr>
        <w:t xml:space="preserve"> attendances</w:t>
      </w:r>
      <w:r w:rsidRPr="00F23361">
        <w:rPr>
          <w:b/>
          <w:i/>
        </w:rPr>
        <w:t xml:space="preserve"> </w:t>
      </w:r>
      <w:r w:rsidRPr="00E36F62">
        <w:rPr>
          <w:b/>
        </w:rPr>
        <w:t>are costing th</w:t>
      </w:r>
      <w:r>
        <w:rPr>
          <w:b/>
        </w:rPr>
        <w:t>e CCG a minimum of</w:t>
      </w:r>
      <w:r w:rsidRPr="00E36F62">
        <w:rPr>
          <w:b/>
        </w:rPr>
        <w:t xml:space="preserve"> </w:t>
      </w:r>
      <w:r w:rsidRPr="00E36F62">
        <w:rPr>
          <w:b/>
          <w:color w:val="519680"/>
        </w:rPr>
        <w:t xml:space="preserve">[insert the </w:t>
      </w:r>
      <w:r>
        <w:rPr>
          <w:b/>
          <w:color w:val="519680"/>
        </w:rPr>
        <w:t>£</w:t>
      </w:r>
      <w:r w:rsidRPr="00E36F62">
        <w:rPr>
          <w:b/>
          <w:color w:val="519680"/>
        </w:rPr>
        <w:t xml:space="preserve"> from Annex 2 – Column</w:t>
      </w:r>
      <w:r>
        <w:rPr>
          <w:b/>
          <w:color w:val="519680"/>
        </w:rPr>
        <w:t xml:space="preserve"> </w:t>
      </w:r>
      <w:r w:rsidR="006C14A7">
        <w:rPr>
          <w:b/>
          <w:color w:val="519680"/>
        </w:rPr>
        <w:t>D</w:t>
      </w:r>
      <w:r>
        <w:rPr>
          <w:b/>
          <w:color w:val="519680"/>
        </w:rPr>
        <w:t>]</w:t>
      </w:r>
      <w:r w:rsidRPr="00E36F62">
        <w:rPr>
          <w:b/>
          <w:color w:val="519680"/>
        </w:rPr>
        <w:t xml:space="preserve"> </w:t>
      </w:r>
      <w:r>
        <w:rPr>
          <w:b/>
        </w:rPr>
        <w:t>p</w:t>
      </w:r>
      <w:r w:rsidRPr="00E36F62">
        <w:rPr>
          <w:b/>
        </w:rPr>
        <w:t>er year, dependent upon HRG coding by the hospital</w:t>
      </w:r>
      <w:r>
        <w:rPr>
          <w:b/>
        </w:rPr>
        <w:fldChar w:fldCharType="begin"/>
      </w:r>
      <w:r>
        <w:rPr>
          <w:b/>
        </w:rPr>
        <w:instrText xml:space="preserve"> NOTEREF _Ref486600209 \h  \* MERGEFORMAT </w:instrText>
      </w:r>
      <w:r>
        <w:rPr>
          <w:b/>
        </w:rPr>
      </w:r>
      <w:r>
        <w:rPr>
          <w:b/>
        </w:rPr>
        <w:fldChar w:fldCharType="separate"/>
      </w:r>
      <w:r w:rsidRPr="003452B6">
        <w:rPr>
          <w:b/>
          <w:vertAlign w:val="superscript"/>
        </w:rPr>
        <w:t>18</w:t>
      </w:r>
      <w:r>
        <w:rPr>
          <w:b/>
        </w:rPr>
        <w:fldChar w:fldCharType="end"/>
      </w:r>
      <w:r w:rsidRPr="00E36F62">
        <w:rPr>
          <w:b/>
        </w:rPr>
        <w:t xml:space="preserve">. </w:t>
      </w:r>
    </w:p>
    <w:p w14:paraId="6E179756" w14:textId="751FE582" w:rsidR="001A0081" w:rsidRDefault="001A0081" w:rsidP="001A0081">
      <w:pPr>
        <w:spacing w:after="0" w:line="240" w:lineRule="auto"/>
        <w:ind w:right="-23"/>
        <w:jc w:val="both"/>
      </w:pPr>
    </w:p>
    <w:p w14:paraId="63B4A04A" w14:textId="77777777" w:rsidR="00AA3F68" w:rsidRDefault="00AA3F68" w:rsidP="001A0081">
      <w:pPr>
        <w:spacing w:after="0" w:line="240" w:lineRule="auto"/>
        <w:ind w:right="-23"/>
        <w:jc w:val="both"/>
      </w:pPr>
    </w:p>
    <w:p w14:paraId="1A15BDC6" w14:textId="77777777" w:rsidR="001A0081" w:rsidRDefault="001A0081" w:rsidP="001A0081">
      <w:pPr>
        <w:pStyle w:val="Heading3"/>
        <w:spacing w:before="0" w:beforeAutospacing="0" w:after="0" w:afterAutospacing="0"/>
        <w:ind w:right="-23"/>
        <w:rPr>
          <w:rFonts w:asciiTheme="minorHAnsi" w:hAnsiTheme="minorHAnsi"/>
          <w:color w:val="519680"/>
          <w:sz w:val="24"/>
          <w:szCs w:val="24"/>
        </w:rPr>
      </w:pPr>
      <w:r>
        <w:rPr>
          <w:rFonts w:asciiTheme="minorHAnsi" w:hAnsiTheme="minorHAnsi"/>
          <w:color w:val="519680"/>
          <w:sz w:val="24"/>
          <w:szCs w:val="24"/>
        </w:rPr>
        <w:lastRenderedPageBreak/>
        <w:t>Reduction in walk-in centre presentations</w:t>
      </w:r>
    </w:p>
    <w:p w14:paraId="4F1E0E66" w14:textId="77777777" w:rsidR="001A0081" w:rsidRDefault="001A0081" w:rsidP="001A0081">
      <w:pPr>
        <w:widowControl w:val="0"/>
        <w:spacing w:after="0" w:line="240" w:lineRule="auto"/>
        <w:ind w:right="-29"/>
        <w:jc w:val="both"/>
      </w:pPr>
      <w:r>
        <w:t>Many walk-in centres have seen greater numbers of patients than commissioners initially anticipated. In some cases, this has led to higher payments to walk-in centre providers than expected. Commissioners have cited annual costs for a walk-in centre as being between £450,000 and £1.5 million.</w:t>
      </w:r>
      <w:bookmarkStart w:id="11" w:name="_Ref476750878"/>
      <w:r w:rsidRPr="0084735F">
        <w:rPr>
          <w:rStyle w:val="FootnoteReference"/>
          <w:rFonts w:asciiTheme="minorHAnsi" w:hAnsiTheme="minorHAnsi" w:cstheme="minorHAnsi"/>
        </w:rPr>
        <w:footnoteReference w:id="25"/>
      </w:r>
      <w:bookmarkEnd w:id="11"/>
    </w:p>
    <w:p w14:paraId="4F1B451B" w14:textId="77777777" w:rsidR="001A0081" w:rsidRDefault="001A0081" w:rsidP="001A0081">
      <w:pPr>
        <w:spacing w:after="0" w:line="240" w:lineRule="auto"/>
        <w:ind w:right="-23"/>
        <w:jc w:val="both"/>
      </w:pPr>
    </w:p>
    <w:p w14:paraId="643705C8" w14:textId="71CC406B" w:rsidR="001A0081" w:rsidRPr="008C4B7E" w:rsidRDefault="001A0081" w:rsidP="001A0081">
      <w:pPr>
        <w:shd w:val="clear" w:color="auto" w:fill="FFFFFF" w:themeFill="background1"/>
        <w:ind w:right="-23"/>
        <w:jc w:val="both"/>
      </w:pPr>
      <w:r w:rsidRPr="00EB1E7B">
        <w:t>[</w:t>
      </w:r>
      <w:r w:rsidRPr="00EB1E7B">
        <w:rPr>
          <w:color w:val="519680"/>
        </w:rPr>
        <w:t>Walk-in centres have a locally decided tariff, often based upon block contracts that have base activity with trim points which can lead to additional costs. The following paragraph is provided as an exemplar but will require local editing. If the discussion is not applicable and this paragraph is deleted</w:t>
      </w:r>
      <w:r w:rsidR="00333CC1">
        <w:rPr>
          <w:color w:val="519680"/>
        </w:rPr>
        <w:t>,</w:t>
      </w:r>
      <w:r w:rsidRPr="00EB1E7B">
        <w:rPr>
          <w:color w:val="519680"/>
        </w:rPr>
        <w:t xml:space="preserve"> then you will also need to remove the bullet point from the main paragraph above.</w:t>
      </w:r>
      <w:r w:rsidRPr="00EB1E7B">
        <w:t>]</w:t>
      </w:r>
    </w:p>
    <w:p w14:paraId="2DE5B5DB" w14:textId="77777777" w:rsidR="001A0081" w:rsidRPr="0022549D" w:rsidRDefault="001A0081" w:rsidP="001A0081">
      <w:pPr>
        <w:spacing w:after="0" w:line="240" w:lineRule="auto"/>
        <w:ind w:right="-23"/>
        <w:jc w:val="both"/>
        <w:rPr>
          <w:color w:val="519680"/>
        </w:rPr>
      </w:pPr>
      <w:bookmarkStart w:id="12" w:name="_Hlk497220377"/>
      <w:r w:rsidRPr="0022549D">
        <w:rPr>
          <w:color w:val="519680"/>
        </w:rPr>
        <w:t>[The following paragraph will require adjustment to local circumstances and uses a theoretical example for illustration only].</w:t>
      </w:r>
    </w:p>
    <w:bookmarkEnd w:id="12"/>
    <w:p w14:paraId="607E511F" w14:textId="77777777" w:rsidR="001A0081" w:rsidRDefault="001A0081" w:rsidP="001A0081">
      <w:pPr>
        <w:spacing w:after="0" w:line="240" w:lineRule="auto"/>
        <w:ind w:right="-23"/>
        <w:jc w:val="both"/>
      </w:pPr>
    </w:p>
    <w:p w14:paraId="68FB05CD" w14:textId="77777777" w:rsidR="001A0081" w:rsidRPr="0022549D" w:rsidRDefault="001A0081" w:rsidP="001A0081">
      <w:pPr>
        <w:spacing w:after="0" w:line="240" w:lineRule="auto"/>
        <w:ind w:right="-23"/>
        <w:jc w:val="both"/>
        <w:rPr>
          <w:b/>
        </w:rPr>
      </w:pPr>
      <w:r w:rsidRPr="0022549D">
        <w:rPr>
          <w:b/>
        </w:rPr>
        <w:t>The local Walk-in Centre at [</w:t>
      </w:r>
      <w:r w:rsidRPr="0022549D">
        <w:rPr>
          <w:b/>
          <w:color w:val="519680"/>
        </w:rPr>
        <w:t>insert name</w:t>
      </w:r>
      <w:r w:rsidRPr="0022549D">
        <w:rPr>
          <w:b/>
        </w:rPr>
        <w:t xml:space="preserve">] operates with a block contract which provides for </w:t>
      </w:r>
      <w:r>
        <w:rPr>
          <w:b/>
        </w:rPr>
        <w:t>52</w:t>
      </w:r>
      <w:r w:rsidRPr="0022549D">
        <w:rPr>
          <w:b/>
        </w:rPr>
        <w:t xml:space="preserve"> patient consultations per day with a ±5% variance allowable and a £</w:t>
      </w:r>
      <w:r>
        <w:rPr>
          <w:b/>
        </w:rPr>
        <w:t>36</w:t>
      </w:r>
      <w:r w:rsidRPr="00962677">
        <w:rPr>
          <w:b/>
          <w:vertAlign w:val="superscript"/>
        </w:rPr>
        <w:fldChar w:fldCharType="begin"/>
      </w:r>
      <w:r w:rsidRPr="00962677">
        <w:rPr>
          <w:b/>
          <w:vertAlign w:val="superscript"/>
        </w:rPr>
        <w:instrText xml:space="preserve"> NOTEREF _Ref486600374 \h </w:instrText>
      </w:r>
      <w:r>
        <w:rPr>
          <w:b/>
          <w:vertAlign w:val="superscript"/>
        </w:rPr>
        <w:instrText xml:space="preserve"> \* MERGEFORMAT </w:instrText>
      </w:r>
      <w:r w:rsidRPr="00962677">
        <w:rPr>
          <w:b/>
          <w:vertAlign w:val="superscript"/>
        </w:rPr>
      </w:r>
      <w:r w:rsidRPr="00962677">
        <w:rPr>
          <w:b/>
          <w:vertAlign w:val="superscript"/>
        </w:rPr>
        <w:fldChar w:fldCharType="separate"/>
      </w:r>
      <w:r>
        <w:rPr>
          <w:b/>
          <w:vertAlign w:val="superscript"/>
        </w:rPr>
        <w:t>19</w:t>
      </w:r>
      <w:r w:rsidRPr="00962677">
        <w:rPr>
          <w:b/>
          <w:vertAlign w:val="superscript"/>
        </w:rPr>
        <w:fldChar w:fldCharType="end"/>
      </w:r>
      <w:r w:rsidRPr="0022549D">
        <w:rPr>
          <w:b/>
        </w:rPr>
        <w:t xml:space="preserve"> per patient premium for those in excess. Thus, where the Walk-in Centre is currently seeing 63 patients per day on average, this amounts to an additional [(63 -52) x </w:t>
      </w:r>
      <w:r>
        <w:rPr>
          <w:b/>
        </w:rPr>
        <w:t>36</w:t>
      </w:r>
      <w:r w:rsidRPr="0022549D">
        <w:rPr>
          <w:b/>
        </w:rPr>
        <w:t xml:space="preserve"> x 365 = £1</w:t>
      </w:r>
      <w:r>
        <w:rPr>
          <w:b/>
        </w:rPr>
        <w:t>44,540].</w:t>
      </w:r>
    </w:p>
    <w:p w14:paraId="011A66C3" w14:textId="77777777" w:rsidR="001A0081" w:rsidRDefault="001A0081" w:rsidP="001A0081">
      <w:pPr>
        <w:spacing w:after="0" w:line="240" w:lineRule="auto"/>
        <w:ind w:right="-23"/>
        <w:jc w:val="both"/>
        <w:rPr>
          <w:b/>
          <w:color w:val="519680"/>
        </w:rPr>
      </w:pPr>
    </w:p>
    <w:p w14:paraId="6CE4FFC8" w14:textId="6BF526AA" w:rsidR="001A0081" w:rsidRDefault="001A0081" w:rsidP="001A0081">
      <w:pPr>
        <w:spacing w:after="0" w:line="240" w:lineRule="auto"/>
        <w:ind w:right="-23"/>
        <w:jc w:val="both"/>
        <w:rPr>
          <w:b/>
        </w:rPr>
      </w:pPr>
      <w:r>
        <w:rPr>
          <w:b/>
        </w:rPr>
        <w:t>A pharmacy Minor Ailment Service would potentially reduce this to below the lower trim point of a block contract, leading to further savings as well as providing care for patients closer to their home.</w:t>
      </w:r>
    </w:p>
    <w:p w14:paraId="28359DA9" w14:textId="77777777" w:rsidR="001A0081" w:rsidRDefault="001A0081" w:rsidP="001A0081">
      <w:pPr>
        <w:tabs>
          <w:tab w:val="left" w:pos="6435"/>
        </w:tabs>
        <w:spacing w:after="0" w:line="240" w:lineRule="auto"/>
        <w:ind w:right="-23"/>
        <w:jc w:val="both"/>
        <w:rPr>
          <w:b/>
          <w:color w:val="519680"/>
        </w:rPr>
      </w:pPr>
      <w:r>
        <w:rPr>
          <w:b/>
          <w:color w:val="519680"/>
        </w:rPr>
        <w:tab/>
      </w:r>
    </w:p>
    <w:p w14:paraId="2BEE211B" w14:textId="77777777" w:rsidR="001A0081" w:rsidRDefault="001A0081" w:rsidP="001A0081">
      <w:pPr>
        <w:pStyle w:val="Heading3"/>
        <w:spacing w:before="0" w:beforeAutospacing="0" w:after="0" w:afterAutospacing="0"/>
        <w:ind w:right="-23"/>
        <w:rPr>
          <w:rFonts w:asciiTheme="minorHAnsi" w:hAnsiTheme="minorHAnsi"/>
          <w:color w:val="519680"/>
          <w:sz w:val="24"/>
          <w:szCs w:val="24"/>
        </w:rPr>
      </w:pPr>
      <w:r>
        <w:rPr>
          <w:rFonts w:asciiTheme="minorHAnsi" w:hAnsiTheme="minorHAnsi"/>
          <w:color w:val="519680"/>
          <w:sz w:val="24"/>
          <w:szCs w:val="24"/>
        </w:rPr>
        <w:t>Releasing opportunity costs in general practice</w:t>
      </w:r>
    </w:p>
    <w:p w14:paraId="6978D1F0" w14:textId="77777777" w:rsidR="001A0081" w:rsidRDefault="001A0081" w:rsidP="001A0081">
      <w:pPr>
        <w:spacing w:after="0" w:line="240" w:lineRule="auto"/>
        <w:ind w:right="-23"/>
        <w:jc w:val="both"/>
      </w:pPr>
      <w:r>
        <w:t>Moving care from secondary to primary care is a clear direction of travel for most CCGs. One of the limiting factors is the capacity available within general practice to manage the increased workload sufficiently quickly. As a community pharmacy Minor Ailment Service would produce an immediate effect, with practice staff able to signpost patients for an immediate consultation at their local pharmacy without needing to make an appointment, plans for new GP services could be implemented quickly with the instant release of capacity to produce savings in the current financial year.</w:t>
      </w:r>
    </w:p>
    <w:p w14:paraId="5B1AC8D1" w14:textId="77777777" w:rsidR="001A0081" w:rsidRDefault="001A0081" w:rsidP="001A0081">
      <w:pPr>
        <w:spacing w:after="0" w:line="240" w:lineRule="auto"/>
        <w:ind w:right="-23"/>
        <w:jc w:val="both"/>
      </w:pPr>
    </w:p>
    <w:p w14:paraId="2D96D198" w14:textId="77777777" w:rsidR="001A0081" w:rsidRDefault="001A0081" w:rsidP="001A0081">
      <w:pPr>
        <w:spacing w:after="0" w:line="240" w:lineRule="auto"/>
        <w:ind w:right="-23"/>
        <w:jc w:val="both"/>
      </w:pPr>
      <w:r>
        <w:t>Using two NICE case studies of primary care projects as exemplars,</w:t>
      </w:r>
      <w:r w:rsidRPr="0084735F">
        <w:rPr>
          <w:rStyle w:val="FootnoteReference"/>
          <w:rFonts w:asciiTheme="minorHAnsi" w:hAnsiTheme="minorHAnsi" w:cstheme="minorHAnsi"/>
        </w:rPr>
        <w:footnoteReference w:id="26"/>
      </w:r>
      <w:r>
        <w:t xml:space="preserve"> the DAFNE project produced savings of £93,133 per 100,000 population in the medium-term and the Glaucoma project released £15,000 per 100,000 population in the short-term. Both could quickly be implemented locally and the savings gained if capacity existed to do so.</w:t>
      </w:r>
    </w:p>
    <w:p w14:paraId="0DF37BA1" w14:textId="77777777" w:rsidR="001A0081" w:rsidRDefault="001A0081" w:rsidP="001A0081">
      <w:pPr>
        <w:spacing w:after="0" w:line="240" w:lineRule="auto"/>
        <w:ind w:right="-23"/>
        <w:jc w:val="both"/>
      </w:pPr>
    </w:p>
    <w:p w14:paraId="50DA86EF" w14:textId="77777777" w:rsidR="001A0081" w:rsidRDefault="001A0081" w:rsidP="001A0081">
      <w:pPr>
        <w:pStyle w:val="Heading2"/>
        <w:spacing w:before="0" w:line="240" w:lineRule="auto"/>
        <w:ind w:right="-23"/>
        <w:rPr>
          <w:rFonts w:asciiTheme="minorHAnsi" w:hAnsiTheme="minorHAnsi"/>
          <w:b/>
          <w:color w:val="519680"/>
          <w:sz w:val="28"/>
          <w:szCs w:val="28"/>
        </w:rPr>
      </w:pPr>
      <w:r>
        <w:rPr>
          <w:rFonts w:asciiTheme="minorHAnsi" w:hAnsiTheme="minorHAnsi"/>
          <w:b/>
          <w:color w:val="519680"/>
          <w:sz w:val="28"/>
          <w:szCs w:val="28"/>
        </w:rPr>
        <w:t>Financial projections</w:t>
      </w:r>
    </w:p>
    <w:p w14:paraId="6A77688C" w14:textId="25A7BBB7" w:rsidR="001A0081" w:rsidRDefault="001A0081" w:rsidP="001A0081">
      <w:pPr>
        <w:spacing w:after="0" w:line="240" w:lineRule="auto"/>
        <w:ind w:right="-23"/>
        <w:jc w:val="both"/>
      </w:pPr>
      <w:r>
        <w:t xml:space="preserve">The following analysis follows the methodology of the DH Impact Assessment and takes the most conservative view of savings ranges where applicable. Non-monetised benefits and those savings made in areas outside health, such as </w:t>
      </w:r>
      <w:r w:rsidR="00BB3C10">
        <w:t>costs to society</w:t>
      </w:r>
      <w:r>
        <w:t xml:space="preserve"> and cost savings to patients, have also been excluded. There might also be an expectation that drug costs would be lower because of the control of the formulary and the pack sizes used</w:t>
      </w:r>
      <w:r w:rsidR="001D164D">
        <w:t>,</w:t>
      </w:r>
      <w:r>
        <w:t xml:space="preserve"> but this has been excluded from the analysis.</w:t>
      </w:r>
    </w:p>
    <w:p w14:paraId="01F2A804" w14:textId="77777777" w:rsidR="001A0081" w:rsidRDefault="001A0081" w:rsidP="001A0081">
      <w:pPr>
        <w:spacing w:after="0" w:line="240" w:lineRule="auto"/>
        <w:ind w:right="-23"/>
        <w:jc w:val="both"/>
      </w:pPr>
    </w:p>
    <w:p w14:paraId="55245D2C" w14:textId="77777777" w:rsidR="001A0081" w:rsidRDefault="001A0081" w:rsidP="001A0081">
      <w:pPr>
        <w:spacing w:after="0" w:line="240" w:lineRule="auto"/>
        <w:ind w:right="-23"/>
        <w:jc w:val="both"/>
      </w:pPr>
      <w:bookmarkStart w:id="13" w:name="_Hlk486843759"/>
      <w:r>
        <w:t xml:space="preserve">In the first year of the service and following the DH methodology, it is assumed that 20% of activity would move to pharmacy and, given appropriate promotion of the service, would follow the experience of other areas to reach 35% and then stabilise at 50% over the following years. </w:t>
      </w:r>
    </w:p>
    <w:bookmarkEnd w:id="13"/>
    <w:p w14:paraId="6F1731E8" w14:textId="24E4C943" w:rsidR="001A0081" w:rsidRDefault="001A0081" w:rsidP="001A0081">
      <w:pPr>
        <w:spacing w:after="0" w:line="240" w:lineRule="auto"/>
        <w:ind w:right="-23"/>
        <w:jc w:val="both"/>
      </w:pPr>
    </w:p>
    <w:p w14:paraId="7809C9DB" w14:textId="1FF53102" w:rsidR="00B32D27" w:rsidRDefault="00B32D27" w:rsidP="001A0081">
      <w:pPr>
        <w:spacing w:after="0" w:line="240" w:lineRule="auto"/>
        <w:ind w:right="-23"/>
        <w:jc w:val="both"/>
      </w:pPr>
      <w:r>
        <w:t>[Th</w:t>
      </w:r>
      <w:r w:rsidR="00651F13">
        <w:t xml:space="preserve">e spreadsheet below should be deleted and replaced with </w:t>
      </w:r>
      <w:r w:rsidR="003B506B">
        <w:t>the financial projections spreadsheet containing your local data.]</w:t>
      </w:r>
    </w:p>
    <w:p w14:paraId="382F8614" w14:textId="19324865" w:rsidR="003205F7" w:rsidRDefault="00346928" w:rsidP="001A0081">
      <w:pPr>
        <w:spacing w:after="0" w:line="240" w:lineRule="auto"/>
        <w:ind w:right="-23"/>
      </w:pPr>
      <w:r>
        <w:rPr>
          <w:noProof/>
        </w:rPr>
        <w:lastRenderedPageBreak/>
        <w:drawing>
          <wp:inline distT="0" distB="0" distL="0" distR="0" wp14:anchorId="5E5950FA" wp14:editId="7D0B741F">
            <wp:extent cx="6044704" cy="576284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547" cy="5765557"/>
                    </a:xfrm>
                    <a:prstGeom prst="rect">
                      <a:avLst/>
                    </a:prstGeom>
                    <a:noFill/>
                  </pic:spPr>
                </pic:pic>
              </a:graphicData>
            </a:graphic>
          </wp:inline>
        </w:drawing>
      </w:r>
      <w:bookmarkStart w:id="14" w:name="_MON_1560585380"/>
      <w:bookmarkEnd w:id="14"/>
    </w:p>
    <w:p w14:paraId="44070185" w14:textId="2772D77D" w:rsidR="003205F7" w:rsidRDefault="003205F7" w:rsidP="001A0081">
      <w:pPr>
        <w:spacing w:after="0" w:line="240" w:lineRule="auto"/>
        <w:ind w:right="-23"/>
      </w:pPr>
    </w:p>
    <w:p w14:paraId="67E288B7" w14:textId="39100A75" w:rsidR="001A0081" w:rsidRDefault="001A0081" w:rsidP="001A0081">
      <w:pPr>
        <w:spacing w:after="0" w:line="240" w:lineRule="auto"/>
        <w:ind w:right="-23"/>
        <w:rPr>
          <w:b/>
          <w:color w:val="519680"/>
          <w:sz w:val="28"/>
          <w:szCs w:val="28"/>
        </w:rPr>
      </w:pPr>
      <w:bookmarkStart w:id="15" w:name="_GoBack"/>
      <w:bookmarkEnd w:id="15"/>
      <w:r>
        <w:rPr>
          <w:b/>
          <w:color w:val="519680"/>
          <w:sz w:val="28"/>
          <w:szCs w:val="28"/>
        </w:rPr>
        <w:t>Mobilisation planning</w:t>
      </w:r>
    </w:p>
    <w:p w14:paraId="78A3C2FF" w14:textId="376DF416" w:rsidR="001A0081" w:rsidRDefault="001A0081" w:rsidP="001A0081">
      <w:pPr>
        <w:spacing w:after="0" w:line="240" w:lineRule="auto"/>
        <w:ind w:right="-23"/>
        <w:jc w:val="both"/>
      </w:pPr>
      <w:r>
        <w:t xml:space="preserve">A small number of steps would need to be taken to fully utilise community pharmacy in delivering capacity and cash releasing savings. There are many </w:t>
      </w:r>
      <w:r w:rsidR="004E0BBD">
        <w:t xml:space="preserve">of </w:t>
      </w:r>
      <w:r>
        <w:t>these services being delivered throughout the country and PSNC has produced a ‘Minor Ailment Service toolkit to support this. The toolkit includes a template:</w:t>
      </w:r>
    </w:p>
    <w:p w14:paraId="6372124C" w14:textId="77777777" w:rsidR="008F674D" w:rsidRDefault="008F674D" w:rsidP="001A0081">
      <w:pPr>
        <w:spacing w:after="0" w:line="240" w:lineRule="auto"/>
        <w:ind w:right="-23"/>
        <w:jc w:val="both"/>
      </w:pPr>
    </w:p>
    <w:p w14:paraId="3D7CADC4" w14:textId="77777777" w:rsidR="001A0081" w:rsidRDefault="001A0081" w:rsidP="001A0081">
      <w:pPr>
        <w:pStyle w:val="ListParagraph"/>
        <w:numPr>
          <w:ilvl w:val="0"/>
          <w:numId w:val="4"/>
        </w:numPr>
        <w:spacing w:after="0" w:line="240" w:lineRule="auto"/>
        <w:ind w:right="-23"/>
        <w:jc w:val="both"/>
      </w:pPr>
      <w:r>
        <w:t>Service specification which includes:</w:t>
      </w:r>
    </w:p>
    <w:p w14:paraId="73231F3A" w14:textId="7D8EB377" w:rsidR="001A0081" w:rsidRDefault="004821D6" w:rsidP="001A0081">
      <w:pPr>
        <w:pStyle w:val="ListParagraph"/>
        <w:numPr>
          <w:ilvl w:val="1"/>
          <w:numId w:val="4"/>
        </w:numPr>
        <w:spacing w:after="0" w:line="240" w:lineRule="auto"/>
        <w:ind w:right="-23"/>
        <w:jc w:val="both"/>
      </w:pPr>
      <w:r>
        <w:t xml:space="preserve">Details of </w:t>
      </w:r>
      <w:r w:rsidR="00E44275">
        <w:t>r</w:t>
      </w:r>
      <w:r w:rsidR="001A0081">
        <w:t>ecord</w:t>
      </w:r>
      <w:r w:rsidR="00013E1A">
        <w:t xml:space="preserve"> kee</w:t>
      </w:r>
      <w:r w:rsidR="00166449">
        <w:t xml:space="preserve">ping </w:t>
      </w:r>
      <w:r w:rsidR="001A0081">
        <w:t xml:space="preserve">and </w:t>
      </w:r>
      <w:r w:rsidR="00E44275">
        <w:t xml:space="preserve">patient </w:t>
      </w:r>
      <w:r w:rsidR="001A0081">
        <w:t>consent</w:t>
      </w:r>
      <w:r w:rsidR="00166449">
        <w:t xml:space="preserve"> requirements</w:t>
      </w:r>
      <w:r w:rsidR="001A0081">
        <w:t>;</w:t>
      </w:r>
    </w:p>
    <w:p w14:paraId="2571EAE9" w14:textId="77777777" w:rsidR="001A0081" w:rsidRDefault="001A0081" w:rsidP="001A0081">
      <w:pPr>
        <w:pStyle w:val="ListParagraph"/>
        <w:numPr>
          <w:ilvl w:val="1"/>
          <w:numId w:val="4"/>
        </w:numPr>
        <w:spacing w:after="0" w:line="240" w:lineRule="auto"/>
        <w:ind w:right="-23"/>
        <w:jc w:val="both"/>
      </w:pPr>
      <w:r>
        <w:t>A list of suggested indications treatable under a Minor Ailment Service;</w:t>
      </w:r>
    </w:p>
    <w:p w14:paraId="1E4DA36B" w14:textId="77777777" w:rsidR="001A0081" w:rsidRDefault="001A0081" w:rsidP="001A0081">
      <w:pPr>
        <w:pStyle w:val="ListParagraph"/>
        <w:numPr>
          <w:ilvl w:val="1"/>
          <w:numId w:val="4"/>
        </w:numPr>
        <w:spacing w:after="0" w:line="240" w:lineRule="auto"/>
        <w:ind w:right="-23"/>
        <w:jc w:val="both"/>
      </w:pPr>
      <w:r>
        <w:t>A list of suggested medicines that could be supplied under Patient Group Direction;</w:t>
      </w:r>
    </w:p>
    <w:p w14:paraId="2383113F" w14:textId="063A1367" w:rsidR="001A0081" w:rsidRDefault="00920EFD" w:rsidP="001A0081">
      <w:pPr>
        <w:pStyle w:val="ListParagraph"/>
        <w:numPr>
          <w:ilvl w:val="1"/>
          <w:numId w:val="4"/>
        </w:numPr>
        <w:spacing w:after="0" w:line="240" w:lineRule="auto"/>
        <w:ind w:right="-23"/>
        <w:jc w:val="both"/>
      </w:pPr>
      <w:r>
        <w:t>Details</w:t>
      </w:r>
      <w:r w:rsidR="00E44275">
        <w:t xml:space="preserve"> of s</w:t>
      </w:r>
      <w:r w:rsidR="001A0081">
        <w:t>ervice sign up;</w:t>
      </w:r>
    </w:p>
    <w:p w14:paraId="11745D21" w14:textId="4F3FDFD6" w:rsidR="001A0081" w:rsidRDefault="001A0081" w:rsidP="00166449">
      <w:pPr>
        <w:pStyle w:val="ListParagraph"/>
        <w:numPr>
          <w:ilvl w:val="1"/>
          <w:numId w:val="4"/>
        </w:numPr>
        <w:spacing w:after="0" w:line="240" w:lineRule="auto"/>
        <w:ind w:right="-23"/>
        <w:jc w:val="both"/>
      </w:pPr>
      <w:r>
        <w:t>GP notification form;</w:t>
      </w:r>
      <w:r w:rsidR="002B36A7">
        <w:t xml:space="preserve"> </w:t>
      </w:r>
      <w:r>
        <w:t>and a</w:t>
      </w:r>
    </w:p>
    <w:p w14:paraId="3825853E" w14:textId="607AFB05" w:rsidR="001A0081" w:rsidRDefault="001A0081" w:rsidP="001A0081">
      <w:pPr>
        <w:pStyle w:val="ListParagraph"/>
        <w:numPr>
          <w:ilvl w:val="1"/>
          <w:numId w:val="4"/>
        </w:numPr>
        <w:spacing w:after="0" w:line="240" w:lineRule="auto"/>
        <w:ind w:right="-23"/>
        <w:jc w:val="both"/>
      </w:pPr>
      <w:r>
        <w:t>Claim form</w:t>
      </w:r>
      <w:r w:rsidR="002B36A7">
        <w:t>.</w:t>
      </w:r>
    </w:p>
    <w:p w14:paraId="12757597" w14:textId="77777777" w:rsidR="001A0081" w:rsidRDefault="001A0081" w:rsidP="001A0081">
      <w:pPr>
        <w:pStyle w:val="ListParagraph"/>
        <w:numPr>
          <w:ilvl w:val="0"/>
          <w:numId w:val="4"/>
        </w:numPr>
        <w:spacing w:after="0" w:line="240" w:lineRule="auto"/>
        <w:ind w:right="-23"/>
        <w:jc w:val="both"/>
      </w:pPr>
      <w:r w:rsidRPr="00E36F62">
        <w:t>P</w:t>
      </w:r>
      <w:r>
        <w:t>atient Group Directions – support document</w:t>
      </w:r>
      <w:r w:rsidRPr="00E36F62">
        <w:t>;</w:t>
      </w:r>
    </w:p>
    <w:p w14:paraId="3F2CE212" w14:textId="77777777" w:rsidR="001A0081" w:rsidRDefault="001A0081" w:rsidP="001A0081">
      <w:pPr>
        <w:pStyle w:val="ListParagraph"/>
        <w:numPr>
          <w:ilvl w:val="0"/>
          <w:numId w:val="4"/>
        </w:numPr>
        <w:spacing w:after="0" w:line="240" w:lineRule="auto"/>
        <w:ind w:right="-23"/>
        <w:jc w:val="both"/>
      </w:pPr>
      <w:r w:rsidRPr="00E36F62">
        <w:t xml:space="preserve">Implementation guide; </w:t>
      </w:r>
    </w:p>
    <w:p w14:paraId="37E99991" w14:textId="77777777" w:rsidR="001A0081" w:rsidRDefault="001A0081" w:rsidP="001A0081">
      <w:pPr>
        <w:pStyle w:val="ListParagraph"/>
        <w:numPr>
          <w:ilvl w:val="0"/>
          <w:numId w:val="4"/>
        </w:numPr>
        <w:spacing w:after="0" w:line="240" w:lineRule="auto"/>
        <w:ind w:right="-23"/>
        <w:jc w:val="both"/>
      </w:pPr>
      <w:r w:rsidRPr="00E36F62">
        <w:t>Briefing document for GPs; and</w:t>
      </w:r>
    </w:p>
    <w:p w14:paraId="17B51F07" w14:textId="77777777" w:rsidR="001A0081" w:rsidRPr="00E36F62" w:rsidRDefault="001A0081" w:rsidP="001A0081">
      <w:pPr>
        <w:pStyle w:val="ListParagraph"/>
        <w:numPr>
          <w:ilvl w:val="0"/>
          <w:numId w:val="4"/>
        </w:numPr>
        <w:spacing w:after="0" w:line="240" w:lineRule="auto"/>
        <w:ind w:right="-23"/>
        <w:jc w:val="both"/>
      </w:pPr>
      <w:r w:rsidRPr="00E36F62">
        <w:t>Template</w:t>
      </w:r>
      <w:r>
        <w:t xml:space="preserve"> letters for GPs (for a non-PGD service or a PGD service).</w:t>
      </w:r>
    </w:p>
    <w:p w14:paraId="1A7410BC" w14:textId="77777777" w:rsidR="001A0081" w:rsidRDefault="001A0081" w:rsidP="001A0081">
      <w:pPr>
        <w:spacing w:after="0" w:line="240" w:lineRule="auto"/>
        <w:ind w:right="-23"/>
        <w:jc w:val="both"/>
      </w:pPr>
    </w:p>
    <w:p w14:paraId="71B2B0D2" w14:textId="44518AB6" w:rsidR="001A0081" w:rsidRPr="005D32C0" w:rsidRDefault="001A0081" w:rsidP="001A0081">
      <w:pPr>
        <w:pStyle w:val="Heading3"/>
        <w:spacing w:before="0" w:beforeAutospacing="0" w:after="0" w:afterAutospacing="0"/>
        <w:ind w:right="-23"/>
        <w:jc w:val="both"/>
        <w:rPr>
          <w:rFonts w:asciiTheme="minorHAnsi" w:hAnsiTheme="minorHAnsi"/>
          <w:b w:val="0"/>
          <w:color w:val="519680"/>
          <w:sz w:val="24"/>
          <w:szCs w:val="24"/>
        </w:rPr>
      </w:pPr>
      <w:r w:rsidRPr="005D32C0">
        <w:rPr>
          <w:rFonts w:asciiTheme="minorHAnsi" w:hAnsiTheme="minorHAnsi"/>
          <w:b w:val="0"/>
          <w:sz w:val="24"/>
          <w:szCs w:val="24"/>
        </w:rPr>
        <w:lastRenderedPageBreak/>
        <w:t xml:space="preserve">The toolkit is available at: </w:t>
      </w:r>
      <w:hyperlink r:id="rId12" w:history="1">
        <w:r w:rsidR="0014799F" w:rsidRPr="00A06AE8">
          <w:rPr>
            <w:rStyle w:val="Hyperlink"/>
            <w:rFonts w:asciiTheme="minorHAnsi" w:hAnsiTheme="minorHAnsi"/>
            <w:b w:val="0"/>
            <w:color w:val="519680"/>
            <w:sz w:val="24"/>
            <w:szCs w:val="24"/>
          </w:rPr>
          <w:t>www.psnc.org.uk/ctp</w:t>
        </w:r>
      </w:hyperlink>
    </w:p>
    <w:p w14:paraId="0DC99F0C" w14:textId="77777777" w:rsidR="004E0BBD" w:rsidRDefault="004E0BBD" w:rsidP="001A0081">
      <w:pPr>
        <w:pStyle w:val="Heading3"/>
        <w:spacing w:before="0" w:beforeAutospacing="0" w:after="0" w:afterAutospacing="0"/>
        <w:ind w:right="-23"/>
        <w:jc w:val="both"/>
        <w:rPr>
          <w:rFonts w:asciiTheme="minorHAnsi" w:hAnsiTheme="minorHAnsi"/>
          <w:color w:val="519680"/>
          <w:sz w:val="24"/>
          <w:szCs w:val="24"/>
        </w:rPr>
      </w:pPr>
    </w:p>
    <w:p w14:paraId="6F364ECA" w14:textId="274E9C29" w:rsidR="001A0081" w:rsidRDefault="001A0081" w:rsidP="001A0081">
      <w:pPr>
        <w:pStyle w:val="Heading3"/>
        <w:spacing w:before="0" w:beforeAutospacing="0" w:after="0" w:afterAutospacing="0"/>
        <w:ind w:right="-23"/>
        <w:jc w:val="both"/>
        <w:rPr>
          <w:rFonts w:asciiTheme="minorHAnsi" w:hAnsiTheme="minorHAnsi"/>
          <w:color w:val="519680"/>
          <w:sz w:val="24"/>
          <w:szCs w:val="24"/>
        </w:rPr>
      </w:pPr>
      <w:r>
        <w:rPr>
          <w:rFonts w:asciiTheme="minorHAnsi" w:hAnsiTheme="minorHAnsi"/>
          <w:color w:val="519680"/>
          <w:sz w:val="24"/>
          <w:szCs w:val="24"/>
        </w:rPr>
        <w:t>Service specification</w:t>
      </w:r>
    </w:p>
    <w:p w14:paraId="2F0F9407" w14:textId="0E79F768" w:rsidR="002A206E" w:rsidRPr="007558FC" w:rsidRDefault="001A0081" w:rsidP="002A206E">
      <w:pPr>
        <w:spacing w:after="0" w:line="240" w:lineRule="auto"/>
        <w:ind w:right="-23"/>
        <w:jc w:val="both"/>
      </w:pPr>
      <w:r>
        <w:t>The indications listed in the above template service specification are treatable with General Sales List (GSL), P medicines or certain POMs which can be supplied under PGD.</w:t>
      </w:r>
      <w:r w:rsidR="002A206E">
        <w:t xml:space="preserve"> </w:t>
      </w:r>
      <w:r w:rsidR="002A206E" w:rsidRPr="007558FC">
        <w:t>[You may wish to amend this wording if your business case is for a PGD service only.]</w:t>
      </w:r>
    </w:p>
    <w:p w14:paraId="117987CF" w14:textId="452FDF26" w:rsidR="001A0081" w:rsidRDefault="001A0081" w:rsidP="001A0081">
      <w:pPr>
        <w:spacing w:after="0" w:line="240" w:lineRule="auto"/>
        <w:ind w:right="-23"/>
        <w:jc w:val="both"/>
      </w:pPr>
    </w:p>
    <w:p w14:paraId="207D2063" w14:textId="77777777" w:rsidR="001A0081" w:rsidRDefault="001A0081" w:rsidP="001A0081">
      <w:pPr>
        <w:spacing w:after="0" w:line="240" w:lineRule="auto"/>
        <w:ind w:right="-23"/>
        <w:jc w:val="both"/>
      </w:pPr>
      <w:r>
        <w:t>When looking at which minor ailments should be included in the service, it is worth considering that ten ailments have been found to account for three quarters of all minor ailment consultations and three quarters of all minor ailment costs to NHS budgets.</w:t>
      </w:r>
      <w:bookmarkStart w:id="16" w:name="_Hlk486339751"/>
      <w:r w:rsidRPr="007558FC">
        <w:rPr>
          <w:rStyle w:val="FootnoteReference"/>
          <w:rFonts w:asciiTheme="minorHAnsi" w:hAnsiTheme="minorHAnsi" w:cstheme="minorHAnsi"/>
        </w:rPr>
        <w:footnoteReference w:id="27"/>
      </w:r>
      <w:r>
        <w:t xml:space="preserve"> </w:t>
      </w:r>
    </w:p>
    <w:p w14:paraId="7B502A09" w14:textId="77777777" w:rsidR="001A0081" w:rsidRDefault="001A0081" w:rsidP="001A0081">
      <w:pPr>
        <w:spacing w:after="0" w:line="240" w:lineRule="auto"/>
        <w:ind w:right="-23"/>
        <w:jc w:val="both"/>
      </w:pPr>
    </w:p>
    <w:p w14:paraId="4D69A4B0" w14:textId="77777777" w:rsidR="001A0081" w:rsidRDefault="001A0081" w:rsidP="001A0081">
      <w:pPr>
        <w:spacing w:after="0" w:line="240" w:lineRule="auto"/>
        <w:ind w:right="-23"/>
        <w:jc w:val="both"/>
      </w:pPr>
      <w:r>
        <w:t>The top ten minor ailments by number of GP consultations identified by IMS Health in 2006/7 were:</w:t>
      </w:r>
    </w:p>
    <w:p w14:paraId="68DFD2DF" w14:textId="77777777" w:rsidR="001A0081" w:rsidRDefault="001A0081" w:rsidP="001A0081">
      <w:pPr>
        <w:spacing w:after="0" w:line="240" w:lineRule="auto"/>
        <w:ind w:left="-709" w:right="-23"/>
        <w:jc w:val="both"/>
      </w:pPr>
    </w:p>
    <w:tbl>
      <w:tblPr>
        <w:tblW w:w="4900" w:type="pct"/>
        <w:tblInd w:w="108"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ook w:val="04A0" w:firstRow="1" w:lastRow="0" w:firstColumn="1" w:lastColumn="0" w:noHBand="0" w:noVBand="1"/>
      </w:tblPr>
      <w:tblGrid>
        <w:gridCol w:w="4624"/>
        <w:gridCol w:w="4642"/>
      </w:tblGrid>
      <w:tr w:rsidR="001A0081" w14:paraId="0A9A065A" w14:textId="77777777" w:rsidTr="0029216B">
        <w:tc>
          <w:tcPr>
            <w:tcW w:w="2495" w:type="pct"/>
            <w:tcBorders>
              <w:top w:val="single" w:sz="8" w:space="0" w:color="519680"/>
              <w:left w:val="single" w:sz="8" w:space="0" w:color="519680"/>
              <w:bottom w:val="single" w:sz="8" w:space="0" w:color="519680"/>
              <w:right w:val="single" w:sz="8" w:space="0" w:color="519680"/>
            </w:tcBorders>
            <w:vAlign w:val="bottom"/>
            <w:hideMark/>
          </w:tcPr>
          <w:p w14:paraId="6DA9942B" w14:textId="77777777" w:rsidR="001A0081" w:rsidRDefault="001A0081" w:rsidP="0029216B">
            <w:pPr>
              <w:spacing w:after="0" w:line="240" w:lineRule="auto"/>
              <w:ind w:right="-23"/>
              <w:rPr>
                <w:b/>
                <w:bCs/>
              </w:rPr>
            </w:pPr>
            <w:r>
              <w:rPr>
                <w:b/>
                <w:bCs/>
                <w:color w:val="519680"/>
              </w:rPr>
              <w:t>Minor Ailment</w:t>
            </w:r>
          </w:p>
        </w:tc>
        <w:tc>
          <w:tcPr>
            <w:tcW w:w="2505" w:type="pct"/>
            <w:tcBorders>
              <w:top w:val="single" w:sz="8" w:space="0" w:color="519680"/>
              <w:left w:val="single" w:sz="8" w:space="0" w:color="519680"/>
              <w:bottom w:val="single" w:sz="8" w:space="0" w:color="519680"/>
              <w:right w:val="single" w:sz="8" w:space="0" w:color="519680"/>
            </w:tcBorders>
            <w:vAlign w:val="bottom"/>
            <w:hideMark/>
          </w:tcPr>
          <w:p w14:paraId="1DA629B0" w14:textId="77777777" w:rsidR="001A0081" w:rsidRDefault="001A0081" w:rsidP="0029216B">
            <w:pPr>
              <w:spacing w:after="0" w:line="240" w:lineRule="auto"/>
              <w:ind w:right="-23"/>
              <w:jc w:val="center"/>
              <w:rPr>
                <w:b/>
                <w:bCs/>
              </w:rPr>
            </w:pPr>
            <w:r>
              <w:rPr>
                <w:b/>
                <w:bCs/>
                <w:color w:val="519680"/>
              </w:rPr>
              <w:t>Annual Consultations (millions)</w:t>
            </w:r>
          </w:p>
        </w:tc>
      </w:tr>
      <w:tr w:rsidR="001A0081" w14:paraId="72122B62" w14:textId="77777777" w:rsidTr="0029216B">
        <w:tc>
          <w:tcPr>
            <w:tcW w:w="2495" w:type="pct"/>
            <w:tcBorders>
              <w:top w:val="single" w:sz="8" w:space="0" w:color="519680"/>
              <w:left w:val="single" w:sz="8" w:space="0" w:color="519680"/>
              <w:bottom w:val="single" w:sz="8" w:space="0" w:color="519680"/>
              <w:right w:val="single" w:sz="8" w:space="0" w:color="519680"/>
            </w:tcBorders>
            <w:hideMark/>
          </w:tcPr>
          <w:p w14:paraId="51F27420" w14:textId="77777777" w:rsidR="001A0081" w:rsidRDefault="001A0081" w:rsidP="0029216B">
            <w:pPr>
              <w:spacing w:after="0" w:line="240" w:lineRule="auto"/>
              <w:ind w:right="-23"/>
              <w:rPr>
                <w:bCs/>
              </w:rPr>
            </w:pPr>
            <w:r>
              <w:rPr>
                <w:bCs/>
              </w:rPr>
              <w:t>Back pain</w:t>
            </w:r>
          </w:p>
        </w:tc>
        <w:tc>
          <w:tcPr>
            <w:tcW w:w="2505" w:type="pct"/>
            <w:tcBorders>
              <w:top w:val="single" w:sz="8" w:space="0" w:color="519680"/>
              <w:left w:val="single" w:sz="8" w:space="0" w:color="519680"/>
              <w:bottom w:val="single" w:sz="8" w:space="0" w:color="519680"/>
              <w:right w:val="single" w:sz="8" w:space="0" w:color="519680"/>
            </w:tcBorders>
            <w:hideMark/>
          </w:tcPr>
          <w:p w14:paraId="5D5DC9C3" w14:textId="77777777" w:rsidR="001A0081" w:rsidRDefault="001A0081" w:rsidP="0029216B">
            <w:pPr>
              <w:spacing w:after="0" w:line="240" w:lineRule="auto"/>
              <w:ind w:right="-23"/>
              <w:jc w:val="center"/>
            </w:pPr>
            <w:r>
              <w:t>8.4</w:t>
            </w:r>
          </w:p>
        </w:tc>
      </w:tr>
      <w:tr w:rsidR="001A0081" w14:paraId="42DAE732" w14:textId="77777777" w:rsidTr="0029216B">
        <w:tc>
          <w:tcPr>
            <w:tcW w:w="2495" w:type="pct"/>
            <w:tcBorders>
              <w:top w:val="single" w:sz="8" w:space="0" w:color="519680"/>
              <w:left w:val="single" w:sz="8" w:space="0" w:color="519680"/>
              <w:bottom w:val="single" w:sz="8" w:space="0" w:color="519680"/>
              <w:right w:val="single" w:sz="8" w:space="0" w:color="519680"/>
            </w:tcBorders>
            <w:hideMark/>
          </w:tcPr>
          <w:p w14:paraId="3E173DDF" w14:textId="77777777" w:rsidR="001A0081" w:rsidRDefault="001A0081" w:rsidP="0029216B">
            <w:pPr>
              <w:spacing w:after="0" w:line="240" w:lineRule="auto"/>
              <w:ind w:right="-23"/>
              <w:rPr>
                <w:bCs/>
              </w:rPr>
            </w:pPr>
            <w:r>
              <w:rPr>
                <w:bCs/>
              </w:rPr>
              <w:t>Dermatitis</w:t>
            </w:r>
          </w:p>
        </w:tc>
        <w:tc>
          <w:tcPr>
            <w:tcW w:w="2505" w:type="pct"/>
            <w:tcBorders>
              <w:top w:val="single" w:sz="8" w:space="0" w:color="519680"/>
              <w:left w:val="single" w:sz="8" w:space="0" w:color="519680"/>
              <w:bottom w:val="single" w:sz="8" w:space="0" w:color="519680"/>
              <w:right w:val="single" w:sz="8" w:space="0" w:color="519680"/>
            </w:tcBorders>
            <w:hideMark/>
          </w:tcPr>
          <w:p w14:paraId="1CAD63D0" w14:textId="77777777" w:rsidR="001A0081" w:rsidRDefault="001A0081" w:rsidP="0029216B">
            <w:pPr>
              <w:spacing w:after="0" w:line="240" w:lineRule="auto"/>
              <w:ind w:right="-23"/>
              <w:jc w:val="center"/>
            </w:pPr>
            <w:r>
              <w:t>6.8</w:t>
            </w:r>
          </w:p>
        </w:tc>
      </w:tr>
      <w:tr w:rsidR="001A0081" w14:paraId="712CF83A" w14:textId="77777777" w:rsidTr="0029216B">
        <w:tc>
          <w:tcPr>
            <w:tcW w:w="2495" w:type="pct"/>
            <w:tcBorders>
              <w:top w:val="single" w:sz="8" w:space="0" w:color="519680"/>
              <w:left w:val="single" w:sz="8" w:space="0" w:color="519680"/>
              <w:bottom w:val="single" w:sz="8" w:space="0" w:color="519680"/>
              <w:right w:val="single" w:sz="8" w:space="0" w:color="519680"/>
            </w:tcBorders>
            <w:hideMark/>
          </w:tcPr>
          <w:p w14:paraId="62E451B0" w14:textId="77777777" w:rsidR="001A0081" w:rsidRDefault="001A0081" w:rsidP="0029216B">
            <w:pPr>
              <w:spacing w:after="0" w:line="240" w:lineRule="auto"/>
              <w:ind w:right="-23"/>
              <w:rPr>
                <w:bCs/>
              </w:rPr>
            </w:pPr>
            <w:r>
              <w:rPr>
                <w:bCs/>
              </w:rPr>
              <w:t>Heartburn and indigestion</w:t>
            </w:r>
          </w:p>
        </w:tc>
        <w:tc>
          <w:tcPr>
            <w:tcW w:w="2505" w:type="pct"/>
            <w:tcBorders>
              <w:top w:val="single" w:sz="8" w:space="0" w:color="519680"/>
              <w:left w:val="single" w:sz="8" w:space="0" w:color="519680"/>
              <w:bottom w:val="single" w:sz="8" w:space="0" w:color="519680"/>
              <w:right w:val="single" w:sz="8" w:space="0" w:color="519680"/>
            </w:tcBorders>
            <w:hideMark/>
          </w:tcPr>
          <w:p w14:paraId="6C1EB5AF" w14:textId="77777777" w:rsidR="001A0081" w:rsidRDefault="001A0081" w:rsidP="0029216B">
            <w:pPr>
              <w:spacing w:after="0" w:line="240" w:lineRule="auto"/>
              <w:ind w:right="-23"/>
              <w:jc w:val="center"/>
            </w:pPr>
            <w:r>
              <w:t>6.8</w:t>
            </w:r>
          </w:p>
        </w:tc>
      </w:tr>
      <w:tr w:rsidR="001A0081" w14:paraId="34253C5B" w14:textId="77777777" w:rsidTr="0029216B">
        <w:tc>
          <w:tcPr>
            <w:tcW w:w="2495" w:type="pct"/>
            <w:tcBorders>
              <w:top w:val="single" w:sz="8" w:space="0" w:color="519680"/>
              <w:left w:val="single" w:sz="8" w:space="0" w:color="519680"/>
              <w:bottom w:val="single" w:sz="8" w:space="0" w:color="519680"/>
              <w:right w:val="single" w:sz="8" w:space="0" w:color="519680"/>
            </w:tcBorders>
            <w:hideMark/>
          </w:tcPr>
          <w:p w14:paraId="653BBA6F" w14:textId="77777777" w:rsidR="001A0081" w:rsidRDefault="001A0081" w:rsidP="0029216B">
            <w:pPr>
              <w:spacing w:after="0" w:line="240" w:lineRule="auto"/>
              <w:ind w:right="-23"/>
              <w:rPr>
                <w:bCs/>
              </w:rPr>
            </w:pPr>
            <w:r>
              <w:rPr>
                <w:bCs/>
              </w:rPr>
              <w:t>Nasal congestion</w:t>
            </w:r>
          </w:p>
        </w:tc>
        <w:tc>
          <w:tcPr>
            <w:tcW w:w="2505" w:type="pct"/>
            <w:tcBorders>
              <w:top w:val="single" w:sz="8" w:space="0" w:color="519680"/>
              <w:left w:val="single" w:sz="8" w:space="0" w:color="519680"/>
              <w:bottom w:val="single" w:sz="8" w:space="0" w:color="519680"/>
              <w:right w:val="single" w:sz="8" w:space="0" w:color="519680"/>
            </w:tcBorders>
            <w:hideMark/>
          </w:tcPr>
          <w:p w14:paraId="3F6C2DC9" w14:textId="77777777" w:rsidR="001A0081" w:rsidRDefault="001A0081" w:rsidP="0029216B">
            <w:pPr>
              <w:spacing w:after="0" w:line="240" w:lineRule="auto"/>
              <w:ind w:right="-23"/>
              <w:jc w:val="center"/>
            </w:pPr>
            <w:r>
              <w:t>5.3</w:t>
            </w:r>
          </w:p>
        </w:tc>
      </w:tr>
      <w:tr w:rsidR="001A0081" w14:paraId="18A1CAB5" w14:textId="77777777" w:rsidTr="0029216B">
        <w:tc>
          <w:tcPr>
            <w:tcW w:w="2495" w:type="pct"/>
            <w:tcBorders>
              <w:top w:val="single" w:sz="8" w:space="0" w:color="519680"/>
              <w:left w:val="single" w:sz="8" w:space="0" w:color="519680"/>
              <w:bottom w:val="single" w:sz="8" w:space="0" w:color="519680"/>
              <w:right w:val="single" w:sz="8" w:space="0" w:color="519680"/>
            </w:tcBorders>
            <w:hideMark/>
          </w:tcPr>
          <w:p w14:paraId="13893BB7" w14:textId="77777777" w:rsidR="001A0081" w:rsidRDefault="001A0081" w:rsidP="0029216B">
            <w:pPr>
              <w:spacing w:after="0" w:line="240" w:lineRule="auto"/>
              <w:ind w:right="-23"/>
              <w:rPr>
                <w:bCs/>
              </w:rPr>
            </w:pPr>
            <w:r>
              <w:rPr>
                <w:bCs/>
              </w:rPr>
              <w:t>Constipation</w:t>
            </w:r>
          </w:p>
        </w:tc>
        <w:tc>
          <w:tcPr>
            <w:tcW w:w="2505" w:type="pct"/>
            <w:tcBorders>
              <w:top w:val="single" w:sz="8" w:space="0" w:color="519680"/>
              <w:left w:val="single" w:sz="8" w:space="0" w:color="519680"/>
              <w:bottom w:val="single" w:sz="8" w:space="0" w:color="519680"/>
              <w:right w:val="single" w:sz="8" w:space="0" w:color="519680"/>
            </w:tcBorders>
            <w:hideMark/>
          </w:tcPr>
          <w:p w14:paraId="12C487FE" w14:textId="77777777" w:rsidR="001A0081" w:rsidRDefault="001A0081" w:rsidP="0029216B">
            <w:pPr>
              <w:spacing w:after="0" w:line="240" w:lineRule="auto"/>
              <w:ind w:right="-23"/>
              <w:jc w:val="center"/>
            </w:pPr>
            <w:r>
              <w:t>4.3</w:t>
            </w:r>
          </w:p>
        </w:tc>
      </w:tr>
      <w:tr w:rsidR="001A0081" w14:paraId="71035A66" w14:textId="77777777" w:rsidTr="0029216B">
        <w:tc>
          <w:tcPr>
            <w:tcW w:w="2495" w:type="pct"/>
            <w:tcBorders>
              <w:top w:val="single" w:sz="8" w:space="0" w:color="519680"/>
              <w:left w:val="single" w:sz="8" w:space="0" w:color="519680"/>
              <w:bottom w:val="single" w:sz="8" w:space="0" w:color="519680"/>
              <w:right w:val="single" w:sz="8" w:space="0" w:color="519680"/>
            </w:tcBorders>
            <w:hideMark/>
          </w:tcPr>
          <w:p w14:paraId="11EA3469" w14:textId="77777777" w:rsidR="001A0081" w:rsidRDefault="001A0081" w:rsidP="0029216B">
            <w:pPr>
              <w:spacing w:after="0" w:line="240" w:lineRule="auto"/>
              <w:ind w:right="-23"/>
              <w:rPr>
                <w:bCs/>
              </w:rPr>
            </w:pPr>
            <w:r>
              <w:rPr>
                <w:bCs/>
              </w:rPr>
              <w:t>Migraine</w:t>
            </w:r>
          </w:p>
        </w:tc>
        <w:tc>
          <w:tcPr>
            <w:tcW w:w="2505" w:type="pct"/>
            <w:tcBorders>
              <w:top w:val="single" w:sz="8" w:space="0" w:color="519680"/>
              <w:left w:val="single" w:sz="8" w:space="0" w:color="519680"/>
              <w:bottom w:val="single" w:sz="8" w:space="0" w:color="519680"/>
              <w:right w:val="single" w:sz="8" w:space="0" w:color="519680"/>
            </w:tcBorders>
            <w:hideMark/>
          </w:tcPr>
          <w:p w14:paraId="60E94B87" w14:textId="77777777" w:rsidR="001A0081" w:rsidRDefault="001A0081" w:rsidP="0029216B">
            <w:pPr>
              <w:spacing w:after="0" w:line="240" w:lineRule="auto"/>
              <w:ind w:right="-23"/>
              <w:jc w:val="center"/>
            </w:pPr>
            <w:r>
              <w:t>2.7</w:t>
            </w:r>
          </w:p>
        </w:tc>
      </w:tr>
      <w:tr w:rsidR="001A0081" w14:paraId="7EFE9086" w14:textId="77777777" w:rsidTr="0029216B">
        <w:tc>
          <w:tcPr>
            <w:tcW w:w="2495" w:type="pct"/>
            <w:tcBorders>
              <w:top w:val="single" w:sz="8" w:space="0" w:color="519680"/>
              <w:left w:val="single" w:sz="8" w:space="0" w:color="519680"/>
              <w:bottom w:val="single" w:sz="8" w:space="0" w:color="519680"/>
              <w:right w:val="single" w:sz="8" w:space="0" w:color="519680"/>
            </w:tcBorders>
            <w:hideMark/>
          </w:tcPr>
          <w:p w14:paraId="28AFEB86" w14:textId="77777777" w:rsidR="001A0081" w:rsidRDefault="001A0081" w:rsidP="0029216B">
            <w:pPr>
              <w:spacing w:after="0" w:line="240" w:lineRule="auto"/>
              <w:ind w:right="-23"/>
              <w:rPr>
                <w:bCs/>
              </w:rPr>
            </w:pPr>
            <w:r>
              <w:rPr>
                <w:bCs/>
              </w:rPr>
              <w:t>Cough</w:t>
            </w:r>
          </w:p>
        </w:tc>
        <w:tc>
          <w:tcPr>
            <w:tcW w:w="2505" w:type="pct"/>
            <w:tcBorders>
              <w:top w:val="single" w:sz="8" w:space="0" w:color="519680"/>
              <w:left w:val="single" w:sz="8" w:space="0" w:color="519680"/>
              <w:bottom w:val="single" w:sz="8" w:space="0" w:color="519680"/>
              <w:right w:val="single" w:sz="8" w:space="0" w:color="519680"/>
            </w:tcBorders>
            <w:hideMark/>
          </w:tcPr>
          <w:p w14:paraId="7FEB3FE1" w14:textId="77777777" w:rsidR="001A0081" w:rsidRDefault="001A0081" w:rsidP="0029216B">
            <w:pPr>
              <w:spacing w:after="0" w:line="240" w:lineRule="auto"/>
              <w:ind w:right="-23"/>
              <w:jc w:val="center"/>
            </w:pPr>
            <w:r>
              <w:t>2.6</w:t>
            </w:r>
          </w:p>
        </w:tc>
      </w:tr>
      <w:tr w:rsidR="001A0081" w14:paraId="7068DDFE" w14:textId="77777777" w:rsidTr="0029216B">
        <w:tc>
          <w:tcPr>
            <w:tcW w:w="2495" w:type="pct"/>
            <w:tcBorders>
              <w:top w:val="single" w:sz="8" w:space="0" w:color="519680"/>
              <w:left w:val="single" w:sz="8" w:space="0" w:color="519680"/>
              <w:bottom w:val="single" w:sz="8" w:space="0" w:color="519680"/>
              <w:right w:val="single" w:sz="8" w:space="0" w:color="519680"/>
            </w:tcBorders>
            <w:hideMark/>
          </w:tcPr>
          <w:p w14:paraId="06FB5334" w14:textId="77777777" w:rsidR="001A0081" w:rsidRDefault="001A0081" w:rsidP="0029216B">
            <w:pPr>
              <w:spacing w:after="0" w:line="240" w:lineRule="auto"/>
              <w:ind w:right="-23"/>
              <w:rPr>
                <w:bCs/>
              </w:rPr>
            </w:pPr>
            <w:r>
              <w:rPr>
                <w:bCs/>
              </w:rPr>
              <w:t>Acne</w:t>
            </w:r>
          </w:p>
        </w:tc>
        <w:tc>
          <w:tcPr>
            <w:tcW w:w="2505" w:type="pct"/>
            <w:tcBorders>
              <w:top w:val="single" w:sz="8" w:space="0" w:color="519680"/>
              <w:left w:val="single" w:sz="8" w:space="0" w:color="519680"/>
              <w:bottom w:val="single" w:sz="8" w:space="0" w:color="519680"/>
              <w:right w:val="single" w:sz="8" w:space="0" w:color="519680"/>
            </w:tcBorders>
            <w:hideMark/>
          </w:tcPr>
          <w:p w14:paraId="72B3A25E" w14:textId="77777777" w:rsidR="001A0081" w:rsidRDefault="001A0081" w:rsidP="0029216B">
            <w:pPr>
              <w:spacing w:after="0" w:line="240" w:lineRule="auto"/>
              <w:ind w:right="-23"/>
              <w:jc w:val="center"/>
            </w:pPr>
            <w:r>
              <w:t>2.4</w:t>
            </w:r>
          </w:p>
        </w:tc>
      </w:tr>
      <w:tr w:rsidR="001A0081" w14:paraId="0AB52F57" w14:textId="77777777" w:rsidTr="0029216B">
        <w:tc>
          <w:tcPr>
            <w:tcW w:w="2495" w:type="pct"/>
            <w:tcBorders>
              <w:top w:val="single" w:sz="8" w:space="0" w:color="519680"/>
              <w:left w:val="single" w:sz="8" w:space="0" w:color="519680"/>
              <w:bottom w:val="single" w:sz="8" w:space="0" w:color="519680"/>
              <w:right w:val="single" w:sz="8" w:space="0" w:color="519680"/>
            </w:tcBorders>
            <w:hideMark/>
          </w:tcPr>
          <w:p w14:paraId="02193E35" w14:textId="77777777" w:rsidR="001A0081" w:rsidRDefault="001A0081" w:rsidP="0029216B">
            <w:pPr>
              <w:spacing w:after="0" w:line="240" w:lineRule="auto"/>
              <w:ind w:right="-23"/>
              <w:rPr>
                <w:bCs/>
              </w:rPr>
            </w:pPr>
            <w:r>
              <w:rPr>
                <w:bCs/>
              </w:rPr>
              <w:t>Sprains and strains</w:t>
            </w:r>
          </w:p>
        </w:tc>
        <w:tc>
          <w:tcPr>
            <w:tcW w:w="2505" w:type="pct"/>
            <w:tcBorders>
              <w:top w:val="single" w:sz="8" w:space="0" w:color="519680"/>
              <w:left w:val="single" w:sz="8" w:space="0" w:color="519680"/>
              <w:bottom w:val="single" w:sz="8" w:space="0" w:color="519680"/>
              <w:right w:val="single" w:sz="8" w:space="0" w:color="519680"/>
            </w:tcBorders>
            <w:hideMark/>
          </w:tcPr>
          <w:p w14:paraId="1D741E25" w14:textId="77777777" w:rsidR="001A0081" w:rsidRDefault="001A0081" w:rsidP="0029216B">
            <w:pPr>
              <w:spacing w:after="0" w:line="240" w:lineRule="auto"/>
              <w:ind w:right="-23"/>
              <w:jc w:val="center"/>
            </w:pPr>
            <w:r>
              <w:t>2.2</w:t>
            </w:r>
          </w:p>
        </w:tc>
      </w:tr>
      <w:tr w:rsidR="001A0081" w14:paraId="0B2014D0" w14:textId="77777777" w:rsidTr="0029216B">
        <w:tc>
          <w:tcPr>
            <w:tcW w:w="2495" w:type="pct"/>
            <w:tcBorders>
              <w:top w:val="single" w:sz="8" w:space="0" w:color="519680"/>
              <w:left w:val="single" w:sz="8" w:space="0" w:color="519680"/>
              <w:bottom w:val="single" w:sz="8" w:space="0" w:color="519680"/>
              <w:right w:val="single" w:sz="8" w:space="0" w:color="519680"/>
            </w:tcBorders>
            <w:hideMark/>
          </w:tcPr>
          <w:p w14:paraId="63E5C211" w14:textId="77777777" w:rsidR="001A0081" w:rsidRDefault="001A0081" w:rsidP="0029216B">
            <w:pPr>
              <w:spacing w:after="0" w:line="240" w:lineRule="auto"/>
              <w:ind w:right="-23"/>
              <w:rPr>
                <w:bCs/>
              </w:rPr>
            </w:pPr>
            <w:r>
              <w:rPr>
                <w:bCs/>
              </w:rPr>
              <w:t>Headache</w:t>
            </w:r>
          </w:p>
        </w:tc>
        <w:tc>
          <w:tcPr>
            <w:tcW w:w="2505" w:type="pct"/>
            <w:tcBorders>
              <w:top w:val="single" w:sz="8" w:space="0" w:color="519680"/>
              <w:left w:val="single" w:sz="8" w:space="0" w:color="519680"/>
              <w:bottom w:val="single" w:sz="8" w:space="0" w:color="519680"/>
              <w:right w:val="single" w:sz="8" w:space="0" w:color="519680"/>
            </w:tcBorders>
            <w:hideMark/>
          </w:tcPr>
          <w:p w14:paraId="0052FF7D" w14:textId="77777777" w:rsidR="001A0081" w:rsidRDefault="001A0081" w:rsidP="0029216B">
            <w:pPr>
              <w:spacing w:after="0" w:line="240" w:lineRule="auto"/>
              <w:ind w:right="-23"/>
              <w:jc w:val="center"/>
            </w:pPr>
            <w:r>
              <w:t>1.8</w:t>
            </w:r>
          </w:p>
        </w:tc>
      </w:tr>
    </w:tbl>
    <w:p w14:paraId="68CB1E18" w14:textId="77777777" w:rsidR="001A0081" w:rsidRDefault="001A0081" w:rsidP="001A0081">
      <w:pPr>
        <w:spacing w:after="0" w:line="240" w:lineRule="auto"/>
        <w:ind w:right="-23"/>
        <w:jc w:val="both"/>
      </w:pPr>
    </w:p>
    <w:bookmarkEnd w:id="16"/>
    <w:p w14:paraId="534E5F37" w14:textId="77777777" w:rsidR="001A0081" w:rsidRDefault="001A0081" w:rsidP="001A0081">
      <w:pPr>
        <w:spacing w:after="0" w:line="240" w:lineRule="auto"/>
        <w:ind w:right="-23"/>
        <w:jc w:val="both"/>
        <w:rPr>
          <w:b/>
          <w:color w:val="519680"/>
          <w:sz w:val="24"/>
          <w:szCs w:val="24"/>
        </w:rPr>
      </w:pPr>
      <w:r>
        <w:rPr>
          <w:b/>
          <w:color w:val="519680"/>
          <w:sz w:val="24"/>
          <w:szCs w:val="24"/>
        </w:rPr>
        <w:t>PSNC website</w:t>
      </w:r>
    </w:p>
    <w:p w14:paraId="00A7B01A" w14:textId="4475F03E" w:rsidR="001A0081" w:rsidRDefault="001A0081" w:rsidP="001A0081">
      <w:pPr>
        <w:spacing w:after="0" w:line="240" w:lineRule="auto"/>
        <w:ind w:right="-23"/>
        <w:jc w:val="both"/>
      </w:pPr>
      <w:r>
        <w:t xml:space="preserve">The </w:t>
      </w:r>
      <w:r w:rsidR="001F65F4">
        <w:t>S</w:t>
      </w:r>
      <w:r>
        <w:t xml:space="preserve">ervices and </w:t>
      </w:r>
      <w:r w:rsidR="001F65F4">
        <w:t>C</w:t>
      </w:r>
      <w:r>
        <w:t xml:space="preserve">ommissioning section of the PSNC website has a section on </w:t>
      </w:r>
      <w:r w:rsidRPr="001800F9">
        <w:t>minor ailments</w:t>
      </w:r>
      <w:r w:rsidRPr="007558FC">
        <w:rPr>
          <w:rStyle w:val="FootnoteReference"/>
          <w:rFonts w:asciiTheme="minorHAnsi" w:hAnsiTheme="minorHAnsi" w:cstheme="minorHAnsi"/>
        </w:rPr>
        <w:footnoteReference w:id="28"/>
      </w:r>
      <w:r>
        <w:t xml:space="preserve"> with additional information and examples of services that have been commissioned locally are available on the </w:t>
      </w:r>
      <w:r w:rsidRPr="001800F9">
        <w:t>PSNC online services database</w:t>
      </w:r>
      <w:r w:rsidRPr="00A5433D">
        <w:rPr>
          <w:rStyle w:val="FootnoteReference"/>
          <w:rFonts w:asciiTheme="minorHAnsi" w:hAnsiTheme="minorHAnsi" w:cstheme="minorHAnsi"/>
        </w:rPr>
        <w:footnoteReference w:id="29"/>
      </w:r>
      <w:r>
        <w:t xml:space="preserve">; these show the extensive range of ailments that may be included. </w:t>
      </w:r>
    </w:p>
    <w:p w14:paraId="3C1B973C" w14:textId="77777777" w:rsidR="001A0081" w:rsidRDefault="001A0081" w:rsidP="001A0081">
      <w:pPr>
        <w:spacing w:after="0" w:line="240" w:lineRule="auto"/>
        <w:ind w:right="-23"/>
        <w:jc w:val="both"/>
      </w:pPr>
    </w:p>
    <w:p w14:paraId="09859EB6" w14:textId="77777777" w:rsidR="001A0081" w:rsidRDefault="001A0081" w:rsidP="001A0081">
      <w:pPr>
        <w:pStyle w:val="Heading3"/>
        <w:spacing w:before="0" w:beforeAutospacing="0" w:after="0" w:afterAutospacing="0"/>
        <w:ind w:right="-23"/>
        <w:jc w:val="both"/>
        <w:rPr>
          <w:rFonts w:asciiTheme="minorHAnsi" w:hAnsiTheme="minorHAnsi"/>
          <w:color w:val="519680"/>
          <w:sz w:val="24"/>
          <w:szCs w:val="24"/>
        </w:rPr>
      </w:pPr>
      <w:r>
        <w:rPr>
          <w:rFonts w:asciiTheme="minorHAnsi" w:hAnsiTheme="minorHAnsi"/>
          <w:color w:val="519680"/>
          <w:sz w:val="24"/>
          <w:szCs w:val="24"/>
        </w:rPr>
        <w:t>Accreditation</w:t>
      </w:r>
    </w:p>
    <w:p w14:paraId="662656C0" w14:textId="618BE7AA" w:rsidR="001A0081" w:rsidRDefault="001A0081" w:rsidP="001A0081">
      <w:pPr>
        <w:spacing w:after="0" w:line="240" w:lineRule="auto"/>
        <w:ind w:right="-23"/>
        <w:jc w:val="both"/>
      </w:pPr>
      <w:r>
        <w:t>The Declaration of Competence (DoC) system</w:t>
      </w:r>
      <w:r w:rsidRPr="00A5433D">
        <w:rPr>
          <w:rStyle w:val="FootnoteReference"/>
          <w:rFonts w:asciiTheme="minorHAnsi" w:hAnsiTheme="minorHAnsi" w:cstheme="minorHAnsi"/>
        </w:rPr>
        <w:footnoteReference w:id="30"/>
      </w:r>
      <w:r>
        <w:t xml:space="preserve"> has been developed to assure commissioners that pharmacists are service-ready and have the appropriate skills, knowledge and behaviours to deliver high quality, consistent services. There is a DoC for minor ailments and many commissioners now include DoC in their service specifications, service level agreements and PGDs rather than requesting pharmacists to complete certain training courses when offering a PGD Minor Ailment Service.</w:t>
      </w:r>
    </w:p>
    <w:p w14:paraId="4F4356B9" w14:textId="78C241F2" w:rsidR="002A206E" w:rsidRDefault="002A206E" w:rsidP="001A0081">
      <w:pPr>
        <w:spacing w:after="0" w:line="240" w:lineRule="auto"/>
        <w:ind w:right="-23"/>
        <w:jc w:val="both"/>
      </w:pPr>
    </w:p>
    <w:p w14:paraId="4F68CF95" w14:textId="31BC92D9" w:rsidR="002A206E" w:rsidRDefault="002A206E" w:rsidP="001A0081">
      <w:pPr>
        <w:spacing w:after="0" w:line="240" w:lineRule="auto"/>
        <w:ind w:right="-23"/>
        <w:jc w:val="both"/>
      </w:pPr>
      <w:r w:rsidRPr="002A206E">
        <w:t>The Declaration of Competence (DoC) system is supported for use across England by Health Education England and endorsed by NHS England and P</w:t>
      </w:r>
      <w:r w:rsidR="00A169C1">
        <w:t xml:space="preserve">ublic </w:t>
      </w:r>
      <w:r w:rsidRPr="002A206E">
        <w:t>H</w:t>
      </w:r>
      <w:r w:rsidR="00A169C1">
        <w:t>ealth</w:t>
      </w:r>
      <w:r w:rsidRPr="002A206E">
        <w:t xml:space="preserve"> England</w:t>
      </w:r>
      <w:r w:rsidR="00844395">
        <w:t>;</w:t>
      </w:r>
      <w:r w:rsidRPr="002A206E">
        <w:t xml:space="preserve"> </w:t>
      </w:r>
      <w:r w:rsidR="00844395">
        <w:t>it</w:t>
      </w:r>
      <w:r w:rsidRPr="002A206E">
        <w:t xml:space="preserve"> is intended to support professionals and employers in assuring the delivery of high quality services for patients. By working through a self-assessment tool, the pharmacy professional reflects on current competence to deliver a service and identifies the steps they need to take to develop and maintain their knowledge and skills in relation to a service before signing a self-declaration of competence statement.</w:t>
      </w:r>
    </w:p>
    <w:p w14:paraId="76542236" w14:textId="411939F0" w:rsidR="0031180E" w:rsidRDefault="0031180E" w:rsidP="0031180E">
      <w:pPr>
        <w:pStyle w:val="Heading3"/>
        <w:spacing w:before="0" w:beforeAutospacing="0" w:after="0" w:afterAutospacing="0"/>
        <w:ind w:right="-23"/>
        <w:jc w:val="both"/>
        <w:rPr>
          <w:rFonts w:asciiTheme="minorHAnsi" w:hAnsiTheme="minorHAnsi"/>
          <w:color w:val="519680"/>
          <w:sz w:val="24"/>
          <w:szCs w:val="24"/>
        </w:rPr>
      </w:pPr>
    </w:p>
    <w:p w14:paraId="7FD08ABE" w14:textId="7EED533F" w:rsidR="00EF73C7" w:rsidRDefault="00EF73C7" w:rsidP="0031180E">
      <w:pPr>
        <w:pStyle w:val="Heading3"/>
        <w:spacing w:before="0" w:beforeAutospacing="0" w:after="0" w:afterAutospacing="0"/>
        <w:ind w:right="-23"/>
        <w:jc w:val="both"/>
        <w:rPr>
          <w:rFonts w:asciiTheme="minorHAnsi" w:hAnsiTheme="minorHAnsi"/>
          <w:color w:val="519680"/>
          <w:sz w:val="24"/>
          <w:szCs w:val="24"/>
        </w:rPr>
      </w:pPr>
    </w:p>
    <w:p w14:paraId="719F8EF2" w14:textId="77777777" w:rsidR="00EF73C7" w:rsidRDefault="00EF73C7" w:rsidP="0031180E">
      <w:pPr>
        <w:pStyle w:val="Heading3"/>
        <w:spacing w:before="0" w:beforeAutospacing="0" w:after="0" w:afterAutospacing="0"/>
        <w:ind w:right="-23"/>
        <w:jc w:val="both"/>
        <w:rPr>
          <w:rFonts w:asciiTheme="minorHAnsi" w:hAnsiTheme="minorHAnsi"/>
          <w:color w:val="519680"/>
          <w:sz w:val="24"/>
          <w:szCs w:val="24"/>
        </w:rPr>
      </w:pPr>
    </w:p>
    <w:p w14:paraId="1AA31094" w14:textId="2E2E205D" w:rsidR="007F586C" w:rsidRDefault="00AA2304" w:rsidP="0031180E">
      <w:pPr>
        <w:pStyle w:val="Heading3"/>
        <w:spacing w:before="0" w:beforeAutospacing="0" w:after="0" w:afterAutospacing="0"/>
        <w:ind w:right="-23"/>
        <w:jc w:val="both"/>
        <w:rPr>
          <w:rFonts w:asciiTheme="minorHAnsi" w:hAnsiTheme="minorHAnsi"/>
          <w:color w:val="519680"/>
          <w:sz w:val="24"/>
          <w:szCs w:val="24"/>
        </w:rPr>
      </w:pPr>
      <w:r>
        <w:rPr>
          <w:rFonts w:asciiTheme="minorHAnsi" w:hAnsiTheme="minorHAnsi"/>
          <w:color w:val="519680"/>
          <w:sz w:val="24"/>
          <w:szCs w:val="24"/>
        </w:rPr>
        <w:lastRenderedPageBreak/>
        <w:t>Set up, m</w:t>
      </w:r>
      <w:r w:rsidR="0031180E" w:rsidRPr="00A5433D">
        <w:rPr>
          <w:rFonts w:asciiTheme="minorHAnsi" w:hAnsiTheme="minorHAnsi"/>
          <w:color w:val="519680"/>
          <w:sz w:val="24"/>
          <w:szCs w:val="24"/>
        </w:rPr>
        <w:t>onitoring</w:t>
      </w:r>
      <w:r w:rsidR="0031180E">
        <w:rPr>
          <w:rFonts w:asciiTheme="minorHAnsi" w:hAnsiTheme="minorHAnsi"/>
          <w:color w:val="519680"/>
          <w:sz w:val="24"/>
          <w:szCs w:val="24"/>
        </w:rPr>
        <w:t>, reporting and service evaluation</w:t>
      </w:r>
    </w:p>
    <w:p w14:paraId="544E5A89" w14:textId="64014495" w:rsidR="006C0730" w:rsidRDefault="00A7745F">
      <w:pPr>
        <w:spacing w:after="0" w:line="240" w:lineRule="auto"/>
        <w:ind w:right="-23"/>
        <w:jc w:val="both"/>
      </w:pPr>
      <w:r w:rsidRPr="00A5433D">
        <w:t>[Insert commissioner name] will</w:t>
      </w:r>
      <w:r w:rsidR="000A0C86" w:rsidRPr="00A5433D">
        <w:t xml:space="preserve"> want to </w:t>
      </w:r>
      <w:r w:rsidR="00A94758">
        <w:t>ensure robust service set up</w:t>
      </w:r>
      <w:r w:rsidR="00BB52FC">
        <w:t xml:space="preserve">; </w:t>
      </w:r>
      <w:r w:rsidR="006E3BF0">
        <w:t>monitor service activity and costs</w:t>
      </w:r>
      <w:r w:rsidR="00B3555D">
        <w:t xml:space="preserve">; </w:t>
      </w:r>
      <w:r w:rsidR="000A0C86" w:rsidRPr="00A5433D">
        <w:t xml:space="preserve">demonstrate </w:t>
      </w:r>
      <w:r w:rsidR="000A0C86">
        <w:t>service outcome</w:t>
      </w:r>
      <w:r w:rsidR="007700C7">
        <w:t>s</w:t>
      </w:r>
      <w:r w:rsidR="00B3555D">
        <w:t xml:space="preserve">; </w:t>
      </w:r>
      <w:r w:rsidR="007700C7">
        <w:t xml:space="preserve">evaluate financial benefits to </w:t>
      </w:r>
      <w:r w:rsidR="006E3BF0">
        <w:t xml:space="preserve">the local health system and </w:t>
      </w:r>
      <w:r w:rsidR="003D1195">
        <w:t xml:space="preserve">capture quantitative and qualitative feedback.  </w:t>
      </w:r>
      <w:r w:rsidR="00ED31CC">
        <w:t>Typical costs have been built into this business c</w:t>
      </w:r>
      <w:r w:rsidR="00857232">
        <w:t xml:space="preserve">ase.  </w:t>
      </w:r>
      <w:r w:rsidR="004E72BE">
        <w:t xml:space="preserve">The </w:t>
      </w:r>
      <w:r w:rsidR="0081718A">
        <w:t>simplest and most effective way to achieve this is to use a web-based tool such as PharmOutcomes</w:t>
      </w:r>
      <w:r w:rsidR="000C5C4D">
        <w:rPr>
          <w:vertAlign w:val="superscript"/>
        </w:rPr>
        <w:t>16</w:t>
      </w:r>
      <w:r w:rsidR="005C4386">
        <w:t>.</w:t>
      </w:r>
      <w:r w:rsidR="00E95860">
        <w:t xml:space="preserve"> </w:t>
      </w:r>
      <w:r w:rsidR="0081718A">
        <w:t>These tools</w:t>
      </w:r>
      <w:r w:rsidR="00730E32">
        <w:t xml:space="preserve"> </w:t>
      </w:r>
      <w:r w:rsidR="005B7620" w:rsidRPr="00A5433D">
        <w:t xml:space="preserve">ease the burden of record keeping, service management and financial tracking for </w:t>
      </w:r>
      <w:r w:rsidR="005B7620">
        <w:t>both commissioners and community pharmacy providers</w:t>
      </w:r>
      <w:r w:rsidR="00307A66">
        <w:t xml:space="preserve"> and allow</w:t>
      </w:r>
      <w:r w:rsidR="003F0D8A">
        <w:t>s</w:t>
      </w:r>
      <w:r w:rsidR="00307A66">
        <w:t xml:space="preserve"> </w:t>
      </w:r>
      <w:r w:rsidR="003F0D8A" w:rsidRPr="00A5433D">
        <w:t>local and national level analysis and reporting on the effectiveness of commissioned services, helping to improve the evidence base for community pharmacy services</w:t>
      </w:r>
      <w:r w:rsidR="00752D30">
        <w:t xml:space="preserve">.  </w:t>
      </w:r>
    </w:p>
    <w:p w14:paraId="249D960C" w14:textId="77777777" w:rsidR="006C0730" w:rsidRDefault="006C0730">
      <w:pPr>
        <w:spacing w:after="0" w:line="240" w:lineRule="auto"/>
        <w:ind w:right="-23"/>
        <w:jc w:val="both"/>
      </w:pPr>
    </w:p>
    <w:p w14:paraId="0916F440" w14:textId="6C7D732E" w:rsidR="0031180E" w:rsidRPr="000A0C86" w:rsidRDefault="00E95860" w:rsidP="00A5433D">
      <w:pPr>
        <w:spacing w:after="0" w:line="240" w:lineRule="auto"/>
        <w:ind w:right="-23"/>
        <w:jc w:val="both"/>
      </w:pPr>
      <w:r>
        <w:t>The</w:t>
      </w:r>
      <w:r w:rsidR="006C0730">
        <w:t xml:space="preserve"> Local Pharmaceutical Committee (LPC) can offer </w:t>
      </w:r>
      <w:r w:rsidR="006833AC">
        <w:t xml:space="preserve">initial </w:t>
      </w:r>
      <w:r w:rsidR="00A50D10">
        <w:t xml:space="preserve">set up </w:t>
      </w:r>
      <w:r w:rsidR="006833AC">
        <w:t xml:space="preserve">and ongoing </w:t>
      </w:r>
      <w:r w:rsidR="006C0730">
        <w:t xml:space="preserve">support </w:t>
      </w:r>
      <w:r w:rsidR="00A50D10">
        <w:t>for</w:t>
      </w:r>
      <w:r w:rsidR="00F810D0">
        <w:t xml:space="preserve"> this </w:t>
      </w:r>
      <w:r w:rsidR="00057B13">
        <w:t xml:space="preserve">service </w:t>
      </w:r>
      <w:r w:rsidR="00F810D0">
        <w:t>and will be able to advise on set</w:t>
      </w:r>
      <w:r w:rsidR="006833AC">
        <w:t>t</w:t>
      </w:r>
      <w:r w:rsidR="00F810D0">
        <w:t>ing up r</w:t>
      </w:r>
      <w:r w:rsidR="00752D30">
        <w:t xml:space="preserve">eports </w:t>
      </w:r>
      <w:r w:rsidR="006833AC">
        <w:t xml:space="preserve">that </w:t>
      </w:r>
      <w:r w:rsidR="00752D30">
        <w:t xml:space="preserve">can be tailored to meet </w:t>
      </w:r>
      <w:r w:rsidR="00057B13">
        <w:t>your</w:t>
      </w:r>
      <w:r w:rsidR="00752D30">
        <w:t xml:space="preserve"> requir</w:t>
      </w:r>
      <w:r w:rsidR="00E235D2">
        <w:t>e</w:t>
      </w:r>
      <w:r w:rsidR="00752D30">
        <w:t>ments</w:t>
      </w:r>
      <w:r w:rsidR="00B35664">
        <w:t>.</w:t>
      </w:r>
    </w:p>
    <w:sectPr w:rsidR="0031180E" w:rsidRPr="000A0C86" w:rsidSect="00A37666">
      <w:headerReference w:type="even" r:id="rId13"/>
      <w:headerReference w:type="default" r:id="rId14"/>
      <w:footerReference w:type="even" r:id="rId15"/>
      <w:footerReference w:type="default" r:id="rId16"/>
      <w:headerReference w:type="first" r:id="rId17"/>
      <w:footerReference w:type="first" r:id="rId18"/>
      <w:pgSz w:w="11906" w:h="16838"/>
      <w:pgMar w:top="1134"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1403" w14:textId="77777777" w:rsidR="00742914" w:rsidRDefault="00742914" w:rsidP="001A0081">
      <w:pPr>
        <w:spacing w:after="0" w:line="240" w:lineRule="auto"/>
      </w:pPr>
      <w:r>
        <w:separator/>
      </w:r>
    </w:p>
  </w:endnote>
  <w:endnote w:type="continuationSeparator" w:id="0">
    <w:p w14:paraId="65F24B9D" w14:textId="77777777" w:rsidR="00742914" w:rsidRDefault="00742914" w:rsidP="001A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98EB" w14:textId="77777777" w:rsidR="005063C4" w:rsidRDefault="00D0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733392"/>
      <w:docPartObj>
        <w:docPartGallery w:val="Page Numbers (Bottom of Page)"/>
        <w:docPartUnique/>
      </w:docPartObj>
    </w:sdtPr>
    <w:sdtEndPr>
      <w:rPr>
        <w:noProof/>
      </w:rPr>
    </w:sdtEndPr>
    <w:sdtContent>
      <w:p w14:paraId="0229F708" w14:textId="4C943831" w:rsidR="005063C4" w:rsidRDefault="002A206E">
        <w:pPr>
          <w:pStyle w:val="Footer"/>
          <w:jc w:val="center"/>
        </w:pPr>
        <w:r>
          <w:fldChar w:fldCharType="begin"/>
        </w:r>
        <w:r>
          <w:instrText xml:space="preserve"> PAGE   \* MERGEFORMAT </w:instrText>
        </w:r>
        <w:r>
          <w:fldChar w:fldCharType="separate"/>
        </w:r>
        <w:r w:rsidR="00857232">
          <w:rPr>
            <w:noProof/>
          </w:rPr>
          <w:t>8</w:t>
        </w:r>
        <w:r>
          <w:rPr>
            <w:noProof/>
          </w:rPr>
          <w:fldChar w:fldCharType="end"/>
        </w:r>
      </w:p>
    </w:sdtContent>
  </w:sdt>
  <w:p w14:paraId="1EF69AB7" w14:textId="77777777" w:rsidR="005063C4" w:rsidRDefault="00D03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7A2C" w14:textId="77777777" w:rsidR="005063C4" w:rsidRDefault="00D0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CDC9" w14:textId="77777777" w:rsidR="00742914" w:rsidRDefault="00742914" w:rsidP="001A0081">
      <w:pPr>
        <w:spacing w:after="0" w:line="240" w:lineRule="auto"/>
      </w:pPr>
      <w:r>
        <w:separator/>
      </w:r>
    </w:p>
  </w:footnote>
  <w:footnote w:type="continuationSeparator" w:id="0">
    <w:p w14:paraId="516FFFFA" w14:textId="77777777" w:rsidR="00742914" w:rsidRDefault="00742914" w:rsidP="001A0081">
      <w:pPr>
        <w:spacing w:after="0" w:line="240" w:lineRule="auto"/>
      </w:pPr>
      <w:r>
        <w:continuationSeparator/>
      </w:r>
    </w:p>
  </w:footnote>
  <w:footnote w:id="1">
    <w:p w14:paraId="625FC160" w14:textId="77777777" w:rsidR="001A0081" w:rsidRPr="00A5433D" w:rsidRDefault="001A0081" w:rsidP="00A5433D">
      <w:pPr>
        <w:pStyle w:val="FootnoteText"/>
        <w:ind w:left="142" w:hanging="142"/>
        <w:rPr>
          <w:rFonts w:asciiTheme="minorHAnsi" w:hAnsiTheme="minorHAnsi" w:cstheme="minorHAnsi"/>
        </w:rPr>
      </w:pPr>
      <w:r w:rsidRPr="00A5433D">
        <w:rPr>
          <w:rStyle w:val="FootnoteReference"/>
          <w:rFonts w:asciiTheme="minorHAnsi" w:hAnsiTheme="minorHAnsi" w:cstheme="minorHAnsi"/>
        </w:rPr>
        <w:footnoteRef/>
      </w:r>
      <w:r w:rsidRPr="00A5433D">
        <w:rPr>
          <w:rFonts w:asciiTheme="minorHAnsi" w:hAnsiTheme="minorHAnsi" w:cstheme="minorHAnsi"/>
        </w:rPr>
        <w:t xml:space="preserve"> </w:t>
      </w:r>
      <w:hyperlink r:id="rId1" w:history="1">
        <w:r w:rsidRPr="00A5433D">
          <w:rPr>
            <w:rStyle w:val="Hyperlink"/>
            <w:rFonts w:asciiTheme="minorHAnsi" w:hAnsiTheme="minorHAnsi" w:cstheme="minorHAnsi"/>
            <w:color w:val="519680"/>
          </w:rPr>
          <w:t>Department of Health: Pharmacy in the future: implementing the NHS Plan (September 2000)</w:t>
        </w:r>
      </w:hyperlink>
    </w:p>
  </w:footnote>
  <w:footnote w:id="2">
    <w:p w14:paraId="0E8A5AC4" w14:textId="77777777" w:rsidR="001A0081" w:rsidRPr="00A5433D" w:rsidRDefault="001A0081" w:rsidP="00A5433D">
      <w:pPr>
        <w:pStyle w:val="FootnoteText"/>
        <w:ind w:left="142" w:hanging="142"/>
        <w:rPr>
          <w:rFonts w:asciiTheme="minorHAnsi" w:hAnsiTheme="minorHAnsi" w:cstheme="minorHAnsi"/>
        </w:rPr>
      </w:pPr>
      <w:r w:rsidRPr="00A5433D">
        <w:rPr>
          <w:rStyle w:val="FootnoteReference"/>
          <w:rFonts w:asciiTheme="minorHAnsi" w:hAnsiTheme="minorHAnsi" w:cstheme="minorHAnsi"/>
        </w:rPr>
        <w:footnoteRef/>
      </w:r>
      <w:r w:rsidRPr="00A5433D">
        <w:rPr>
          <w:rFonts w:asciiTheme="minorHAnsi" w:hAnsiTheme="minorHAnsi" w:cstheme="minorHAnsi"/>
        </w:rPr>
        <w:t xml:space="preserve"> </w:t>
      </w:r>
      <w:hyperlink r:id="rId2" w:history="1">
        <w:r w:rsidRPr="00A5433D">
          <w:rPr>
            <w:rStyle w:val="Hyperlink"/>
            <w:rFonts w:asciiTheme="minorHAnsi" w:hAnsiTheme="minorHAnsi" w:cstheme="minorHAnsi"/>
            <w:color w:val="519680"/>
          </w:rPr>
          <w:t>Paudyal V, et al. Are pharmacy based minor ailment schemes a substitute for other service providers? Br J Gen Pract 2013; 63 (612), (July 2013):472-481</w:t>
        </w:r>
      </w:hyperlink>
    </w:p>
  </w:footnote>
  <w:footnote w:id="3">
    <w:p w14:paraId="6CC8D157" w14:textId="77777777" w:rsidR="001A0081" w:rsidRPr="00A5433D" w:rsidRDefault="001A0081" w:rsidP="00A5433D">
      <w:pPr>
        <w:pStyle w:val="FootnoteText"/>
        <w:ind w:left="142" w:hanging="142"/>
        <w:rPr>
          <w:rFonts w:asciiTheme="minorHAnsi" w:hAnsiTheme="minorHAnsi" w:cstheme="minorHAnsi"/>
          <w:lang w:val="en-US"/>
        </w:rPr>
      </w:pPr>
      <w:r w:rsidRPr="00A5433D">
        <w:rPr>
          <w:rStyle w:val="FootnoteReference"/>
          <w:rFonts w:asciiTheme="minorHAnsi" w:hAnsiTheme="minorHAnsi" w:cstheme="minorHAnsi"/>
        </w:rPr>
        <w:footnoteRef/>
      </w:r>
      <w:r w:rsidRPr="00A5433D">
        <w:rPr>
          <w:rFonts w:asciiTheme="minorHAnsi" w:hAnsiTheme="minorHAnsi" w:cstheme="minorHAnsi"/>
        </w:rPr>
        <w:t xml:space="preserve"> </w:t>
      </w:r>
      <w:hyperlink r:id="rId3" w:history="1">
        <w:r w:rsidRPr="00A5433D">
          <w:rPr>
            <w:rStyle w:val="Hyperlink"/>
            <w:rFonts w:asciiTheme="minorHAnsi" w:hAnsiTheme="minorHAnsi" w:cstheme="minorHAnsi"/>
            <w:color w:val="519680"/>
          </w:rPr>
          <w:t>PAGB/PSNC: Joint submission to the Pharmacy White Paper (December 2007)</w:t>
        </w:r>
      </w:hyperlink>
    </w:p>
  </w:footnote>
  <w:footnote w:id="4">
    <w:p w14:paraId="6F13E306" w14:textId="77777777" w:rsidR="001A0081" w:rsidRPr="00A5433D" w:rsidRDefault="001A0081" w:rsidP="00A5433D">
      <w:pPr>
        <w:pStyle w:val="FootnoteText"/>
        <w:ind w:left="142" w:hanging="142"/>
        <w:rPr>
          <w:rFonts w:asciiTheme="minorHAnsi" w:hAnsiTheme="minorHAnsi" w:cstheme="minorHAnsi"/>
          <w:lang w:val="en-US"/>
        </w:rPr>
      </w:pPr>
      <w:r w:rsidRPr="00A5433D">
        <w:rPr>
          <w:rStyle w:val="FootnoteReference"/>
          <w:rFonts w:asciiTheme="minorHAnsi" w:hAnsiTheme="minorHAnsi" w:cstheme="minorHAnsi"/>
        </w:rPr>
        <w:footnoteRef/>
      </w:r>
      <w:r w:rsidRPr="00A5433D">
        <w:rPr>
          <w:rFonts w:asciiTheme="minorHAnsi" w:hAnsiTheme="minorHAnsi" w:cstheme="minorHAnsi"/>
        </w:rPr>
        <w:t xml:space="preserve"> </w:t>
      </w:r>
      <w:hyperlink r:id="rId4" w:history="1">
        <w:r w:rsidRPr="00A5433D">
          <w:rPr>
            <w:rStyle w:val="Hyperlink"/>
            <w:rFonts w:asciiTheme="minorHAnsi" w:hAnsiTheme="minorHAnsi" w:cstheme="minorHAnsi"/>
            <w:color w:val="519680"/>
          </w:rPr>
          <w:t>NHS England: High quality care for all, now and for future generations: transforming urgent and emergency care services in England: The Evidence Base from the Urgent and Emergency Care Review (June 2013)</w:t>
        </w:r>
      </w:hyperlink>
    </w:p>
  </w:footnote>
  <w:footnote w:id="5">
    <w:p w14:paraId="601F9FC1" w14:textId="07A2C318" w:rsidR="00206513" w:rsidRPr="00A5433D" w:rsidRDefault="00206513" w:rsidP="00A5433D">
      <w:pPr>
        <w:pStyle w:val="FootnoteText"/>
        <w:ind w:left="142" w:hanging="142"/>
        <w:rPr>
          <w:rFonts w:asciiTheme="minorHAnsi" w:hAnsiTheme="minorHAnsi" w:cstheme="minorHAnsi"/>
        </w:rPr>
      </w:pPr>
      <w:r w:rsidRPr="00A5433D">
        <w:rPr>
          <w:rStyle w:val="FootnoteReference"/>
          <w:rFonts w:asciiTheme="minorHAnsi" w:hAnsiTheme="minorHAnsi" w:cstheme="minorHAnsi"/>
        </w:rPr>
        <w:footnoteRef/>
      </w:r>
      <w:r w:rsidRPr="00A5433D">
        <w:rPr>
          <w:rFonts w:asciiTheme="minorHAnsi" w:hAnsiTheme="minorHAnsi" w:cstheme="minorHAnsi"/>
        </w:rPr>
        <w:t xml:space="preserve"> </w:t>
      </w:r>
      <w:hyperlink r:id="rId5" w:history="1">
        <w:r w:rsidR="00693E10" w:rsidRPr="00A5433D">
          <w:rPr>
            <w:rStyle w:val="Hyperlink"/>
            <w:rFonts w:asciiTheme="minorHAnsi" w:hAnsiTheme="minorHAnsi" w:cstheme="minorHAnsi"/>
            <w:color w:val="519680"/>
          </w:rPr>
          <w:t>www.selfcareforum.org</w:t>
        </w:r>
      </w:hyperlink>
    </w:p>
  </w:footnote>
  <w:footnote w:id="6">
    <w:p w14:paraId="68F95716" w14:textId="77777777" w:rsidR="001A0081" w:rsidRPr="00A5433D" w:rsidRDefault="00B35664" w:rsidP="00A5433D">
      <w:pPr>
        <w:pStyle w:val="FootnoteText"/>
        <w:ind w:left="142" w:hanging="142"/>
        <w:rPr>
          <w:rFonts w:asciiTheme="minorHAnsi" w:hAnsiTheme="minorHAnsi" w:cstheme="minorHAnsi"/>
          <w:lang w:val="en-US"/>
        </w:rPr>
      </w:pPr>
      <w:hyperlink r:id="rId6" w:history="1">
        <w:r w:rsidR="001A0081" w:rsidRPr="00A5433D">
          <w:rPr>
            <w:rStyle w:val="Hyperlink"/>
            <w:rFonts w:asciiTheme="minorHAnsi" w:hAnsiTheme="minorHAnsi" w:cstheme="minorHAnsi"/>
            <w:color w:val="auto"/>
            <w:vertAlign w:val="superscript"/>
          </w:rPr>
          <w:footnoteRef/>
        </w:r>
        <w:r w:rsidR="001A0081" w:rsidRPr="00A5433D">
          <w:rPr>
            <w:rStyle w:val="Hyperlink"/>
            <w:rFonts w:asciiTheme="minorHAnsi" w:hAnsiTheme="minorHAnsi" w:cstheme="minorHAnsi"/>
          </w:rPr>
          <w:t xml:space="preserve"> </w:t>
        </w:r>
        <w:r w:rsidR="001A0081" w:rsidRPr="00A5433D">
          <w:rPr>
            <w:rStyle w:val="Hyperlink"/>
            <w:rFonts w:asciiTheme="minorHAnsi" w:hAnsiTheme="minorHAnsi" w:cstheme="minorHAnsi"/>
            <w:color w:val="519680"/>
            <w:lang w:val="en-US"/>
          </w:rPr>
          <w:t>The King’s Fund: Understanding pressure in general practice (May 2016)</w:t>
        </w:r>
      </w:hyperlink>
    </w:p>
  </w:footnote>
  <w:footnote w:id="7">
    <w:p w14:paraId="408ED536" w14:textId="77777777" w:rsidR="001A0081" w:rsidRDefault="001A0081" w:rsidP="00A5433D">
      <w:pPr>
        <w:pStyle w:val="FootnoteText"/>
        <w:ind w:left="142" w:hanging="142"/>
        <w:rPr>
          <w:lang w:val="en-US"/>
        </w:rPr>
      </w:pPr>
      <w:r w:rsidRPr="00A5433D">
        <w:rPr>
          <w:rStyle w:val="FootnoteReference"/>
          <w:rFonts w:asciiTheme="minorHAnsi" w:hAnsiTheme="minorHAnsi" w:cstheme="minorHAnsi"/>
        </w:rPr>
        <w:footnoteRef/>
      </w:r>
      <w:r w:rsidRPr="00A5433D">
        <w:rPr>
          <w:rFonts w:asciiTheme="minorHAnsi" w:hAnsiTheme="minorHAnsi" w:cstheme="minorHAnsi"/>
        </w:rPr>
        <w:t xml:space="preserve"> </w:t>
      </w:r>
      <w:hyperlink r:id="rId7" w:history="1">
        <w:r w:rsidRPr="00A5433D">
          <w:rPr>
            <w:rStyle w:val="Hyperlink"/>
            <w:rFonts w:asciiTheme="minorHAnsi" w:hAnsiTheme="minorHAnsi" w:cstheme="minorHAnsi"/>
            <w:color w:val="519680"/>
            <w:lang w:val="en-US"/>
          </w:rPr>
          <w:t>NHS England: GP patient survey – National summary report (July 2014)</w:t>
        </w:r>
      </w:hyperlink>
    </w:p>
  </w:footnote>
  <w:footnote w:id="8">
    <w:p w14:paraId="429659E0" w14:textId="77777777" w:rsidR="001A0081" w:rsidRDefault="001A0081" w:rsidP="001A0081">
      <w:pPr>
        <w:pStyle w:val="FootnoteText"/>
        <w:rPr>
          <w:lang w:val="en-US"/>
        </w:rPr>
      </w:pPr>
      <w:r>
        <w:rPr>
          <w:rStyle w:val="FootnoteReference"/>
        </w:rPr>
        <w:footnoteRef/>
      </w:r>
      <w:r>
        <w:t xml:space="preserve"> </w:t>
      </w:r>
      <w:hyperlink r:id="rId8" w:history="1">
        <w:r w:rsidRPr="00962677">
          <w:rPr>
            <w:rStyle w:val="Hyperlink"/>
            <w:color w:val="519680"/>
            <w:lang w:val="en-US"/>
          </w:rPr>
          <w:t>NHS Digital: Focus on Accident &amp; Emergency (December 2013)</w:t>
        </w:r>
      </w:hyperlink>
    </w:p>
  </w:footnote>
  <w:footnote w:id="9">
    <w:p w14:paraId="1D02B760" w14:textId="77777777" w:rsidR="001A0081" w:rsidRDefault="001A0081" w:rsidP="001A0081">
      <w:pPr>
        <w:pStyle w:val="FootnoteText"/>
        <w:jc w:val="both"/>
        <w:rPr>
          <w:color w:val="519680"/>
        </w:rPr>
      </w:pPr>
      <w:r>
        <w:rPr>
          <w:rStyle w:val="FootnoteReference"/>
        </w:rPr>
        <w:footnoteRef/>
      </w:r>
      <w:r>
        <w:t xml:space="preserve"> </w:t>
      </w:r>
      <w:hyperlink r:id="rId9" w:history="1">
        <w:r>
          <w:rPr>
            <w:rStyle w:val="Hyperlink"/>
            <w:color w:val="519680"/>
          </w:rPr>
          <w:t>House of Commons Committee of Public Accounts: Access to General Practice in England (March 2016)</w:t>
        </w:r>
      </w:hyperlink>
    </w:p>
  </w:footnote>
  <w:footnote w:id="10">
    <w:p w14:paraId="0C419EEB" w14:textId="77777777" w:rsidR="001A0081" w:rsidRPr="00AF6A84" w:rsidRDefault="001A0081" w:rsidP="001A0081">
      <w:pPr>
        <w:pStyle w:val="FootnoteText"/>
        <w:jc w:val="both"/>
        <w:rPr>
          <w:rFonts w:asciiTheme="minorHAnsi" w:hAnsiTheme="minorHAnsi"/>
          <w:color w:val="519680"/>
        </w:rPr>
      </w:pPr>
      <w:r w:rsidRPr="00AF6A84">
        <w:rPr>
          <w:rStyle w:val="FootnoteReference"/>
          <w:rFonts w:asciiTheme="minorHAnsi" w:hAnsiTheme="minorHAnsi"/>
        </w:rPr>
        <w:footnoteRef/>
      </w:r>
      <w:r w:rsidRPr="00AF6A84">
        <w:rPr>
          <w:rFonts w:asciiTheme="minorHAnsi" w:hAnsiTheme="minorHAnsi"/>
        </w:rPr>
        <w:t xml:space="preserve"> </w:t>
      </w:r>
      <w:hyperlink r:id="rId10" w:history="1">
        <w:r w:rsidRPr="00AF6A84">
          <w:rPr>
            <w:rStyle w:val="Hyperlink"/>
            <w:rFonts w:asciiTheme="minorHAnsi" w:hAnsiTheme="minorHAnsi"/>
            <w:color w:val="519680"/>
          </w:rPr>
          <w:t>The King’s Fund: What’s going on in A&amp;E? The key questions answered (March 2016)</w:t>
        </w:r>
      </w:hyperlink>
      <w:r w:rsidRPr="00AF6A84">
        <w:rPr>
          <w:rFonts w:asciiTheme="minorHAnsi" w:hAnsiTheme="minorHAnsi"/>
          <w:color w:val="519680"/>
        </w:rPr>
        <w:t xml:space="preserve"> </w:t>
      </w:r>
    </w:p>
  </w:footnote>
  <w:footnote w:id="11">
    <w:p w14:paraId="4C7A43F5" w14:textId="77777777" w:rsidR="001A0081" w:rsidRPr="006A6476" w:rsidRDefault="00D032D6" w:rsidP="001A0081">
      <w:pPr>
        <w:pStyle w:val="FootnoteText"/>
        <w:jc w:val="both"/>
        <w:rPr>
          <w:rFonts w:asciiTheme="minorHAnsi" w:hAnsiTheme="minorHAnsi"/>
          <w:color w:val="000000"/>
          <w:lang w:val="en-US"/>
        </w:rPr>
      </w:pPr>
      <w:hyperlink r:id="rId11" w:history="1">
        <w:r w:rsidR="001A0081" w:rsidRPr="006A6476">
          <w:rPr>
            <w:rStyle w:val="Hyperlink"/>
            <w:rFonts w:asciiTheme="minorHAnsi" w:hAnsiTheme="minorHAnsi"/>
            <w:color w:val="000000"/>
            <w:vertAlign w:val="superscript"/>
          </w:rPr>
          <w:footnoteRef/>
        </w:r>
        <w:r w:rsidR="001A0081" w:rsidRPr="006A6476">
          <w:rPr>
            <w:rStyle w:val="Hyperlink"/>
            <w:rFonts w:asciiTheme="minorHAnsi" w:hAnsiTheme="minorHAnsi"/>
            <w:color w:val="000000"/>
          </w:rPr>
          <w:t xml:space="preserve"> </w:t>
        </w:r>
        <w:r w:rsidR="001A0081" w:rsidRPr="004063F3">
          <w:rPr>
            <w:rStyle w:val="Hyperlink"/>
            <w:rFonts w:asciiTheme="minorHAnsi" w:hAnsiTheme="minorHAnsi"/>
            <w:color w:val="519680"/>
            <w:lang w:val="en-US"/>
          </w:rPr>
          <w:t>Scottish Government: The new NHS Minor Ailment Service at your community pharmacy (June 2006)</w:t>
        </w:r>
      </w:hyperlink>
    </w:p>
  </w:footnote>
  <w:footnote w:id="12">
    <w:p w14:paraId="098DFCC0" w14:textId="77777777" w:rsidR="001A0081" w:rsidRPr="00AF6A84" w:rsidRDefault="001A0081" w:rsidP="001A0081">
      <w:pPr>
        <w:pStyle w:val="FootnoteText"/>
        <w:jc w:val="both"/>
        <w:rPr>
          <w:rFonts w:asciiTheme="minorHAnsi" w:hAnsiTheme="minorHAnsi"/>
          <w:color w:val="519680"/>
          <w:lang w:val="en-US"/>
        </w:rPr>
      </w:pPr>
      <w:r w:rsidRPr="006A6476">
        <w:rPr>
          <w:rStyle w:val="FootnoteReference"/>
          <w:rFonts w:asciiTheme="minorHAnsi" w:hAnsiTheme="minorHAnsi"/>
          <w:color w:val="000000"/>
        </w:rPr>
        <w:footnoteRef/>
      </w:r>
      <w:r w:rsidRPr="006A6476">
        <w:rPr>
          <w:rFonts w:asciiTheme="minorHAnsi" w:hAnsiTheme="minorHAnsi"/>
          <w:color w:val="000000"/>
        </w:rPr>
        <w:t xml:space="preserve"> </w:t>
      </w:r>
      <w:hyperlink r:id="rId12" w:history="1">
        <w:r w:rsidRPr="004063F3">
          <w:rPr>
            <w:rStyle w:val="Hyperlink"/>
            <w:rFonts w:asciiTheme="minorHAnsi" w:hAnsiTheme="minorHAnsi"/>
            <w:color w:val="519680"/>
            <w:lang w:val="en-US"/>
          </w:rPr>
          <w:t>NHS Wales: New Choose Pharmacy scheme to be rolled out across Wales (March 2016)</w:t>
        </w:r>
      </w:hyperlink>
    </w:p>
  </w:footnote>
  <w:footnote w:id="13">
    <w:p w14:paraId="2726170F" w14:textId="77777777" w:rsidR="001A0081" w:rsidRPr="00E41453" w:rsidRDefault="001A0081" w:rsidP="001A0081">
      <w:pPr>
        <w:pStyle w:val="FootnoteText"/>
        <w:jc w:val="both"/>
        <w:rPr>
          <w:rFonts w:asciiTheme="minorHAnsi" w:hAnsiTheme="minorHAnsi"/>
        </w:rPr>
      </w:pPr>
      <w:r w:rsidRPr="00AF6A84">
        <w:rPr>
          <w:rStyle w:val="FootnoteReference"/>
          <w:rFonts w:asciiTheme="minorHAnsi" w:hAnsiTheme="minorHAnsi"/>
        </w:rPr>
        <w:footnoteRef/>
      </w:r>
      <w:r w:rsidRPr="00AF6A84">
        <w:rPr>
          <w:rFonts w:asciiTheme="minorHAnsi" w:hAnsiTheme="minorHAnsi"/>
        </w:rPr>
        <w:t xml:space="preserve"> </w:t>
      </w:r>
      <w:r w:rsidRPr="00211C18">
        <w:rPr>
          <w:rFonts w:asciiTheme="minorHAnsi" w:hAnsiTheme="minorHAnsi"/>
          <w:szCs w:val="22"/>
        </w:rPr>
        <w:t>PSNC Briefing: Building a business case for a Minor Ailment Service (July 2017)</w:t>
      </w:r>
    </w:p>
  </w:footnote>
  <w:footnote w:id="14">
    <w:p w14:paraId="7B4F74F6" w14:textId="77777777" w:rsidR="001A0081" w:rsidRPr="00211C18" w:rsidRDefault="001A0081" w:rsidP="001A0081">
      <w:pPr>
        <w:pStyle w:val="FootnoteText"/>
        <w:jc w:val="both"/>
        <w:rPr>
          <w:rFonts w:asciiTheme="minorHAnsi" w:hAnsiTheme="minorHAnsi"/>
        </w:rPr>
      </w:pPr>
      <w:r w:rsidRPr="00AF6A84">
        <w:rPr>
          <w:rStyle w:val="FootnoteReference"/>
          <w:rFonts w:asciiTheme="minorHAnsi" w:hAnsiTheme="minorHAnsi"/>
        </w:rPr>
        <w:footnoteRef/>
      </w:r>
      <w:r w:rsidRPr="00AF6A84">
        <w:rPr>
          <w:rFonts w:asciiTheme="minorHAnsi" w:hAnsiTheme="minorHAnsi"/>
        </w:rPr>
        <w:t xml:space="preserve"> </w:t>
      </w:r>
      <w:r w:rsidRPr="00211C18">
        <w:rPr>
          <w:rFonts w:asciiTheme="minorHAnsi" w:hAnsiTheme="minorHAnsi"/>
        </w:rPr>
        <w:t>Sewak NPS, Cairns J. A modelling analysis of the cost of a national minor ailments scheme in community pharmacies in England. IJPP (2011); 19 (S1): 50</w:t>
      </w:r>
    </w:p>
  </w:footnote>
  <w:footnote w:id="15">
    <w:p w14:paraId="3246EB64" w14:textId="77777777" w:rsidR="001A0081" w:rsidRPr="00AF6A84" w:rsidRDefault="001A0081" w:rsidP="001A0081">
      <w:pPr>
        <w:pStyle w:val="FootnoteText"/>
        <w:jc w:val="both"/>
        <w:rPr>
          <w:rFonts w:asciiTheme="minorHAnsi" w:hAnsiTheme="minorHAnsi"/>
          <w:color w:val="519680"/>
        </w:rPr>
      </w:pPr>
      <w:r w:rsidRPr="00AF6A84">
        <w:rPr>
          <w:rStyle w:val="FootnoteReference"/>
          <w:rFonts w:asciiTheme="minorHAnsi" w:hAnsiTheme="minorHAnsi"/>
        </w:rPr>
        <w:footnoteRef/>
      </w:r>
      <w:r w:rsidRPr="00AF6A84">
        <w:rPr>
          <w:rFonts w:asciiTheme="minorHAnsi" w:hAnsiTheme="minorHAnsi"/>
          <w:color w:val="519680"/>
        </w:rPr>
        <w:t xml:space="preserve"> </w:t>
      </w:r>
      <w:bookmarkStart w:id="4" w:name="_Hlk486853078"/>
      <w:r>
        <w:fldChar w:fldCharType="begin"/>
      </w:r>
      <w:r>
        <w:instrText xml:space="preserve"> HYPERLINK "http://webarchive.nationalarchives.gov.uk/20130107105354/http:/www.dh.gov.uk/prod_consum_dh/groups/dh_digitalassets/@dh/@en/documents/digitalasset/dh_083938.pdf" </w:instrText>
      </w:r>
      <w:r>
        <w:fldChar w:fldCharType="separate"/>
      </w:r>
      <w:r w:rsidRPr="00AF6A84">
        <w:rPr>
          <w:rStyle w:val="Hyperlink"/>
          <w:rFonts w:asciiTheme="minorHAnsi" w:hAnsiTheme="minorHAnsi"/>
          <w:color w:val="519680"/>
        </w:rPr>
        <w:t>Department of Health: Partial Impact Assessment of proposals to expand the provision of minor ailment services (2008)</w:t>
      </w:r>
      <w:r>
        <w:rPr>
          <w:rStyle w:val="Hyperlink"/>
          <w:rFonts w:asciiTheme="minorHAnsi" w:hAnsiTheme="minorHAnsi"/>
          <w:color w:val="519680"/>
        </w:rPr>
        <w:fldChar w:fldCharType="end"/>
      </w:r>
      <w:bookmarkEnd w:id="4"/>
      <w:r w:rsidRPr="00AF6A84">
        <w:rPr>
          <w:rFonts w:asciiTheme="minorHAnsi" w:hAnsiTheme="minorHAnsi"/>
          <w:color w:val="519680"/>
        </w:rPr>
        <w:t xml:space="preserve"> </w:t>
      </w:r>
    </w:p>
  </w:footnote>
  <w:footnote w:id="16">
    <w:p w14:paraId="65C13610" w14:textId="77777777" w:rsidR="001A0081" w:rsidRPr="00AF6A84" w:rsidRDefault="001A0081" w:rsidP="001A0081">
      <w:pPr>
        <w:pStyle w:val="FootnoteText"/>
        <w:jc w:val="both"/>
        <w:rPr>
          <w:rFonts w:asciiTheme="minorHAnsi" w:hAnsiTheme="minorHAnsi"/>
          <w:lang w:val="en-US"/>
        </w:rPr>
      </w:pPr>
      <w:r w:rsidRPr="00AF6A84">
        <w:rPr>
          <w:rStyle w:val="FootnoteReference"/>
          <w:rFonts w:asciiTheme="minorHAnsi" w:hAnsiTheme="minorHAnsi"/>
        </w:rPr>
        <w:footnoteRef/>
      </w:r>
      <w:r w:rsidRPr="00AF6A84">
        <w:rPr>
          <w:rFonts w:asciiTheme="minorHAnsi" w:hAnsiTheme="minorHAnsi"/>
        </w:rPr>
        <w:t xml:space="preserve"> </w:t>
      </w:r>
      <w:r w:rsidRPr="00211C18">
        <w:rPr>
          <w:rFonts w:asciiTheme="minorHAnsi" w:hAnsiTheme="minorHAnsi"/>
          <w:lang w:val="en-US"/>
        </w:rPr>
        <w:t xml:space="preserve">PharmOutcomes </w:t>
      </w:r>
      <w:r w:rsidRPr="00211C18">
        <w:rPr>
          <w:rFonts w:asciiTheme="minorHAnsi" w:hAnsiTheme="minorHAnsi"/>
          <w:szCs w:val="18"/>
          <w:lang w:val="en-US"/>
        </w:rPr>
        <w:t>i</w:t>
      </w:r>
      <w:r w:rsidRPr="00211C18">
        <w:rPr>
          <w:rFonts w:asciiTheme="minorHAnsi" w:hAnsiTheme="minorHAnsi" w:cs="Arial"/>
          <w:iCs/>
          <w:szCs w:val="18"/>
          <w:shd w:val="clear" w:color="auto" w:fill="FFFFFF"/>
        </w:rPr>
        <w:t xml:space="preserve">s a web-based system which helps community pharmacies provide services more effectively and makes it easier for commissioners to audit and manage these services. By collating information on pharmacy services, it allows local and national level analysis and reporting on the effectiveness of commissioned services, helping to improve the evidence base for community pharmacy services. </w:t>
      </w:r>
      <w:hyperlink r:id="rId13" w:history="1">
        <w:r w:rsidRPr="00AF6A84">
          <w:rPr>
            <w:rStyle w:val="Hyperlink"/>
            <w:rFonts w:asciiTheme="minorHAnsi" w:hAnsiTheme="minorHAnsi" w:cs="Arial"/>
            <w:color w:val="519680"/>
            <w:szCs w:val="18"/>
            <w:shd w:val="clear" w:color="auto" w:fill="FFFFFF"/>
          </w:rPr>
          <w:t>https://pharmoutcomes.org</w:t>
        </w:r>
      </w:hyperlink>
      <w:r w:rsidRPr="00AF6A84">
        <w:rPr>
          <w:rFonts w:asciiTheme="minorHAnsi" w:hAnsiTheme="minorHAnsi" w:cs="Arial"/>
          <w:i/>
          <w:iCs/>
          <w:color w:val="646363"/>
          <w:szCs w:val="18"/>
          <w:shd w:val="clear" w:color="auto" w:fill="FFFFFF"/>
        </w:rPr>
        <w:t xml:space="preserve"> </w:t>
      </w:r>
    </w:p>
  </w:footnote>
  <w:footnote w:id="17">
    <w:p w14:paraId="404402BE" w14:textId="77777777" w:rsidR="001A0081" w:rsidRDefault="001A0081" w:rsidP="001A0081">
      <w:pPr>
        <w:pStyle w:val="FootnoteText"/>
        <w:jc w:val="both"/>
        <w:rPr>
          <w:color w:val="519680"/>
          <w:lang w:val="en-US"/>
        </w:rPr>
      </w:pPr>
      <w:r w:rsidRPr="00AF6A84">
        <w:rPr>
          <w:rStyle w:val="FootnoteReference"/>
          <w:rFonts w:asciiTheme="minorHAnsi" w:hAnsiTheme="minorHAnsi"/>
        </w:rPr>
        <w:footnoteRef/>
      </w:r>
      <w:r w:rsidRPr="00AF6A84">
        <w:rPr>
          <w:rFonts w:asciiTheme="minorHAnsi" w:hAnsiTheme="minorHAnsi"/>
        </w:rPr>
        <w:t xml:space="preserve"> </w:t>
      </w:r>
      <w:hyperlink r:id="rId14" w:history="1">
        <w:r w:rsidRPr="006A6476">
          <w:rPr>
            <w:rStyle w:val="Hyperlink"/>
            <w:rFonts w:asciiTheme="minorHAnsi" w:hAnsiTheme="minorHAnsi"/>
            <w:color w:val="519680"/>
          </w:rPr>
          <w:t>PSNC Briefing 044/17: Analysis of Minor Ailment Services Data (July 2017)</w:t>
        </w:r>
      </w:hyperlink>
    </w:p>
  </w:footnote>
  <w:footnote w:id="18">
    <w:p w14:paraId="0C2A0154" w14:textId="77777777" w:rsidR="001A0081" w:rsidRPr="005D5010" w:rsidRDefault="001A0081" w:rsidP="001A0081">
      <w:pPr>
        <w:pStyle w:val="FootnoteText"/>
        <w:rPr>
          <w:rFonts w:asciiTheme="minorHAnsi" w:hAnsiTheme="minorHAnsi"/>
          <w:lang w:val="en-US"/>
        </w:rPr>
      </w:pPr>
      <w:r w:rsidRPr="005D5010">
        <w:rPr>
          <w:rStyle w:val="FootnoteReference"/>
          <w:rFonts w:asciiTheme="minorHAnsi" w:hAnsiTheme="minorHAnsi"/>
        </w:rPr>
        <w:footnoteRef/>
      </w:r>
      <w:r w:rsidRPr="005D5010">
        <w:rPr>
          <w:rFonts w:asciiTheme="minorHAnsi" w:hAnsiTheme="minorHAnsi"/>
        </w:rPr>
        <w:t xml:space="preserve"> </w:t>
      </w:r>
      <w:hyperlink r:id="rId15" w:history="1">
        <w:r w:rsidRPr="005D5010">
          <w:rPr>
            <w:rStyle w:val="Hyperlink"/>
            <w:rFonts w:asciiTheme="minorHAnsi" w:hAnsiTheme="minorHAnsi"/>
            <w:color w:val="519680"/>
            <w:szCs w:val="27"/>
          </w:rPr>
          <w:t xml:space="preserve">Bednall R, et al. Identification of patients attending accident and emergency who may be suitable for treatment by a pharmacist. Fam Pract </w:t>
        </w:r>
        <w:r>
          <w:rPr>
            <w:rStyle w:val="Hyperlink"/>
            <w:rFonts w:asciiTheme="minorHAnsi" w:hAnsiTheme="minorHAnsi"/>
            <w:color w:val="519680"/>
            <w:szCs w:val="27"/>
          </w:rPr>
          <w:t>(</w:t>
        </w:r>
        <w:r w:rsidRPr="005D5010">
          <w:rPr>
            <w:rStyle w:val="Hyperlink"/>
            <w:rFonts w:asciiTheme="minorHAnsi" w:hAnsiTheme="minorHAnsi"/>
            <w:color w:val="519680"/>
            <w:szCs w:val="27"/>
          </w:rPr>
          <w:t>2003</w:t>
        </w:r>
        <w:r>
          <w:rPr>
            <w:rStyle w:val="Hyperlink"/>
            <w:rFonts w:asciiTheme="minorHAnsi" w:hAnsiTheme="minorHAnsi"/>
            <w:color w:val="519680"/>
            <w:szCs w:val="27"/>
          </w:rPr>
          <w:t>)</w:t>
        </w:r>
        <w:r w:rsidRPr="005D5010">
          <w:rPr>
            <w:rStyle w:val="Hyperlink"/>
            <w:rFonts w:asciiTheme="minorHAnsi" w:hAnsiTheme="minorHAnsi"/>
            <w:color w:val="519680"/>
            <w:szCs w:val="27"/>
          </w:rPr>
          <w:t>; 20(1): 54–57</w:t>
        </w:r>
      </w:hyperlink>
    </w:p>
  </w:footnote>
  <w:footnote w:id="19">
    <w:p w14:paraId="42819FE0" w14:textId="77777777" w:rsidR="001A0081" w:rsidRDefault="001A0081" w:rsidP="001A0081">
      <w:pPr>
        <w:pStyle w:val="FootnoteText"/>
      </w:pPr>
      <w:r w:rsidRPr="002F0F76">
        <w:rPr>
          <w:rStyle w:val="FootnoteReference"/>
          <w:rFonts w:asciiTheme="minorHAnsi" w:hAnsiTheme="minorHAnsi"/>
        </w:rPr>
        <w:footnoteRef/>
      </w:r>
      <w:r w:rsidRPr="002F0F76">
        <w:rPr>
          <w:rFonts w:asciiTheme="minorHAnsi" w:hAnsiTheme="minorHAnsi"/>
        </w:rPr>
        <w:t xml:space="preserve"> </w:t>
      </w:r>
      <w:hyperlink r:id="rId16" w:history="1">
        <w:r w:rsidRPr="002F0F76">
          <w:rPr>
            <w:rStyle w:val="Hyperlink"/>
            <w:color w:val="519680"/>
          </w:rPr>
          <w:t>NHS England: Next steps on the NHS Five Year Forward View (March 2017)</w:t>
        </w:r>
      </w:hyperlink>
    </w:p>
  </w:footnote>
  <w:footnote w:id="20">
    <w:p w14:paraId="01DF1C3C" w14:textId="77777777" w:rsidR="001A0081" w:rsidRPr="00211C18" w:rsidRDefault="001A0081" w:rsidP="001A0081">
      <w:pPr>
        <w:pStyle w:val="FootnoteText"/>
        <w:rPr>
          <w:rFonts w:asciiTheme="minorHAnsi" w:hAnsiTheme="minorHAnsi"/>
        </w:rPr>
      </w:pPr>
      <w:r w:rsidRPr="005D5010">
        <w:rPr>
          <w:rStyle w:val="FootnoteReference"/>
          <w:rFonts w:asciiTheme="minorHAnsi" w:hAnsiTheme="minorHAnsi"/>
        </w:rPr>
        <w:footnoteRef/>
      </w:r>
      <w:r w:rsidRPr="005D5010">
        <w:rPr>
          <w:rFonts w:asciiTheme="minorHAnsi" w:hAnsiTheme="minorHAnsi"/>
        </w:rPr>
        <w:t xml:space="preserve"> </w:t>
      </w:r>
      <w:hyperlink r:id="rId17" w:history="1">
        <w:r w:rsidRPr="00962677">
          <w:rPr>
            <w:rStyle w:val="Hyperlink"/>
            <w:rFonts w:asciiTheme="minorHAnsi" w:hAnsiTheme="minorHAnsi"/>
            <w:color w:val="519680"/>
          </w:rPr>
          <w:t>NHS improvement: National tariff payment system 2017/18 and 2018/1</w:t>
        </w:r>
        <w:r>
          <w:rPr>
            <w:rStyle w:val="Hyperlink"/>
            <w:rFonts w:asciiTheme="minorHAnsi" w:hAnsiTheme="minorHAnsi"/>
            <w:color w:val="519680"/>
          </w:rPr>
          <w:t>9 (updated May 2017)</w:t>
        </w:r>
      </w:hyperlink>
      <w:r w:rsidRPr="00211C18">
        <w:rPr>
          <w:rFonts w:asciiTheme="minorHAnsi" w:hAnsiTheme="minorHAnsi"/>
        </w:rPr>
        <w:t>.</w:t>
      </w:r>
      <w:r w:rsidRPr="00962677">
        <w:rPr>
          <w:rFonts w:asciiTheme="minorHAnsi" w:hAnsiTheme="minorHAnsi"/>
          <w:color w:val="519680"/>
        </w:rPr>
        <w:t xml:space="preserve"> </w:t>
      </w:r>
      <w:r w:rsidRPr="00211C18">
        <w:rPr>
          <w:rFonts w:asciiTheme="minorHAnsi" w:hAnsiTheme="minorHAnsi"/>
        </w:rPr>
        <w:t>Lowest payment for an attendance at A&amp;E is £63.</w:t>
      </w:r>
    </w:p>
  </w:footnote>
  <w:footnote w:id="21">
    <w:p w14:paraId="674AE4B0" w14:textId="77777777" w:rsidR="001A0081" w:rsidRPr="00211C18" w:rsidRDefault="001A0081" w:rsidP="001A0081">
      <w:pPr>
        <w:pStyle w:val="FootnoteText"/>
        <w:rPr>
          <w:rFonts w:asciiTheme="minorHAnsi" w:hAnsiTheme="minorHAnsi"/>
        </w:rPr>
      </w:pPr>
      <w:r w:rsidRPr="00962677">
        <w:rPr>
          <w:rStyle w:val="FootnoteReference"/>
          <w:rFonts w:asciiTheme="minorHAnsi" w:hAnsiTheme="minorHAnsi"/>
        </w:rPr>
        <w:footnoteRef/>
      </w:r>
      <w:r w:rsidRPr="00962677">
        <w:rPr>
          <w:rFonts w:asciiTheme="minorHAnsi" w:hAnsiTheme="minorHAnsi"/>
        </w:rPr>
        <w:t xml:space="preserve"> </w:t>
      </w:r>
      <w:hyperlink r:id="rId18" w:history="1">
        <w:r w:rsidRPr="00962677">
          <w:rPr>
            <w:rStyle w:val="Hyperlink"/>
            <w:rFonts w:asciiTheme="minorHAnsi" w:hAnsiTheme="minorHAnsi"/>
            <w:color w:val="519680"/>
          </w:rPr>
          <w:t>Primary Care Foundation: Urgent Care Centres, what works best? (October 2012)</w:t>
        </w:r>
        <w:r w:rsidRPr="00211C18">
          <w:rPr>
            <w:rStyle w:val="Hyperlink"/>
            <w:rFonts w:asciiTheme="minorHAnsi" w:hAnsiTheme="minorHAnsi"/>
            <w:color w:val="auto"/>
            <w:u w:val="none"/>
          </w:rPr>
          <w:t>.</w:t>
        </w:r>
      </w:hyperlink>
      <w:r w:rsidRPr="00962677">
        <w:rPr>
          <w:rFonts w:asciiTheme="minorHAnsi" w:hAnsiTheme="minorHAnsi"/>
          <w:color w:val="519680"/>
        </w:rPr>
        <w:t xml:space="preserve"> </w:t>
      </w:r>
      <w:r w:rsidRPr="00211C18">
        <w:rPr>
          <w:rFonts w:asciiTheme="minorHAnsi" w:hAnsiTheme="minorHAnsi"/>
        </w:rPr>
        <w:t>A wide variation in cost per case was found, with most falling in the range from £28-£40. The median cost (£36) has been used for the above table.</w:t>
      </w:r>
    </w:p>
  </w:footnote>
  <w:footnote w:id="22">
    <w:p w14:paraId="3F342B4D" w14:textId="77777777" w:rsidR="001A0081" w:rsidRDefault="001A0081" w:rsidP="001A0081">
      <w:pPr>
        <w:pStyle w:val="FootnoteText"/>
      </w:pPr>
      <w:r w:rsidRPr="00962677">
        <w:rPr>
          <w:rStyle w:val="FootnoteReference"/>
          <w:rFonts w:asciiTheme="minorHAnsi" w:hAnsiTheme="minorHAnsi"/>
        </w:rPr>
        <w:footnoteRef/>
      </w:r>
      <w:r w:rsidRPr="00962677">
        <w:rPr>
          <w:rFonts w:asciiTheme="minorHAnsi" w:hAnsiTheme="minorHAnsi"/>
        </w:rPr>
        <w:t xml:space="preserve"> </w:t>
      </w:r>
      <w:hyperlink r:id="rId19" w:history="1">
        <w:r w:rsidRPr="00962677">
          <w:rPr>
            <w:rStyle w:val="Hyperlink"/>
            <w:rFonts w:asciiTheme="minorHAnsi" w:hAnsiTheme="minorHAnsi"/>
            <w:color w:val="519680"/>
          </w:rPr>
          <w:t>PSSRU: Unit costs of health and social care (2016)</w:t>
        </w:r>
      </w:hyperlink>
    </w:p>
  </w:footnote>
  <w:footnote w:id="23">
    <w:p w14:paraId="4F6E0103" w14:textId="77777777" w:rsidR="001A0081" w:rsidRPr="00A37666" w:rsidRDefault="001A0081" w:rsidP="001A0081">
      <w:pPr>
        <w:spacing w:after="0" w:line="240" w:lineRule="auto"/>
        <w:rPr>
          <w:rFonts w:cstheme="minorHAnsi"/>
          <w:lang w:val="en-US"/>
        </w:rPr>
      </w:pPr>
      <w:r w:rsidRPr="00211C18">
        <w:rPr>
          <w:rStyle w:val="FootnoteReference"/>
          <w:rFonts w:asciiTheme="minorHAnsi" w:hAnsiTheme="minorHAnsi" w:cstheme="minorHAnsi"/>
          <w:sz w:val="18"/>
        </w:rPr>
        <w:footnoteRef/>
      </w:r>
      <w:r w:rsidRPr="00A37666">
        <w:rPr>
          <w:rFonts w:cstheme="minorHAnsi"/>
          <w:sz w:val="18"/>
        </w:rPr>
        <w:t xml:space="preserve"> </w:t>
      </w:r>
      <w:bookmarkStart w:id="9" w:name="_Hlk474243101"/>
      <w:r w:rsidRPr="00A37666">
        <w:rPr>
          <w:rFonts w:cstheme="minorHAnsi"/>
          <w:sz w:val="18"/>
        </w:rPr>
        <w:fldChar w:fldCharType="begin"/>
      </w:r>
      <w:r w:rsidRPr="00211C18">
        <w:rPr>
          <w:rFonts w:cstheme="minorHAnsi"/>
          <w:sz w:val="18"/>
        </w:rPr>
        <w:instrText xml:space="preserve"> HYPERLINK "http://bmjopen.bmj.com/content/4/8/e005764" </w:instrText>
      </w:r>
      <w:r w:rsidRPr="00211C18">
        <w:rPr>
          <w:rFonts w:cstheme="minorHAnsi"/>
          <w:sz w:val="18"/>
        </w:rPr>
        <w:fldChar w:fldCharType="separate"/>
      </w:r>
      <w:r w:rsidRPr="00211C18">
        <w:rPr>
          <w:rStyle w:val="FootnoteReference"/>
          <w:rFonts w:asciiTheme="minorHAnsi" w:hAnsiTheme="minorHAnsi" w:cstheme="minorHAnsi"/>
          <w:color w:val="333333"/>
          <w:sz w:val="23"/>
          <w:szCs w:val="23"/>
          <w:lang w:val="en"/>
        </w:rPr>
        <w:t xml:space="preserve"> </w:t>
      </w:r>
      <w:r w:rsidRPr="00A37666">
        <w:rPr>
          <w:rStyle w:val="Hyperlink"/>
          <w:rFonts w:cstheme="minorHAnsi"/>
          <w:color w:val="519680"/>
          <w:sz w:val="20"/>
        </w:rPr>
        <w:t>Todd A, Copeland A, Husband A, et al. The positive pharmacy care law: an area-level analysis of the relationship between community pharmacy distribution, urbanity and social deprivation in England. BMJ Open (August 2014)</w:t>
      </w:r>
      <w:bookmarkEnd w:id="9"/>
      <w:r w:rsidRPr="00A37666">
        <w:rPr>
          <w:rFonts w:cstheme="minorHAnsi"/>
          <w:sz w:val="18"/>
        </w:rPr>
        <w:fldChar w:fldCharType="end"/>
      </w:r>
    </w:p>
  </w:footnote>
  <w:footnote w:id="24">
    <w:p w14:paraId="4A29BA56" w14:textId="77777777" w:rsidR="001A0081" w:rsidRPr="00AF6A84" w:rsidRDefault="001A0081" w:rsidP="001A0081">
      <w:pPr>
        <w:pStyle w:val="FootnoteText"/>
        <w:rPr>
          <w:color w:val="519680"/>
        </w:rPr>
      </w:pPr>
      <w:r w:rsidRPr="00211C18">
        <w:rPr>
          <w:rStyle w:val="FootnoteReference"/>
          <w:rFonts w:asciiTheme="minorHAnsi" w:hAnsiTheme="minorHAnsi" w:cstheme="minorHAnsi"/>
        </w:rPr>
        <w:footnoteRef/>
      </w:r>
      <w:r w:rsidRPr="00211C18">
        <w:rPr>
          <w:rFonts w:asciiTheme="minorHAnsi" w:hAnsiTheme="minorHAnsi" w:cstheme="minorHAnsi"/>
        </w:rPr>
        <w:t xml:space="preserve"> </w:t>
      </w:r>
      <w:hyperlink r:id="rId20" w:history="1">
        <w:r w:rsidRPr="00211C18">
          <w:rPr>
            <w:rStyle w:val="Hyperlink"/>
            <w:rFonts w:asciiTheme="minorHAnsi" w:hAnsiTheme="minorHAnsi" w:cstheme="minorHAnsi"/>
            <w:color w:val="519680"/>
          </w:rPr>
          <w:t>NHS Digital: Hospital Episode Statistics: Accident and Emergency Attendances - provider level analysis (March 2015)</w:t>
        </w:r>
      </w:hyperlink>
    </w:p>
  </w:footnote>
  <w:footnote w:id="25">
    <w:p w14:paraId="3DDE64D0" w14:textId="77777777" w:rsidR="001A0081" w:rsidRPr="00211C18" w:rsidRDefault="001A0081" w:rsidP="001A0081">
      <w:pPr>
        <w:pStyle w:val="FootnoteText"/>
        <w:rPr>
          <w:rFonts w:asciiTheme="minorHAnsi" w:hAnsiTheme="minorHAnsi" w:cstheme="minorHAnsi"/>
          <w:lang w:val="en-US"/>
        </w:rPr>
      </w:pPr>
      <w:r w:rsidRPr="00211C18">
        <w:rPr>
          <w:rStyle w:val="FootnoteReference"/>
          <w:rFonts w:asciiTheme="minorHAnsi" w:hAnsiTheme="minorHAnsi" w:cstheme="minorHAnsi"/>
        </w:rPr>
        <w:footnoteRef/>
      </w:r>
      <w:r w:rsidRPr="00211C18">
        <w:rPr>
          <w:rFonts w:asciiTheme="minorHAnsi" w:hAnsiTheme="minorHAnsi" w:cstheme="minorHAnsi"/>
        </w:rPr>
        <w:t xml:space="preserve"> </w:t>
      </w:r>
      <w:hyperlink r:id="rId21" w:history="1">
        <w:r w:rsidRPr="00211C18">
          <w:rPr>
            <w:rStyle w:val="Hyperlink"/>
            <w:rFonts w:asciiTheme="minorHAnsi" w:hAnsiTheme="minorHAnsi" w:cstheme="minorHAnsi"/>
            <w:color w:val="519680"/>
            <w:lang w:val="en-US"/>
          </w:rPr>
          <w:t>Monitor: Walk-in centre review – Final report and recommendations (February 2014)</w:t>
        </w:r>
      </w:hyperlink>
    </w:p>
  </w:footnote>
  <w:footnote w:id="26">
    <w:p w14:paraId="17CE44CD" w14:textId="77777777" w:rsidR="001A0081" w:rsidRDefault="001A0081" w:rsidP="001A0081">
      <w:pPr>
        <w:pStyle w:val="FootnoteText"/>
      </w:pPr>
      <w:r w:rsidRPr="00211C18">
        <w:rPr>
          <w:rStyle w:val="FootnoteReference"/>
          <w:rFonts w:asciiTheme="minorHAnsi" w:hAnsiTheme="minorHAnsi" w:cstheme="minorHAnsi"/>
        </w:rPr>
        <w:footnoteRef/>
      </w:r>
      <w:r w:rsidRPr="00211C18">
        <w:rPr>
          <w:rFonts w:asciiTheme="minorHAnsi" w:hAnsiTheme="minorHAnsi" w:cstheme="minorHAnsi"/>
        </w:rPr>
        <w:t xml:space="preserve"> </w:t>
      </w:r>
      <w:hyperlink r:id="rId22" w:history="1">
        <w:r w:rsidRPr="00211C18">
          <w:rPr>
            <w:rStyle w:val="Hyperlink"/>
            <w:rFonts w:asciiTheme="minorHAnsi" w:hAnsiTheme="minorHAnsi" w:cstheme="minorHAnsi"/>
            <w:color w:val="519680"/>
          </w:rPr>
          <w:t>NICE QIPP collection (accessed July 2017)</w:t>
        </w:r>
      </w:hyperlink>
    </w:p>
  </w:footnote>
  <w:footnote w:id="27">
    <w:p w14:paraId="5F3219A7" w14:textId="77777777" w:rsidR="001A0081" w:rsidRDefault="001A0081" w:rsidP="001A0081">
      <w:pPr>
        <w:pStyle w:val="FootnoteText"/>
      </w:pPr>
      <w:r w:rsidRPr="003452B6">
        <w:rPr>
          <w:rStyle w:val="FootnoteReference"/>
          <w:rFonts w:asciiTheme="minorHAnsi" w:hAnsiTheme="minorHAnsi"/>
        </w:rPr>
        <w:footnoteRef/>
      </w:r>
      <w:r w:rsidRPr="003452B6">
        <w:rPr>
          <w:rFonts w:asciiTheme="minorHAnsi" w:hAnsiTheme="minorHAnsi"/>
        </w:rPr>
        <w:t xml:space="preserve"> </w:t>
      </w:r>
      <w:hyperlink r:id="rId23" w:history="1">
        <w:r w:rsidRPr="009E5F1F">
          <w:rPr>
            <w:rStyle w:val="Hyperlink"/>
            <w:color w:val="519680"/>
          </w:rPr>
          <w:t>PAGB: Driving the self care agenda (2011)</w:t>
        </w:r>
      </w:hyperlink>
    </w:p>
  </w:footnote>
  <w:footnote w:id="28">
    <w:p w14:paraId="200F09D1" w14:textId="77777777" w:rsidR="001A0081" w:rsidRDefault="001A0081" w:rsidP="001A0081">
      <w:pPr>
        <w:pStyle w:val="FootnoteText"/>
      </w:pPr>
      <w:r w:rsidRPr="001800F9">
        <w:rPr>
          <w:rStyle w:val="FootnoteReference"/>
          <w:rFonts w:asciiTheme="minorHAnsi" w:hAnsiTheme="minorHAnsi"/>
        </w:rPr>
        <w:footnoteRef/>
      </w:r>
      <w:r>
        <w:t xml:space="preserve"> </w:t>
      </w:r>
      <w:hyperlink r:id="rId24" w:history="1">
        <w:r w:rsidRPr="001800F9">
          <w:rPr>
            <w:rStyle w:val="Hyperlink"/>
            <w:color w:val="519680"/>
          </w:rPr>
          <w:t>PSNC website – Minor Ailment Service</w:t>
        </w:r>
      </w:hyperlink>
    </w:p>
  </w:footnote>
  <w:footnote w:id="29">
    <w:p w14:paraId="7BF84AD9" w14:textId="77777777" w:rsidR="001A0081" w:rsidRDefault="001A0081" w:rsidP="001A0081">
      <w:pPr>
        <w:pStyle w:val="FootnoteText"/>
      </w:pPr>
      <w:r w:rsidRPr="001800F9">
        <w:rPr>
          <w:rStyle w:val="FootnoteReference"/>
          <w:rFonts w:asciiTheme="minorHAnsi" w:hAnsiTheme="minorHAnsi"/>
        </w:rPr>
        <w:footnoteRef/>
      </w:r>
      <w:r w:rsidRPr="001800F9">
        <w:rPr>
          <w:rFonts w:asciiTheme="minorHAnsi" w:hAnsiTheme="minorHAnsi"/>
        </w:rPr>
        <w:t xml:space="preserve"> </w:t>
      </w:r>
      <w:hyperlink r:id="rId25" w:history="1">
        <w:r w:rsidRPr="001800F9">
          <w:rPr>
            <w:rStyle w:val="Hyperlink"/>
            <w:color w:val="519680"/>
          </w:rPr>
          <w:t>PSNC Services Database</w:t>
        </w:r>
      </w:hyperlink>
    </w:p>
  </w:footnote>
  <w:footnote w:id="30">
    <w:p w14:paraId="7F5C624F" w14:textId="77777777" w:rsidR="001A0081" w:rsidRDefault="001A0081" w:rsidP="001A0081">
      <w:pPr>
        <w:pStyle w:val="FootnoteText"/>
      </w:pPr>
      <w:r w:rsidRPr="002F2E51">
        <w:rPr>
          <w:rStyle w:val="FootnoteReference"/>
        </w:rPr>
        <w:footnoteRef/>
      </w:r>
      <w:r w:rsidRPr="002F2E51">
        <w:t xml:space="preserve"> </w:t>
      </w:r>
      <w:hyperlink r:id="rId26" w:history="1">
        <w:r>
          <w:rPr>
            <w:rStyle w:val="Hyperlink"/>
            <w:color w:val="519680"/>
          </w:rPr>
          <w:t>Centre for Pharmacy Postgraduate Education: Declaration of Competence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151B" w14:textId="77777777" w:rsidR="005063C4" w:rsidRDefault="00D03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6B4D" w14:textId="5641F37B" w:rsidR="005063C4" w:rsidRDefault="00D03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E38E" w14:textId="77777777" w:rsidR="005063C4" w:rsidRDefault="00D0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479B8"/>
    <w:multiLevelType w:val="hybridMultilevel"/>
    <w:tmpl w:val="D46A694C"/>
    <w:lvl w:ilvl="0" w:tplc="E6A4DB96">
      <w:start w:val="1"/>
      <w:numFmt w:val="bullet"/>
      <w:lvlText w:val=""/>
      <w:lvlJc w:val="left"/>
      <w:pPr>
        <w:ind w:left="720" w:hanging="360"/>
      </w:pPr>
      <w:rPr>
        <w:rFonts w:ascii="Symbol" w:hAnsi="Symbol" w:hint="default"/>
        <w:color w:val="519680"/>
      </w:rPr>
    </w:lvl>
    <w:lvl w:ilvl="1" w:tplc="F1D04F2C">
      <w:numFmt w:val="bullet"/>
      <w:lvlText w:val="-"/>
      <w:lvlJc w:val="left"/>
      <w:pPr>
        <w:ind w:left="1440" w:hanging="360"/>
      </w:pPr>
      <w:rPr>
        <w:rFonts w:ascii="Calibri" w:eastAsiaTheme="minorHAnsi" w:hAnsi="Calibri" w:cstheme="minorBidi" w:hint="default"/>
        <w:color w:val="5196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A6303"/>
    <w:multiLevelType w:val="hybridMultilevel"/>
    <w:tmpl w:val="6638E1AC"/>
    <w:lvl w:ilvl="0" w:tplc="09CE8E60">
      <w:start w:val="1"/>
      <w:numFmt w:val="bullet"/>
      <w:lvlText w:val=""/>
      <w:lvlJc w:val="left"/>
      <w:pPr>
        <w:ind w:left="720" w:hanging="360"/>
      </w:pPr>
      <w:rPr>
        <w:rFonts w:ascii="Symbol" w:hAnsi="Symbol" w:hint="default"/>
        <w:color w:val="5196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E07D65"/>
    <w:multiLevelType w:val="hybridMultilevel"/>
    <w:tmpl w:val="D56ABDDA"/>
    <w:lvl w:ilvl="0" w:tplc="09CE8E60">
      <w:start w:val="1"/>
      <w:numFmt w:val="bullet"/>
      <w:lvlText w:val=""/>
      <w:lvlJc w:val="left"/>
      <w:pPr>
        <w:ind w:left="720" w:hanging="360"/>
      </w:pPr>
      <w:rPr>
        <w:rFonts w:ascii="Symbol" w:hAnsi="Symbol" w:hint="default"/>
        <w:color w:val="51968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B594E9B"/>
    <w:multiLevelType w:val="hybridMultilevel"/>
    <w:tmpl w:val="F62C9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81"/>
    <w:rsid w:val="00013E1A"/>
    <w:rsid w:val="0003074C"/>
    <w:rsid w:val="0003655B"/>
    <w:rsid w:val="00043DEB"/>
    <w:rsid w:val="00057B13"/>
    <w:rsid w:val="000A0C86"/>
    <w:rsid w:val="000A6946"/>
    <w:rsid w:val="000C30F3"/>
    <w:rsid w:val="000C5C4D"/>
    <w:rsid w:val="000F0EB7"/>
    <w:rsid w:val="000F77D3"/>
    <w:rsid w:val="00132B62"/>
    <w:rsid w:val="0014799F"/>
    <w:rsid w:val="00156520"/>
    <w:rsid w:val="00166449"/>
    <w:rsid w:val="00184ED1"/>
    <w:rsid w:val="001A0081"/>
    <w:rsid w:val="001D164D"/>
    <w:rsid w:val="001F3B4F"/>
    <w:rsid w:val="001F65F4"/>
    <w:rsid w:val="001F7EB7"/>
    <w:rsid w:val="00206513"/>
    <w:rsid w:val="00211C18"/>
    <w:rsid w:val="00222F17"/>
    <w:rsid w:val="002254BA"/>
    <w:rsid w:val="0024586B"/>
    <w:rsid w:val="00255F30"/>
    <w:rsid w:val="00297C66"/>
    <w:rsid w:val="002A206E"/>
    <w:rsid w:val="002B36A7"/>
    <w:rsid w:val="002C68DC"/>
    <w:rsid w:val="003045B7"/>
    <w:rsid w:val="00307A66"/>
    <w:rsid w:val="0031180E"/>
    <w:rsid w:val="003205F7"/>
    <w:rsid w:val="00323AD3"/>
    <w:rsid w:val="00332F09"/>
    <w:rsid w:val="00333CC1"/>
    <w:rsid w:val="00344CAF"/>
    <w:rsid w:val="00346928"/>
    <w:rsid w:val="00382CD1"/>
    <w:rsid w:val="003B506B"/>
    <w:rsid w:val="003D1195"/>
    <w:rsid w:val="003F0D8A"/>
    <w:rsid w:val="00474AC7"/>
    <w:rsid w:val="004821D6"/>
    <w:rsid w:val="004B333D"/>
    <w:rsid w:val="004C086C"/>
    <w:rsid w:val="004D281F"/>
    <w:rsid w:val="004E0BBD"/>
    <w:rsid w:val="004E72BE"/>
    <w:rsid w:val="00510F7E"/>
    <w:rsid w:val="0059312C"/>
    <w:rsid w:val="005A6441"/>
    <w:rsid w:val="005B2C52"/>
    <w:rsid w:val="005B7620"/>
    <w:rsid w:val="005C4386"/>
    <w:rsid w:val="00651F13"/>
    <w:rsid w:val="006576B8"/>
    <w:rsid w:val="006833AC"/>
    <w:rsid w:val="00693E10"/>
    <w:rsid w:val="006C0730"/>
    <w:rsid w:val="006C14A7"/>
    <w:rsid w:val="006E3BF0"/>
    <w:rsid w:val="0070640F"/>
    <w:rsid w:val="00730E32"/>
    <w:rsid w:val="00742914"/>
    <w:rsid w:val="00746193"/>
    <w:rsid w:val="00752D30"/>
    <w:rsid w:val="00752F00"/>
    <w:rsid w:val="007558FC"/>
    <w:rsid w:val="007645BE"/>
    <w:rsid w:val="00764789"/>
    <w:rsid w:val="0076599F"/>
    <w:rsid w:val="007700C7"/>
    <w:rsid w:val="007856F8"/>
    <w:rsid w:val="00794246"/>
    <w:rsid w:val="00796C23"/>
    <w:rsid w:val="007E0160"/>
    <w:rsid w:val="007F586C"/>
    <w:rsid w:val="0081718A"/>
    <w:rsid w:val="008362A4"/>
    <w:rsid w:val="00844395"/>
    <w:rsid w:val="0084735F"/>
    <w:rsid w:val="00852E48"/>
    <w:rsid w:val="00857232"/>
    <w:rsid w:val="008A7125"/>
    <w:rsid w:val="008A77A6"/>
    <w:rsid w:val="008D3114"/>
    <w:rsid w:val="008D7391"/>
    <w:rsid w:val="008E4E26"/>
    <w:rsid w:val="008F3F34"/>
    <w:rsid w:val="008F674D"/>
    <w:rsid w:val="00910120"/>
    <w:rsid w:val="009176BC"/>
    <w:rsid w:val="00920EFD"/>
    <w:rsid w:val="00940AE0"/>
    <w:rsid w:val="009462B2"/>
    <w:rsid w:val="0099219E"/>
    <w:rsid w:val="009A0062"/>
    <w:rsid w:val="009D556B"/>
    <w:rsid w:val="009E5873"/>
    <w:rsid w:val="009E6A31"/>
    <w:rsid w:val="009F0E1D"/>
    <w:rsid w:val="00A06AE8"/>
    <w:rsid w:val="00A07E98"/>
    <w:rsid w:val="00A11F6F"/>
    <w:rsid w:val="00A169C1"/>
    <w:rsid w:val="00A255BA"/>
    <w:rsid w:val="00A37666"/>
    <w:rsid w:val="00A4603E"/>
    <w:rsid w:val="00A50D10"/>
    <w:rsid w:val="00A5433D"/>
    <w:rsid w:val="00A62185"/>
    <w:rsid w:val="00A7745F"/>
    <w:rsid w:val="00A94758"/>
    <w:rsid w:val="00A968E2"/>
    <w:rsid w:val="00AA2304"/>
    <w:rsid w:val="00AA3F68"/>
    <w:rsid w:val="00AE5C94"/>
    <w:rsid w:val="00AE63B1"/>
    <w:rsid w:val="00AF000C"/>
    <w:rsid w:val="00B057C8"/>
    <w:rsid w:val="00B32D27"/>
    <w:rsid w:val="00B3555D"/>
    <w:rsid w:val="00B35664"/>
    <w:rsid w:val="00B539F5"/>
    <w:rsid w:val="00B86E95"/>
    <w:rsid w:val="00BB03F4"/>
    <w:rsid w:val="00BB3C10"/>
    <w:rsid w:val="00BB52FC"/>
    <w:rsid w:val="00BC68AB"/>
    <w:rsid w:val="00BD7E35"/>
    <w:rsid w:val="00BE20AE"/>
    <w:rsid w:val="00C26CE8"/>
    <w:rsid w:val="00CA335F"/>
    <w:rsid w:val="00CD1230"/>
    <w:rsid w:val="00CD220B"/>
    <w:rsid w:val="00CD4C5E"/>
    <w:rsid w:val="00CE2FA2"/>
    <w:rsid w:val="00D62999"/>
    <w:rsid w:val="00D90F00"/>
    <w:rsid w:val="00D945F6"/>
    <w:rsid w:val="00DC7894"/>
    <w:rsid w:val="00DC7B77"/>
    <w:rsid w:val="00DF697E"/>
    <w:rsid w:val="00E1271B"/>
    <w:rsid w:val="00E14EF5"/>
    <w:rsid w:val="00E235D2"/>
    <w:rsid w:val="00E41453"/>
    <w:rsid w:val="00E44275"/>
    <w:rsid w:val="00E5403D"/>
    <w:rsid w:val="00E67DC4"/>
    <w:rsid w:val="00E71E5E"/>
    <w:rsid w:val="00E95860"/>
    <w:rsid w:val="00ED31CC"/>
    <w:rsid w:val="00EF73C7"/>
    <w:rsid w:val="00F05C9A"/>
    <w:rsid w:val="00F064A7"/>
    <w:rsid w:val="00F32BC7"/>
    <w:rsid w:val="00F65B0A"/>
    <w:rsid w:val="00F72125"/>
    <w:rsid w:val="00F810D0"/>
    <w:rsid w:val="00F8614D"/>
    <w:rsid w:val="00FA77E1"/>
    <w:rsid w:val="00FB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ED786"/>
  <w15:chartTrackingRefBased/>
  <w15:docId w15:val="{D95FC051-9409-4C97-8F98-8C881945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06E"/>
    <w:pPr>
      <w:spacing w:after="200" w:line="276" w:lineRule="auto"/>
    </w:pPr>
  </w:style>
  <w:style w:type="paragraph" w:styleId="Heading1">
    <w:name w:val="heading 1"/>
    <w:basedOn w:val="Normal"/>
    <w:next w:val="Normal"/>
    <w:link w:val="Heading1Char"/>
    <w:uiPriority w:val="9"/>
    <w:qFormat/>
    <w:rsid w:val="001A008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1A0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1A00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08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1A00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A008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A0081"/>
    <w:rPr>
      <w:color w:val="0000FF"/>
      <w:u w:val="single"/>
    </w:rPr>
  </w:style>
  <w:style w:type="paragraph" w:styleId="FootnoteText">
    <w:name w:val="footnote text"/>
    <w:basedOn w:val="Normal"/>
    <w:link w:val="FootnoteTextChar"/>
    <w:uiPriority w:val="99"/>
    <w:semiHidden/>
    <w:unhideWhenUsed/>
    <w:rsid w:val="001A008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A0081"/>
    <w:rPr>
      <w:rFonts w:ascii="Calibri" w:eastAsia="Calibri" w:hAnsi="Calibri" w:cs="Times New Roman"/>
      <w:sz w:val="20"/>
      <w:szCs w:val="20"/>
    </w:rPr>
  </w:style>
  <w:style w:type="paragraph" w:styleId="Header">
    <w:name w:val="header"/>
    <w:basedOn w:val="Normal"/>
    <w:link w:val="HeaderChar"/>
    <w:uiPriority w:val="99"/>
    <w:unhideWhenUsed/>
    <w:rsid w:val="001A0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81"/>
  </w:style>
  <w:style w:type="paragraph" w:styleId="Footer">
    <w:name w:val="footer"/>
    <w:basedOn w:val="Normal"/>
    <w:link w:val="FooterChar"/>
    <w:uiPriority w:val="99"/>
    <w:unhideWhenUsed/>
    <w:rsid w:val="001A0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81"/>
  </w:style>
  <w:style w:type="paragraph" w:styleId="NoSpacing">
    <w:name w:val="No Spacing"/>
    <w:uiPriority w:val="1"/>
    <w:qFormat/>
    <w:rsid w:val="001A0081"/>
    <w:pPr>
      <w:spacing w:after="0" w:line="240" w:lineRule="auto"/>
    </w:pPr>
    <w:rPr>
      <w:rFonts w:ascii="Calibri" w:eastAsia="Calibri" w:hAnsi="Calibri" w:cs="Times New Roman"/>
      <w:color w:val="595959"/>
    </w:rPr>
  </w:style>
  <w:style w:type="paragraph" w:styleId="ListParagraph">
    <w:name w:val="List Paragraph"/>
    <w:basedOn w:val="Normal"/>
    <w:uiPriority w:val="34"/>
    <w:qFormat/>
    <w:rsid w:val="001A0081"/>
    <w:pPr>
      <w:ind w:left="720"/>
      <w:contextualSpacing/>
    </w:pPr>
  </w:style>
  <w:style w:type="character" w:styleId="FootnoteReference">
    <w:name w:val="footnote reference"/>
    <w:basedOn w:val="DefaultParagraphFont"/>
    <w:uiPriority w:val="99"/>
    <w:semiHidden/>
    <w:unhideWhenUsed/>
    <w:rsid w:val="001A0081"/>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1A0081"/>
    <w:rPr>
      <w:sz w:val="16"/>
      <w:szCs w:val="16"/>
    </w:rPr>
  </w:style>
  <w:style w:type="character" w:styleId="SubtleEmphasis">
    <w:name w:val="Subtle Emphasis"/>
    <w:uiPriority w:val="19"/>
    <w:qFormat/>
    <w:rsid w:val="001A0081"/>
    <w:rPr>
      <w:rFonts w:ascii="Calibri" w:hAnsi="Calibri" w:hint="default"/>
      <w:i/>
      <w:iCs/>
      <w:color w:val="808080"/>
    </w:rPr>
  </w:style>
  <w:style w:type="character" w:customStyle="1" w:styleId="apple-converted-space">
    <w:name w:val="apple-converted-space"/>
    <w:basedOn w:val="DefaultParagraphFont"/>
    <w:rsid w:val="001A0081"/>
  </w:style>
  <w:style w:type="character" w:styleId="LineNumber">
    <w:name w:val="line number"/>
    <w:basedOn w:val="DefaultParagraphFont"/>
    <w:uiPriority w:val="99"/>
    <w:semiHidden/>
    <w:unhideWhenUsed/>
    <w:rsid w:val="001A0081"/>
  </w:style>
  <w:style w:type="paragraph" w:styleId="BalloonText">
    <w:name w:val="Balloon Text"/>
    <w:basedOn w:val="Normal"/>
    <w:link w:val="BalloonTextChar"/>
    <w:uiPriority w:val="99"/>
    <w:semiHidden/>
    <w:unhideWhenUsed/>
    <w:rsid w:val="004E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BD"/>
    <w:rPr>
      <w:rFonts w:ascii="Segoe UI" w:hAnsi="Segoe UI" w:cs="Segoe UI"/>
      <w:sz w:val="18"/>
      <w:szCs w:val="18"/>
    </w:rPr>
  </w:style>
  <w:style w:type="character" w:styleId="UnresolvedMention">
    <w:name w:val="Unresolved Mention"/>
    <w:basedOn w:val="DefaultParagraphFont"/>
    <w:uiPriority w:val="99"/>
    <w:semiHidden/>
    <w:unhideWhenUsed/>
    <w:rsid w:val="00693E10"/>
    <w:rPr>
      <w:color w:val="808080"/>
      <w:shd w:val="clear" w:color="auto" w:fill="E6E6E6"/>
    </w:rPr>
  </w:style>
  <w:style w:type="character" w:styleId="FollowedHyperlink">
    <w:name w:val="FollowedHyperlink"/>
    <w:basedOn w:val="DefaultParagraphFont"/>
    <w:uiPriority w:val="99"/>
    <w:semiHidden/>
    <w:unhideWhenUsed/>
    <w:rsid w:val="005A6441"/>
    <w:rPr>
      <w:color w:val="954F72" w:themeColor="followedHyperlink"/>
      <w:u w:val="single"/>
    </w:rPr>
  </w:style>
  <w:style w:type="paragraph" w:styleId="CommentText">
    <w:name w:val="annotation text"/>
    <w:basedOn w:val="Normal"/>
    <w:link w:val="CommentTextChar"/>
    <w:uiPriority w:val="99"/>
    <w:semiHidden/>
    <w:unhideWhenUsed/>
    <w:rsid w:val="008F3F34"/>
    <w:pPr>
      <w:spacing w:line="240" w:lineRule="auto"/>
    </w:pPr>
    <w:rPr>
      <w:sz w:val="20"/>
      <w:szCs w:val="20"/>
    </w:rPr>
  </w:style>
  <w:style w:type="character" w:customStyle="1" w:styleId="CommentTextChar">
    <w:name w:val="Comment Text Char"/>
    <w:basedOn w:val="DefaultParagraphFont"/>
    <w:link w:val="CommentText"/>
    <w:uiPriority w:val="99"/>
    <w:semiHidden/>
    <w:rsid w:val="008F3F34"/>
    <w:rPr>
      <w:sz w:val="20"/>
      <w:szCs w:val="20"/>
    </w:rPr>
  </w:style>
  <w:style w:type="paragraph" w:styleId="CommentSubject">
    <w:name w:val="annotation subject"/>
    <w:basedOn w:val="CommentText"/>
    <w:next w:val="CommentText"/>
    <w:link w:val="CommentSubjectChar"/>
    <w:uiPriority w:val="99"/>
    <w:semiHidden/>
    <w:unhideWhenUsed/>
    <w:rsid w:val="008F3F34"/>
    <w:rPr>
      <w:b/>
      <w:bCs/>
    </w:rPr>
  </w:style>
  <w:style w:type="character" w:customStyle="1" w:styleId="CommentSubjectChar">
    <w:name w:val="Comment Subject Char"/>
    <w:basedOn w:val="CommentTextChar"/>
    <w:link w:val="CommentSubject"/>
    <w:uiPriority w:val="99"/>
    <w:semiHidden/>
    <w:rsid w:val="008F3F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snc.org.uk/services-commissioning/commissioning-toolkit-program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content.digital.nhs.uk/catalogue/PUB13040" TargetMode="External"/><Relationship Id="rId13" Type="http://schemas.openxmlformats.org/officeDocument/2006/relationships/hyperlink" Target="https://pharmoutcomes.org" TargetMode="External"/><Relationship Id="rId18" Type="http://schemas.openxmlformats.org/officeDocument/2006/relationships/hyperlink" Target="https://www.primarycarefoundation.co.uk/images/PrimaryCareFoundation/Downloading_Reports/Reports_and_Articles/Urgent_Care_Centres/Urgent_Care_Centres.pdf" TargetMode="External"/><Relationship Id="rId26" Type="http://schemas.openxmlformats.org/officeDocument/2006/relationships/hyperlink" Target="https://www.cppe.ac.uk/services/declaration-of-competence" TargetMode="External"/><Relationship Id="rId3" Type="http://schemas.openxmlformats.org/officeDocument/2006/relationships/hyperlink" Target="http://psnc.org.uk/wp-content/uploads/2013/07/PAGB_and_PSNC_paper_on_minor_ailments.pdf" TargetMode="External"/><Relationship Id="rId21" Type="http://schemas.openxmlformats.org/officeDocument/2006/relationships/hyperlink" Target="https://www.gov.uk/government/uploads/system/uploads/attachment_data/file/283778/WalkInCentreFinalReportFeb14.pdf" TargetMode="External"/><Relationship Id="rId7" Type="http://schemas.openxmlformats.org/officeDocument/2006/relationships/hyperlink" Target="http://gp-survey-production.s3.amazonaws.com/archive/2014/July/1301375001_Y8W2%20National%20Summary%20Report_FINAL%20v1.pdf" TargetMode="External"/><Relationship Id="rId12" Type="http://schemas.openxmlformats.org/officeDocument/2006/relationships/hyperlink" Target="http://www.wales.nhs.uk/nwis/news/40665" TargetMode="External"/><Relationship Id="rId17" Type="http://schemas.openxmlformats.org/officeDocument/2006/relationships/hyperlink" Target="https://improvement.nhs.uk/resources/national-tariff-1719/" TargetMode="External"/><Relationship Id="rId25" Type="http://schemas.openxmlformats.org/officeDocument/2006/relationships/hyperlink" Target="http://psnc.org.uk/services-commissioning/services-database/" TargetMode="External"/><Relationship Id="rId2" Type="http://schemas.openxmlformats.org/officeDocument/2006/relationships/hyperlink" Target="https://www.ncbi.nlm.nih.gov/pmc/articles/PMC3693804/" TargetMode="External"/><Relationship Id="rId16" Type="http://schemas.openxmlformats.org/officeDocument/2006/relationships/hyperlink" Target="https://www.england.nhs.uk/publication/next-steps-on-the-nhs-five-year-forward-view/" TargetMode="External"/><Relationship Id="rId20" Type="http://schemas.openxmlformats.org/officeDocument/2006/relationships/hyperlink" Target="https://data.gov.uk/dataset/accident_and_emergency_attendances_in_england_experimental_statistics" TargetMode="External"/><Relationship Id="rId1" Type="http://schemas.openxmlformats.org/officeDocument/2006/relationships/hyperlink" Target="http://webarchive.nationalarchives.gov.uk/+/www.dh.gov.uk/en/Publicationsandstatistics/Publications/PublicationsPolicyAndGuidance/DH_4005917" TargetMode="External"/><Relationship Id="rId6" Type="http://schemas.openxmlformats.org/officeDocument/2006/relationships/hyperlink" Target="https://www.kingsfund.org.uk/publications/pressures-in-general-practice" TargetMode="External"/><Relationship Id="rId11" Type="http://schemas.openxmlformats.org/officeDocument/2006/relationships/hyperlink" Target="http://www.gov.scot/Publications/2006/06/26102829/1" TargetMode="External"/><Relationship Id="rId24" Type="http://schemas.openxmlformats.org/officeDocument/2006/relationships/hyperlink" Target="http://psnc.org.uk/services-commissioning/locally-commissioned-services/en8-minor-ailments-service/" TargetMode="External"/><Relationship Id="rId5" Type="http://schemas.openxmlformats.org/officeDocument/2006/relationships/hyperlink" Target="http://www.selfcareforum.org/about-us/what-do-we-mean-by-self-care-and-why-is-good-for-people/" TargetMode="External"/><Relationship Id="rId15" Type="http://schemas.openxmlformats.org/officeDocument/2006/relationships/hyperlink" Target="https://academic.oup.com/fampra/article/20/1/54/498917/Identification-of-patients-attending-Accident-and" TargetMode="External"/><Relationship Id="rId23" Type="http://schemas.openxmlformats.org/officeDocument/2006/relationships/hyperlink" Target="http://www.selfcareforum.org/wp-content/uploads/2011/07/AndyTismanarticle.pdf" TargetMode="External"/><Relationship Id="rId10" Type="http://schemas.openxmlformats.org/officeDocument/2006/relationships/hyperlink" Target="https://www.kingsfund.org.uk/projects/urgent-emergency-care/urgent-and-emergency-care-mythbusters" TargetMode="External"/><Relationship Id="rId19" Type="http://schemas.openxmlformats.org/officeDocument/2006/relationships/hyperlink" Target="http://www.pssru.ac.uk/project-pages/unit-costs/2016/index.php" TargetMode="External"/><Relationship Id="rId4" Type="http://schemas.openxmlformats.org/officeDocument/2006/relationships/hyperlink" Target="http://www.england.nhs.uk/wp-content/uploads/2013/06/urg-emerg-care-ev-bse.pdf" TargetMode="External"/><Relationship Id="rId9" Type="http://schemas.openxmlformats.org/officeDocument/2006/relationships/hyperlink" Target="https://www.publications.parliament.uk/pa/cm201516/cmselect/cmpubacc/673/673.pdf" TargetMode="External"/><Relationship Id="rId14" Type="http://schemas.openxmlformats.org/officeDocument/2006/relationships/hyperlink" Target="http://psnc.org.uk/services-commissioning/psnc-briefings-services-and-commissioning/psnc-briefing-04417-analysis-of-minor-ailment-services-data-july-2017/" TargetMode="External"/><Relationship Id="rId22" Type="http://schemas.openxmlformats.org/officeDocument/2006/relationships/hyperlink" Target="https://www.evidence.nhs.uk/qi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1CA5-BA13-45D9-9459-5E8FFA1DE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A5353-87C0-46DC-947D-804D436E2F73}">
  <ds:schemaRefs>
    <ds:schemaRef ds:uri="http://schemas.microsoft.com/sharepoint/v3/contenttype/forms"/>
  </ds:schemaRefs>
</ds:datastoreItem>
</file>

<file path=customXml/itemProps3.xml><?xml version="1.0" encoding="utf-8"?>
<ds:datastoreItem xmlns:ds="http://schemas.openxmlformats.org/officeDocument/2006/customXml" ds:itemID="{29DF09CA-B847-4B25-93BD-A12BC961E4A8}">
  <ds:schemaRefs>
    <ds:schemaRef ds:uri="http://schemas.openxmlformats.org/package/2006/metadata/core-properties"/>
    <ds:schemaRef ds:uri="1c7d3551-5694-4f12-b35a-d9a7a462ea4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18753c5-2901-411e-a100-706a3d27800e"/>
    <ds:schemaRef ds:uri="http://www.w3.org/XML/1998/namespace"/>
    <ds:schemaRef ds:uri="http://purl.org/dc/dcmitype/"/>
  </ds:schemaRefs>
</ds:datastoreItem>
</file>

<file path=customXml/itemProps4.xml><?xml version="1.0" encoding="utf-8"?>
<ds:datastoreItem xmlns:ds="http://schemas.openxmlformats.org/officeDocument/2006/customXml" ds:itemID="{6B1229C7-8244-49FB-8176-4814A4D0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james</dc:creator>
  <cp:keywords/>
  <dc:description/>
  <cp:lastModifiedBy>vicki james</cp:lastModifiedBy>
  <cp:revision>2</cp:revision>
  <dcterms:created xsi:type="dcterms:W3CDTF">2018-04-09T14:33:00Z</dcterms:created>
  <dcterms:modified xsi:type="dcterms:W3CDTF">2018-04-09T14:33:00Z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