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9EC6" w14:textId="434BFB39" w:rsidR="00925515" w:rsidRPr="00DD68CC" w:rsidRDefault="00925515" w:rsidP="00F30694">
      <w:pPr>
        <w:spacing w:after="0" w:line="240" w:lineRule="auto"/>
        <w:ind w:left="-284"/>
        <w:jc w:val="both"/>
        <w:rPr>
          <w:b/>
          <w:color w:val="519680"/>
          <w:sz w:val="36"/>
        </w:rPr>
      </w:pPr>
      <w:r w:rsidRPr="00DD68CC">
        <w:rPr>
          <w:b/>
          <w:color w:val="519680"/>
          <w:sz w:val="36"/>
        </w:rPr>
        <w:t xml:space="preserve">Commissioning a Minor </w:t>
      </w:r>
      <w:r w:rsidRPr="009159F6">
        <w:rPr>
          <w:b/>
          <w:color w:val="519680"/>
          <w:sz w:val="36"/>
        </w:rPr>
        <w:t>Ailment Service</w:t>
      </w:r>
      <w:r w:rsidRPr="00DD68CC">
        <w:rPr>
          <w:b/>
          <w:color w:val="519680"/>
          <w:sz w:val="36"/>
        </w:rPr>
        <w:t>: Implementation Plan</w:t>
      </w:r>
    </w:p>
    <w:p w14:paraId="2110E5B4" w14:textId="77777777" w:rsidR="00925515" w:rsidRPr="00DD68CC" w:rsidRDefault="00925515" w:rsidP="00F30694">
      <w:pPr>
        <w:spacing w:after="0" w:line="240" w:lineRule="auto"/>
        <w:ind w:left="-284"/>
        <w:jc w:val="both"/>
      </w:pPr>
    </w:p>
    <w:p w14:paraId="2048E0B7" w14:textId="6014D3E2" w:rsidR="00925515" w:rsidRPr="00DD68CC" w:rsidRDefault="00925515" w:rsidP="00F30694">
      <w:pPr>
        <w:spacing w:after="0" w:line="240" w:lineRule="auto"/>
        <w:ind w:left="-284"/>
        <w:jc w:val="both"/>
      </w:pPr>
      <w:r w:rsidRPr="00DD68CC">
        <w:t xml:space="preserve">This implementation plan can be used as a </w:t>
      </w:r>
      <w:r w:rsidR="00853A0D">
        <w:t>“</w:t>
      </w:r>
      <w:r w:rsidRPr="00DD68CC">
        <w:t>how to guide</w:t>
      </w:r>
      <w:r w:rsidR="00853A0D">
        <w:t>”</w:t>
      </w:r>
      <w:r w:rsidRPr="00DD68CC">
        <w:t xml:space="preserve"> by commissioners who want to rapidly commission a community pharmacy Minor Ailment</w:t>
      </w:r>
      <w:r w:rsidR="00733CB2">
        <w:t>s</w:t>
      </w:r>
      <w:r w:rsidRPr="00DD68CC">
        <w:t xml:space="preserve"> Service.</w:t>
      </w:r>
    </w:p>
    <w:p w14:paraId="26E19A68" w14:textId="77777777" w:rsidR="00925515" w:rsidRPr="00DD68CC" w:rsidRDefault="00925515" w:rsidP="00F30694">
      <w:pPr>
        <w:spacing w:after="0" w:line="240" w:lineRule="auto"/>
        <w:ind w:left="-284"/>
        <w:jc w:val="both"/>
      </w:pPr>
    </w:p>
    <w:p w14:paraId="37ED5E06" w14:textId="34A33F34" w:rsidR="00925515" w:rsidRPr="00DD68CC" w:rsidRDefault="00925515" w:rsidP="00F30694">
      <w:pPr>
        <w:spacing w:after="0" w:line="240" w:lineRule="auto"/>
        <w:ind w:left="-284"/>
        <w:jc w:val="both"/>
      </w:pPr>
      <w:r w:rsidRPr="00DD68CC">
        <w:t xml:space="preserve">The implementation plan outlines steps to be taken once a decision is made to commission the service. </w:t>
      </w:r>
      <w:r w:rsidR="006C45AC">
        <w:t xml:space="preserve">Should the service include </w:t>
      </w:r>
      <w:r w:rsidR="005E73C0">
        <w:t>electronic referral</w:t>
      </w:r>
      <w:r w:rsidR="00487C4F">
        <w:t xml:space="preserve">, for example from the NHS 111 provider, additional </w:t>
      </w:r>
      <w:r w:rsidR="0047228C">
        <w:t>steps will need to be included into section 1</w:t>
      </w:r>
      <w:r w:rsidR="00C10444">
        <w:t>: Starting points</w:t>
      </w:r>
      <w:r w:rsidR="00697CA9">
        <w:t>,</w:t>
      </w:r>
      <w:r w:rsidR="00DC4A2A">
        <w:t xml:space="preserve"> </w:t>
      </w:r>
      <w:r w:rsidR="00C10444">
        <w:t xml:space="preserve">to ensure a robust pathway and system interoperability </w:t>
      </w:r>
      <w:r w:rsidR="00657CEB">
        <w:t>have been developed and tested.</w:t>
      </w:r>
    </w:p>
    <w:p w14:paraId="283CE8A5" w14:textId="77777777" w:rsidR="00925515" w:rsidRPr="00DD68CC" w:rsidRDefault="00925515" w:rsidP="00F30694">
      <w:pPr>
        <w:spacing w:after="0" w:line="240" w:lineRule="auto"/>
        <w:ind w:left="-284"/>
        <w:jc w:val="both"/>
        <w:rPr>
          <w:b/>
          <w:color w:val="519680"/>
        </w:rPr>
      </w:pPr>
    </w:p>
    <w:p w14:paraId="43B5BAF6" w14:textId="77777777" w:rsidR="00925515" w:rsidRPr="00DD68CC" w:rsidRDefault="00925515" w:rsidP="00F30694">
      <w:pPr>
        <w:spacing w:after="0" w:line="240" w:lineRule="auto"/>
        <w:ind w:left="-284"/>
        <w:jc w:val="both"/>
        <w:rPr>
          <w:b/>
          <w:color w:val="519680"/>
          <w:sz w:val="28"/>
        </w:rPr>
      </w:pPr>
      <w:r w:rsidRPr="00DD68CC">
        <w:rPr>
          <w:b/>
          <w:color w:val="519680"/>
          <w:sz w:val="28"/>
        </w:rPr>
        <w:t>Local NHS England teams</w:t>
      </w:r>
    </w:p>
    <w:p w14:paraId="2DD251F9" w14:textId="77777777" w:rsidR="00925515" w:rsidRPr="00DD68CC" w:rsidRDefault="00925515" w:rsidP="00F30694">
      <w:pPr>
        <w:spacing w:after="0" w:line="240" w:lineRule="auto"/>
        <w:ind w:left="-284"/>
        <w:jc w:val="both"/>
      </w:pPr>
      <w:r w:rsidRPr="00DD68CC">
        <w:t xml:space="preserve">When commissioning pharmaceutical Enhanced Services, local NHS England teams are reminded that they must consult with the Local Pharmaceutical Committee (LPC) for any area in which the service is to be provided. Local NHS England teams also have an obligation to publish any remuneration determinations. </w:t>
      </w:r>
    </w:p>
    <w:p w14:paraId="789F98CB" w14:textId="77777777" w:rsidR="00925515" w:rsidRPr="00DD68CC" w:rsidRDefault="00925515" w:rsidP="00F30694">
      <w:pPr>
        <w:spacing w:after="0" w:line="240" w:lineRule="auto"/>
        <w:ind w:left="-284"/>
        <w:jc w:val="both"/>
      </w:pPr>
    </w:p>
    <w:p w14:paraId="1DB58DB2" w14:textId="77777777" w:rsidR="00925515" w:rsidRPr="00DD68CC" w:rsidRDefault="00925515" w:rsidP="00F30694">
      <w:pPr>
        <w:spacing w:after="0" w:line="240" w:lineRule="auto"/>
        <w:ind w:left="-284"/>
        <w:jc w:val="both"/>
        <w:rPr>
          <w:b/>
          <w:color w:val="519680"/>
          <w:sz w:val="28"/>
        </w:rPr>
      </w:pPr>
      <w:r w:rsidRPr="00DD68CC">
        <w:rPr>
          <w:b/>
          <w:color w:val="519680"/>
          <w:sz w:val="28"/>
        </w:rPr>
        <w:t>Clinical Commissioning Groups</w:t>
      </w:r>
    </w:p>
    <w:p w14:paraId="5909B982" w14:textId="4947DEB0" w:rsidR="00925515" w:rsidRPr="00DD68CC" w:rsidRDefault="00925515" w:rsidP="00F30694">
      <w:pPr>
        <w:spacing w:after="0" w:line="240" w:lineRule="auto"/>
        <w:ind w:left="-284"/>
        <w:jc w:val="both"/>
      </w:pPr>
      <w:r w:rsidRPr="00DD68CC">
        <w:t xml:space="preserve">Clinical Commissioning Groups (CCGs) can commission a service under </w:t>
      </w:r>
      <w:r w:rsidR="00697CA9">
        <w:t>“</w:t>
      </w:r>
      <w:r w:rsidRPr="00DD68CC">
        <w:t>any qualified provider</w:t>
      </w:r>
      <w:r w:rsidR="00697CA9">
        <w:t>”</w:t>
      </w:r>
      <w:r w:rsidRPr="00DD68CC">
        <w:t xml:space="preserve"> commissioning arrangements. NHS England has produced an NHS Standard Contract, the use of which is mandatory when CCGs commission NHS services. </w:t>
      </w:r>
      <w:r w:rsidR="00D30CF0">
        <w:t>CCGs should be encouraged,</w:t>
      </w:r>
      <w:r w:rsidR="00792767">
        <w:t xml:space="preserve"> </w:t>
      </w:r>
      <w:r w:rsidR="00D30CF0">
        <w:t>wherever possible,</w:t>
      </w:r>
      <w:r w:rsidR="00D30CF0" w:rsidRPr="00D30CF0">
        <w:t xml:space="preserve"> </w:t>
      </w:r>
      <w:r w:rsidR="00D30CF0">
        <w:t xml:space="preserve">to use the </w:t>
      </w:r>
      <w:r w:rsidR="006544DB">
        <w:t>Shorter-form NHS Standard Contract which NHS England advocates</w:t>
      </w:r>
      <w:r w:rsidR="006544DB" w:rsidRPr="006544DB">
        <w:t xml:space="preserve"> </w:t>
      </w:r>
      <w:r w:rsidR="006544DB">
        <w:t xml:space="preserve">for use when NHS commissioners wish to commission clinical healthcare services of relatively low complexity and </w:t>
      </w:r>
      <w:r w:rsidR="009D14A9">
        <w:t xml:space="preserve">financial </w:t>
      </w:r>
      <w:r w:rsidR="006544DB">
        <w:t>value</w:t>
      </w:r>
      <w:r w:rsidR="009D14A9">
        <w:t>,</w:t>
      </w:r>
      <w:r w:rsidR="006544DB">
        <w:t xml:space="preserve"> including t</w:t>
      </w:r>
      <w:r w:rsidR="00D30CF0">
        <w:t>hose</w:t>
      </w:r>
      <w:r w:rsidR="006544DB">
        <w:t xml:space="preserve"> services</w:t>
      </w:r>
      <w:r w:rsidR="00D30CF0">
        <w:t xml:space="preserve"> provided by</w:t>
      </w:r>
      <w:r w:rsidR="006544DB">
        <w:t xml:space="preserve"> community</w:t>
      </w:r>
      <w:r w:rsidR="00D30CF0">
        <w:t xml:space="preserve"> </w:t>
      </w:r>
      <w:r w:rsidR="006544DB">
        <w:t>pharmaci</w:t>
      </w:r>
      <w:r w:rsidR="005B2BA7">
        <w:t>es</w:t>
      </w:r>
      <w:r w:rsidR="006544DB">
        <w:t>.</w:t>
      </w:r>
      <w:r w:rsidR="00D30CF0">
        <w:t xml:space="preserve"> </w:t>
      </w:r>
      <w:r w:rsidRPr="00DD68CC">
        <w:t>CCGs are encouraged to consult with the LPC for any area in which the service is to be provided.</w:t>
      </w:r>
    </w:p>
    <w:p w14:paraId="651E93E1" w14:textId="77777777" w:rsidR="00925515" w:rsidRPr="00DD68CC" w:rsidRDefault="00925515" w:rsidP="00F30694">
      <w:pPr>
        <w:spacing w:after="0" w:line="240" w:lineRule="auto"/>
        <w:ind w:left="-284"/>
        <w:jc w:val="both"/>
      </w:pPr>
    </w:p>
    <w:p w14:paraId="611C0EE7" w14:textId="77777777" w:rsidR="00925515" w:rsidRPr="00DD68CC" w:rsidRDefault="00925515" w:rsidP="00F30694">
      <w:pPr>
        <w:spacing w:after="0" w:line="240" w:lineRule="auto"/>
        <w:ind w:left="-284"/>
        <w:jc w:val="both"/>
        <w:rPr>
          <w:b/>
          <w:color w:val="519680"/>
          <w:sz w:val="28"/>
        </w:rPr>
      </w:pPr>
      <w:r w:rsidRPr="00DD68CC">
        <w:rPr>
          <w:b/>
          <w:color w:val="519680"/>
          <w:sz w:val="28"/>
        </w:rPr>
        <w:t xml:space="preserve">Working </w:t>
      </w:r>
      <w:r w:rsidRPr="006E6FBA">
        <w:rPr>
          <w:b/>
          <w:color w:val="519680"/>
          <w:sz w:val="28"/>
        </w:rPr>
        <w:t>with the LPC</w:t>
      </w:r>
    </w:p>
    <w:p w14:paraId="3EBE12EA" w14:textId="73DDE69D" w:rsidR="00925515" w:rsidRPr="00DD68CC" w:rsidRDefault="00925515" w:rsidP="00F30694">
      <w:pPr>
        <w:spacing w:after="0" w:line="240" w:lineRule="auto"/>
        <w:ind w:left="-284"/>
        <w:jc w:val="both"/>
      </w:pPr>
      <w:r w:rsidRPr="00DD68CC">
        <w:t>CCGs and local NHS England teams are advised to plan the implementation in conjunction with the LPC to facilitate rapid implementation of the service by pharmacy contractors.</w:t>
      </w:r>
      <w:r w:rsidR="005B2BA7">
        <w:t xml:space="preserve"> </w:t>
      </w:r>
      <w:r w:rsidRPr="00DD68CC">
        <w:t xml:space="preserve">The example template service specification and standard proformas referred to in the below implementation plan can be found at: </w:t>
      </w:r>
      <w:hyperlink r:id="rId10" w:history="1">
        <w:r w:rsidRPr="009159F6">
          <w:rPr>
            <w:rStyle w:val="Hyperlink"/>
            <w:color w:val="519680"/>
          </w:rPr>
          <w:t>psnc.og.uk/</w:t>
        </w:r>
        <w:proofErr w:type="spellStart"/>
        <w:r w:rsidRPr="009159F6">
          <w:rPr>
            <w:rStyle w:val="Hyperlink"/>
            <w:color w:val="519680"/>
          </w:rPr>
          <w:t>ctp</w:t>
        </w:r>
        <w:proofErr w:type="spellEnd"/>
      </w:hyperlink>
    </w:p>
    <w:p w14:paraId="1CE87FA4" w14:textId="77777777" w:rsidR="00925515" w:rsidRPr="00DD68CC" w:rsidRDefault="00925515" w:rsidP="00925515">
      <w:pPr>
        <w:spacing w:after="0" w:line="240" w:lineRule="auto"/>
      </w:pPr>
    </w:p>
    <w:tbl>
      <w:tblPr>
        <w:tblStyle w:val="TableGrid"/>
        <w:tblW w:w="9923" w:type="dxa"/>
        <w:tblInd w:w="-289"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Look w:val="04A0" w:firstRow="1" w:lastRow="0" w:firstColumn="1" w:lastColumn="0" w:noHBand="0" w:noVBand="1"/>
      </w:tblPr>
      <w:tblGrid>
        <w:gridCol w:w="568"/>
        <w:gridCol w:w="6662"/>
        <w:gridCol w:w="2693"/>
      </w:tblGrid>
      <w:tr w:rsidR="00925515" w:rsidRPr="00DD68CC" w14:paraId="57C92909" w14:textId="77777777" w:rsidTr="00A44DD5">
        <w:trPr>
          <w:trHeight w:val="443"/>
        </w:trPr>
        <w:tc>
          <w:tcPr>
            <w:tcW w:w="9923" w:type="dxa"/>
            <w:gridSpan w:val="3"/>
            <w:shd w:val="clear" w:color="auto" w:fill="B2D6CB"/>
          </w:tcPr>
          <w:p w14:paraId="191F1083" w14:textId="55A4619A" w:rsidR="00925515" w:rsidRPr="00DD68CC" w:rsidRDefault="00925515" w:rsidP="0029216B">
            <w:pPr>
              <w:rPr>
                <w:b/>
              </w:rPr>
            </w:pPr>
            <w:r w:rsidRPr="00DD68CC">
              <w:rPr>
                <w:b/>
              </w:rPr>
              <w:t>Starting point</w:t>
            </w:r>
          </w:p>
        </w:tc>
      </w:tr>
      <w:tr w:rsidR="00925515" w:rsidRPr="00DD68CC" w14:paraId="39DFD7AE" w14:textId="77777777" w:rsidTr="00A44DD5">
        <w:tc>
          <w:tcPr>
            <w:tcW w:w="568" w:type="dxa"/>
            <w:shd w:val="clear" w:color="auto" w:fill="B2D6CB"/>
          </w:tcPr>
          <w:p w14:paraId="5B3827FE" w14:textId="77777777" w:rsidR="00925515" w:rsidRPr="00DD68CC" w:rsidRDefault="00925515" w:rsidP="0029216B">
            <w:pPr>
              <w:rPr>
                <w:b/>
              </w:rPr>
            </w:pPr>
            <w:r>
              <w:rPr>
                <w:b/>
              </w:rPr>
              <w:t>1.</w:t>
            </w:r>
          </w:p>
        </w:tc>
        <w:tc>
          <w:tcPr>
            <w:tcW w:w="9355" w:type="dxa"/>
            <w:gridSpan w:val="2"/>
          </w:tcPr>
          <w:p w14:paraId="1463206E" w14:textId="199BB1C1" w:rsidR="00925515" w:rsidRPr="00DD68CC" w:rsidRDefault="00925515" w:rsidP="0029216B">
            <w:r w:rsidRPr="00DD68CC">
              <w:t xml:space="preserve">Inform key stakeholders, for example, the Local Pharmaceutical Committees (LPC), Local Professional Network (LPN), Local Medical Committee (LMC), </w:t>
            </w:r>
            <w:r w:rsidR="006544DB">
              <w:t xml:space="preserve">Local Dental Committee (LDC), Local Optical Committee (LOC), </w:t>
            </w:r>
            <w:r w:rsidRPr="00DD68CC">
              <w:t>patient groups, GPs, urgent and emergency care providers and seek support for implementation of the service. Also, inform the local NHS England team or Clinical Commissioning Groups (CCGs) (will depend on which organisation is the commissioner).</w:t>
            </w:r>
          </w:p>
        </w:tc>
      </w:tr>
      <w:tr w:rsidR="00925515" w:rsidRPr="00DD68CC" w14:paraId="75B63F17" w14:textId="77777777" w:rsidTr="00A44DD5">
        <w:tc>
          <w:tcPr>
            <w:tcW w:w="9923" w:type="dxa"/>
            <w:gridSpan w:val="3"/>
            <w:shd w:val="clear" w:color="auto" w:fill="B2D6CB"/>
          </w:tcPr>
          <w:p w14:paraId="59859BC8" w14:textId="6085B43B" w:rsidR="00925515" w:rsidRPr="00DD68CC" w:rsidRDefault="00925515" w:rsidP="005B46E3">
            <w:pPr>
              <w:rPr>
                <w:b/>
              </w:rPr>
            </w:pPr>
            <w:r w:rsidRPr="00DD68CC">
              <w:rPr>
                <w:b/>
              </w:rPr>
              <w:t>Service initiation</w:t>
            </w:r>
          </w:p>
        </w:tc>
      </w:tr>
      <w:tr w:rsidR="00925515" w:rsidRPr="00DD68CC" w14:paraId="33C0223C" w14:textId="77777777" w:rsidTr="00A44DD5">
        <w:tc>
          <w:tcPr>
            <w:tcW w:w="568" w:type="dxa"/>
            <w:shd w:val="clear" w:color="auto" w:fill="B2D6CB"/>
          </w:tcPr>
          <w:p w14:paraId="6B9F43B9" w14:textId="77777777" w:rsidR="00925515" w:rsidRPr="00DD68CC" w:rsidRDefault="00925515" w:rsidP="0029216B">
            <w:pPr>
              <w:rPr>
                <w:b/>
              </w:rPr>
            </w:pPr>
            <w:r>
              <w:rPr>
                <w:b/>
              </w:rPr>
              <w:t>2.</w:t>
            </w:r>
          </w:p>
        </w:tc>
        <w:tc>
          <w:tcPr>
            <w:tcW w:w="9355" w:type="dxa"/>
            <w:gridSpan w:val="2"/>
          </w:tcPr>
          <w:p w14:paraId="57F5FF79" w14:textId="77777777" w:rsidR="00925515" w:rsidRPr="00DD68CC" w:rsidRDefault="00925515" w:rsidP="0029216B">
            <w:r w:rsidRPr="00DD68CC">
              <w:t>Decide legal mechanism for commissioning:</w:t>
            </w:r>
          </w:p>
          <w:p w14:paraId="015558E6" w14:textId="77777777" w:rsidR="00925515" w:rsidRPr="00DD68CC" w:rsidRDefault="00925515" w:rsidP="00925515">
            <w:pPr>
              <w:pStyle w:val="ListParagraph"/>
              <w:numPr>
                <w:ilvl w:val="0"/>
                <w:numId w:val="1"/>
              </w:numPr>
              <w:spacing w:after="0" w:line="240" w:lineRule="auto"/>
            </w:pPr>
            <w:r w:rsidRPr="00DD68CC">
              <w:t>Local NHS England team – As an Enhanced Service using the provisions within the NHS (Pharmaceutical and Local Pharmaceutical Services) Regulations 2013</w:t>
            </w:r>
          </w:p>
          <w:p w14:paraId="2147F608" w14:textId="77777777" w:rsidR="00925515" w:rsidRDefault="00925515" w:rsidP="00925515">
            <w:pPr>
              <w:pStyle w:val="ListParagraph"/>
              <w:numPr>
                <w:ilvl w:val="0"/>
                <w:numId w:val="1"/>
              </w:numPr>
              <w:spacing w:after="0" w:line="240" w:lineRule="auto"/>
            </w:pPr>
            <w:r w:rsidRPr="00DD68CC">
              <w:t xml:space="preserve">CCG – locally commissioned service using </w:t>
            </w:r>
            <w:r>
              <w:t xml:space="preserve">the </w:t>
            </w:r>
            <w:r w:rsidRPr="00DD68CC">
              <w:t>standard NHS contract</w:t>
            </w:r>
          </w:p>
          <w:p w14:paraId="2BFBC35A" w14:textId="77777777" w:rsidR="00443393" w:rsidRDefault="00443393" w:rsidP="00443393">
            <w:pPr>
              <w:spacing w:after="0" w:line="240" w:lineRule="auto"/>
              <w:ind w:left="34"/>
            </w:pPr>
          </w:p>
          <w:p w14:paraId="400B44D2" w14:textId="3FE0BE92" w:rsidR="006C28E1" w:rsidRPr="00DD68CC" w:rsidRDefault="006C28E1" w:rsidP="000B7F23">
            <w:pPr>
              <w:spacing w:after="0" w:line="240" w:lineRule="auto"/>
              <w:ind w:left="34"/>
            </w:pPr>
            <w:r>
              <w:t xml:space="preserve">Additionally, will the service </w:t>
            </w:r>
            <w:r w:rsidR="00443393">
              <w:t>use</w:t>
            </w:r>
            <w:r w:rsidRPr="00DD68CC">
              <w:t xml:space="preserve"> a Patient Group Direction (PGD)</w:t>
            </w:r>
            <w:r w:rsidR="00443393">
              <w:t>?</w:t>
            </w:r>
          </w:p>
          <w:p w14:paraId="424031B7" w14:textId="39384DBE" w:rsidR="00AC4D54" w:rsidRPr="00DD68CC" w:rsidRDefault="00AC4D54" w:rsidP="000B7F23">
            <w:pPr>
              <w:spacing w:after="0" w:line="240" w:lineRule="auto"/>
            </w:pPr>
          </w:p>
        </w:tc>
      </w:tr>
      <w:tr w:rsidR="00925515" w:rsidRPr="00DD68CC" w14:paraId="73FF33A5" w14:textId="77777777" w:rsidTr="00A44DD5">
        <w:tc>
          <w:tcPr>
            <w:tcW w:w="568" w:type="dxa"/>
            <w:shd w:val="clear" w:color="auto" w:fill="B2D6CB"/>
          </w:tcPr>
          <w:p w14:paraId="6CEE1430" w14:textId="77777777" w:rsidR="00925515" w:rsidRPr="00DD68CC" w:rsidRDefault="00925515" w:rsidP="0029216B">
            <w:pPr>
              <w:rPr>
                <w:b/>
              </w:rPr>
            </w:pPr>
            <w:r>
              <w:rPr>
                <w:b/>
              </w:rPr>
              <w:t>3.</w:t>
            </w:r>
          </w:p>
        </w:tc>
        <w:tc>
          <w:tcPr>
            <w:tcW w:w="6662" w:type="dxa"/>
            <w:shd w:val="clear" w:color="auto" w:fill="auto"/>
          </w:tcPr>
          <w:p w14:paraId="04895EB7" w14:textId="74822524" w:rsidR="00925515" w:rsidRPr="0079318D" w:rsidRDefault="00925515" w:rsidP="0029216B">
            <w:r w:rsidRPr="0079318D">
              <w:t xml:space="preserve">Define the Key Performance Indicators (KPIs) for the service so these can be monitored by the commissioner and </w:t>
            </w:r>
            <w:r>
              <w:t>pharmacy contractors and include these in the service specification</w:t>
            </w:r>
            <w:r w:rsidR="00443393">
              <w:t>.</w:t>
            </w:r>
          </w:p>
        </w:tc>
        <w:tc>
          <w:tcPr>
            <w:tcW w:w="2693" w:type="dxa"/>
          </w:tcPr>
          <w:p w14:paraId="25034DE7" w14:textId="77777777" w:rsidR="00925515" w:rsidRPr="00DD68CC" w:rsidRDefault="00925515" w:rsidP="0029216B">
            <w:pPr>
              <w:rPr>
                <w:b/>
                <w:color w:val="519680"/>
              </w:rPr>
            </w:pPr>
            <w:r w:rsidRPr="00DD68CC">
              <w:rPr>
                <w:b/>
                <w:color w:val="519680"/>
              </w:rPr>
              <w:t>Template documents available:</w:t>
            </w:r>
          </w:p>
          <w:p w14:paraId="0AD04BF9" w14:textId="77777777" w:rsidR="00925515" w:rsidRPr="0079318D" w:rsidRDefault="00925515" w:rsidP="00925515">
            <w:pPr>
              <w:pStyle w:val="ListParagraph"/>
              <w:numPr>
                <w:ilvl w:val="0"/>
                <w:numId w:val="7"/>
              </w:numPr>
              <w:spacing w:after="0" w:line="240" w:lineRule="auto"/>
              <w:rPr>
                <w:color w:val="519680"/>
              </w:rPr>
            </w:pPr>
            <w:r w:rsidRPr="0079318D">
              <w:t>Service specification</w:t>
            </w:r>
          </w:p>
        </w:tc>
      </w:tr>
      <w:tr w:rsidR="00925515" w:rsidRPr="00DD68CC" w14:paraId="3861BFC2" w14:textId="77777777" w:rsidTr="00A44DD5">
        <w:tc>
          <w:tcPr>
            <w:tcW w:w="568" w:type="dxa"/>
            <w:shd w:val="clear" w:color="auto" w:fill="B2D6CB"/>
          </w:tcPr>
          <w:p w14:paraId="206D36E1" w14:textId="77777777" w:rsidR="00925515" w:rsidRPr="00DD68CC" w:rsidRDefault="00925515" w:rsidP="0029216B">
            <w:pPr>
              <w:rPr>
                <w:b/>
              </w:rPr>
            </w:pPr>
            <w:r>
              <w:rPr>
                <w:b/>
              </w:rPr>
              <w:lastRenderedPageBreak/>
              <w:t>4.</w:t>
            </w:r>
          </w:p>
        </w:tc>
        <w:tc>
          <w:tcPr>
            <w:tcW w:w="6662" w:type="dxa"/>
            <w:shd w:val="clear" w:color="auto" w:fill="auto"/>
          </w:tcPr>
          <w:p w14:paraId="18DF2BFC" w14:textId="3FD7C0ED" w:rsidR="00925515" w:rsidRPr="0079318D" w:rsidRDefault="00925515" w:rsidP="0029216B">
            <w:r w:rsidRPr="0079318D">
              <w:t>Define the service</w:t>
            </w:r>
            <w:r w:rsidR="00443393">
              <w:t>,</w:t>
            </w:r>
            <w:r w:rsidRPr="0079318D">
              <w:t xml:space="preserve"> including the group of patients to be covered by the service and the range of conditions. </w:t>
            </w:r>
          </w:p>
        </w:tc>
        <w:tc>
          <w:tcPr>
            <w:tcW w:w="2693" w:type="dxa"/>
          </w:tcPr>
          <w:p w14:paraId="44A718A5" w14:textId="77777777" w:rsidR="00925515" w:rsidRPr="00DD68CC" w:rsidRDefault="00925515" w:rsidP="0029216B">
            <w:pPr>
              <w:rPr>
                <w:b/>
                <w:color w:val="519680"/>
              </w:rPr>
            </w:pPr>
            <w:r w:rsidRPr="00DD68CC">
              <w:rPr>
                <w:b/>
                <w:color w:val="519680"/>
              </w:rPr>
              <w:t>Template documents available:</w:t>
            </w:r>
          </w:p>
          <w:p w14:paraId="59695153" w14:textId="77777777" w:rsidR="00925515" w:rsidRPr="00DD68CC" w:rsidRDefault="00925515" w:rsidP="00925515">
            <w:pPr>
              <w:pStyle w:val="ListParagraph"/>
              <w:numPr>
                <w:ilvl w:val="0"/>
                <w:numId w:val="7"/>
              </w:numPr>
              <w:spacing w:after="0" w:line="240" w:lineRule="auto"/>
            </w:pPr>
            <w:r w:rsidRPr="0079318D">
              <w:t>Service specification</w:t>
            </w:r>
          </w:p>
        </w:tc>
      </w:tr>
      <w:tr w:rsidR="00925515" w:rsidRPr="00DD68CC" w14:paraId="0446E64A" w14:textId="77777777" w:rsidTr="00A44DD5">
        <w:tc>
          <w:tcPr>
            <w:tcW w:w="568" w:type="dxa"/>
            <w:shd w:val="clear" w:color="auto" w:fill="B2D6CB"/>
          </w:tcPr>
          <w:p w14:paraId="190650D1" w14:textId="77777777" w:rsidR="00925515" w:rsidRPr="00DD68CC" w:rsidRDefault="00925515" w:rsidP="0029216B">
            <w:pPr>
              <w:rPr>
                <w:b/>
              </w:rPr>
            </w:pPr>
            <w:r>
              <w:rPr>
                <w:b/>
              </w:rPr>
              <w:t>5.</w:t>
            </w:r>
          </w:p>
        </w:tc>
        <w:tc>
          <w:tcPr>
            <w:tcW w:w="9355" w:type="dxa"/>
            <w:gridSpan w:val="2"/>
            <w:shd w:val="clear" w:color="auto" w:fill="auto"/>
          </w:tcPr>
          <w:p w14:paraId="22572583" w14:textId="77777777" w:rsidR="00925515" w:rsidRPr="0079318D" w:rsidRDefault="00925515" w:rsidP="0029216B">
            <w:r w:rsidRPr="0079318D">
              <w:t>Decide whether the service can be provided by all pharmacy contractors or whether the service will just be available from a limited number of contractors.</w:t>
            </w:r>
          </w:p>
        </w:tc>
      </w:tr>
      <w:tr w:rsidR="00925515" w:rsidRPr="00DD68CC" w14:paraId="2C9EAA2F" w14:textId="77777777" w:rsidTr="00A44DD5">
        <w:tc>
          <w:tcPr>
            <w:tcW w:w="568" w:type="dxa"/>
            <w:shd w:val="clear" w:color="auto" w:fill="B2D6CB"/>
          </w:tcPr>
          <w:p w14:paraId="2EFD543D" w14:textId="77777777" w:rsidR="00925515" w:rsidRPr="00DD68CC" w:rsidRDefault="00925515" w:rsidP="0029216B">
            <w:pPr>
              <w:rPr>
                <w:b/>
              </w:rPr>
            </w:pPr>
            <w:r>
              <w:rPr>
                <w:b/>
              </w:rPr>
              <w:t>6.</w:t>
            </w:r>
          </w:p>
        </w:tc>
        <w:tc>
          <w:tcPr>
            <w:tcW w:w="6662" w:type="dxa"/>
            <w:shd w:val="clear" w:color="auto" w:fill="auto"/>
          </w:tcPr>
          <w:p w14:paraId="47957A35" w14:textId="77777777" w:rsidR="00925515" w:rsidRPr="0079318D" w:rsidRDefault="00925515" w:rsidP="0029216B">
            <w:r w:rsidRPr="0079318D">
              <w:t>Choose the method by which you will collect the service activity data and pay pharmacy contractors:</w:t>
            </w:r>
          </w:p>
          <w:p w14:paraId="4C7E191F" w14:textId="77777777" w:rsidR="00925515" w:rsidRPr="0079318D" w:rsidRDefault="00925515" w:rsidP="00925515">
            <w:pPr>
              <w:pStyle w:val="ListParagraph"/>
              <w:numPr>
                <w:ilvl w:val="0"/>
                <w:numId w:val="2"/>
              </w:numPr>
              <w:spacing w:after="0" w:line="240" w:lineRule="auto"/>
            </w:pPr>
            <w:r w:rsidRPr="0079318D">
              <w:t xml:space="preserve">Web-based system, for example, </w:t>
            </w:r>
            <w:proofErr w:type="spellStart"/>
            <w:r w:rsidRPr="0079318D">
              <w:t>PharmOutcomes</w:t>
            </w:r>
            <w:proofErr w:type="spellEnd"/>
            <w:r w:rsidRPr="0079318D">
              <w:t xml:space="preserve">, Sonar, </w:t>
            </w:r>
            <w:proofErr w:type="spellStart"/>
            <w:r w:rsidRPr="0079318D">
              <w:t>Webstar</w:t>
            </w:r>
            <w:proofErr w:type="spellEnd"/>
          </w:p>
          <w:p w14:paraId="1C969A3F" w14:textId="77777777" w:rsidR="00925515" w:rsidRPr="0079318D" w:rsidRDefault="00925515" w:rsidP="00925515">
            <w:pPr>
              <w:pStyle w:val="ListParagraph"/>
              <w:numPr>
                <w:ilvl w:val="0"/>
                <w:numId w:val="2"/>
              </w:numPr>
              <w:spacing w:after="0" w:line="240" w:lineRule="auto"/>
            </w:pPr>
            <w:r w:rsidRPr="0079318D">
              <w:t>Paper-based system</w:t>
            </w:r>
          </w:p>
        </w:tc>
        <w:tc>
          <w:tcPr>
            <w:tcW w:w="2693" w:type="dxa"/>
          </w:tcPr>
          <w:p w14:paraId="58A83083" w14:textId="77777777" w:rsidR="00925515" w:rsidRPr="00DD68CC" w:rsidRDefault="00925515" w:rsidP="0029216B">
            <w:pPr>
              <w:rPr>
                <w:b/>
                <w:color w:val="519680"/>
              </w:rPr>
            </w:pPr>
            <w:r w:rsidRPr="00DD68CC">
              <w:rPr>
                <w:b/>
                <w:color w:val="519680"/>
              </w:rPr>
              <w:t>Template documents available:</w:t>
            </w:r>
          </w:p>
          <w:p w14:paraId="4DA71633" w14:textId="549E3940" w:rsidR="00A23171" w:rsidRPr="001A45D8" w:rsidRDefault="001A45D8" w:rsidP="00925515">
            <w:pPr>
              <w:pStyle w:val="ListParagraph"/>
              <w:numPr>
                <w:ilvl w:val="0"/>
                <w:numId w:val="6"/>
              </w:numPr>
              <w:spacing w:after="0" w:line="240" w:lineRule="auto"/>
            </w:pPr>
            <w:r w:rsidRPr="000B7F23">
              <w:t>T</w:t>
            </w:r>
            <w:r w:rsidR="00A23171" w:rsidRPr="000B7F23">
              <w:t xml:space="preserve">emplate from </w:t>
            </w:r>
            <w:proofErr w:type="spellStart"/>
            <w:r w:rsidR="00A23171" w:rsidRPr="000B7F23">
              <w:t>PharmOutcomes</w:t>
            </w:r>
            <w:proofErr w:type="spellEnd"/>
          </w:p>
          <w:p w14:paraId="38D36190" w14:textId="72904922" w:rsidR="008D79ED" w:rsidRDefault="008D79ED" w:rsidP="00925515">
            <w:pPr>
              <w:pStyle w:val="ListParagraph"/>
              <w:numPr>
                <w:ilvl w:val="0"/>
                <w:numId w:val="6"/>
              </w:numPr>
              <w:spacing w:after="0" w:line="240" w:lineRule="auto"/>
            </w:pPr>
            <w:r>
              <w:t>Claim form</w:t>
            </w:r>
          </w:p>
          <w:p w14:paraId="60B220BC" w14:textId="77777777" w:rsidR="00925515" w:rsidRPr="00DD68CC" w:rsidRDefault="00925515" w:rsidP="000B7F23">
            <w:pPr>
              <w:spacing w:after="0" w:line="240" w:lineRule="auto"/>
            </w:pPr>
          </w:p>
        </w:tc>
      </w:tr>
      <w:tr w:rsidR="00925515" w:rsidRPr="00DD68CC" w14:paraId="667F7432" w14:textId="77777777" w:rsidTr="00A44DD5">
        <w:tc>
          <w:tcPr>
            <w:tcW w:w="568" w:type="dxa"/>
            <w:shd w:val="clear" w:color="auto" w:fill="B2D6CB"/>
          </w:tcPr>
          <w:p w14:paraId="5DF39767" w14:textId="5168AB4D" w:rsidR="00925515" w:rsidRPr="00DD68CC" w:rsidRDefault="00E35B87" w:rsidP="0029216B">
            <w:pPr>
              <w:rPr>
                <w:b/>
              </w:rPr>
            </w:pPr>
            <w:r>
              <w:rPr>
                <w:b/>
              </w:rPr>
              <w:t>7.</w:t>
            </w:r>
          </w:p>
        </w:tc>
        <w:tc>
          <w:tcPr>
            <w:tcW w:w="6662" w:type="dxa"/>
            <w:shd w:val="clear" w:color="auto" w:fill="auto"/>
          </w:tcPr>
          <w:p w14:paraId="65042B73" w14:textId="77777777" w:rsidR="00925515" w:rsidRPr="0079318D" w:rsidRDefault="00925515" w:rsidP="0029216B">
            <w:r w:rsidRPr="0079318D">
              <w:t>Consider setting up a referral scheme to allow GP practices to refer patients into the Minor Ailment Service.</w:t>
            </w:r>
          </w:p>
        </w:tc>
        <w:tc>
          <w:tcPr>
            <w:tcW w:w="2693" w:type="dxa"/>
          </w:tcPr>
          <w:p w14:paraId="6C03BD3B" w14:textId="77777777" w:rsidR="00925515" w:rsidRPr="00DD68CC" w:rsidRDefault="00925515" w:rsidP="0029216B">
            <w:pPr>
              <w:rPr>
                <w:b/>
                <w:color w:val="519680"/>
              </w:rPr>
            </w:pPr>
          </w:p>
        </w:tc>
      </w:tr>
      <w:tr w:rsidR="00925515" w:rsidRPr="00DD68CC" w14:paraId="4C4E1823" w14:textId="77777777" w:rsidTr="00A44DD5">
        <w:tc>
          <w:tcPr>
            <w:tcW w:w="568" w:type="dxa"/>
            <w:shd w:val="clear" w:color="auto" w:fill="B2D6CB"/>
          </w:tcPr>
          <w:p w14:paraId="4299946E" w14:textId="47027B74" w:rsidR="00925515" w:rsidRPr="00DD68CC" w:rsidRDefault="00E35B87" w:rsidP="0029216B">
            <w:pPr>
              <w:rPr>
                <w:b/>
              </w:rPr>
            </w:pPr>
            <w:r>
              <w:rPr>
                <w:b/>
              </w:rPr>
              <w:t>8.</w:t>
            </w:r>
          </w:p>
        </w:tc>
        <w:tc>
          <w:tcPr>
            <w:tcW w:w="6662" w:type="dxa"/>
            <w:shd w:val="clear" w:color="auto" w:fill="auto"/>
          </w:tcPr>
          <w:p w14:paraId="18E019E1" w14:textId="4546E1C3" w:rsidR="00925515" w:rsidRPr="0079318D" w:rsidRDefault="00925515" w:rsidP="0029216B">
            <w:r w:rsidRPr="0079318D">
              <w:t xml:space="preserve">Prepare the documents and supporting information, for example, service specification, </w:t>
            </w:r>
            <w:r w:rsidR="00DC081D">
              <w:t>service level agreement / contract</w:t>
            </w:r>
            <w:r w:rsidRPr="0079318D">
              <w:t>, record form, etc.</w:t>
            </w:r>
            <w:r w:rsidR="00DC081D">
              <w:t xml:space="preserve">  </w:t>
            </w:r>
            <w:r w:rsidR="00A01411">
              <w:t>(Should you select a web-based system</w:t>
            </w:r>
            <w:r w:rsidR="001B72C8">
              <w:t>,</w:t>
            </w:r>
            <w:r w:rsidR="00A01411">
              <w:t xml:space="preserve"> </w:t>
            </w:r>
            <w:r w:rsidR="00406649">
              <w:t>all forms and information can be included in the service template.)</w:t>
            </w:r>
          </w:p>
        </w:tc>
        <w:tc>
          <w:tcPr>
            <w:tcW w:w="2693" w:type="dxa"/>
          </w:tcPr>
          <w:p w14:paraId="684D7F03" w14:textId="77777777" w:rsidR="00925515" w:rsidRPr="00DD68CC" w:rsidRDefault="00925515" w:rsidP="0029216B">
            <w:pPr>
              <w:rPr>
                <w:b/>
                <w:color w:val="519680"/>
              </w:rPr>
            </w:pPr>
            <w:r w:rsidRPr="00DD68CC">
              <w:rPr>
                <w:b/>
                <w:color w:val="519680"/>
              </w:rPr>
              <w:t>Template documents available:</w:t>
            </w:r>
          </w:p>
          <w:p w14:paraId="000E91BA" w14:textId="77777777" w:rsidR="00925515" w:rsidRPr="00DD68CC" w:rsidRDefault="00925515" w:rsidP="0029216B">
            <w:r w:rsidRPr="00DD68CC">
              <w:t>Service specification which includes:</w:t>
            </w:r>
          </w:p>
          <w:p w14:paraId="49F934CE" w14:textId="77777777" w:rsidR="00925515" w:rsidRPr="00DD68CC" w:rsidRDefault="00925515" w:rsidP="00925515">
            <w:pPr>
              <w:pStyle w:val="ListParagraph"/>
              <w:numPr>
                <w:ilvl w:val="0"/>
                <w:numId w:val="5"/>
              </w:numPr>
              <w:spacing w:after="0" w:line="240" w:lineRule="auto"/>
            </w:pPr>
            <w:r w:rsidRPr="00DD68CC">
              <w:t>Record and consent form;</w:t>
            </w:r>
          </w:p>
          <w:p w14:paraId="786BB16E" w14:textId="77777777" w:rsidR="00925515" w:rsidRPr="00DD68CC" w:rsidRDefault="00925515" w:rsidP="00925515">
            <w:pPr>
              <w:pStyle w:val="ListParagraph"/>
              <w:numPr>
                <w:ilvl w:val="0"/>
                <w:numId w:val="5"/>
              </w:numPr>
              <w:spacing w:after="0" w:line="240" w:lineRule="auto"/>
            </w:pPr>
            <w:r w:rsidRPr="00DD68CC">
              <w:t>Indications treatable under the service;</w:t>
            </w:r>
          </w:p>
          <w:p w14:paraId="5682B455" w14:textId="77777777" w:rsidR="00925515" w:rsidRPr="00DD68CC" w:rsidRDefault="00925515" w:rsidP="00925515">
            <w:pPr>
              <w:pStyle w:val="ListParagraph"/>
              <w:numPr>
                <w:ilvl w:val="0"/>
                <w:numId w:val="5"/>
              </w:numPr>
              <w:spacing w:after="0" w:line="240" w:lineRule="auto"/>
            </w:pPr>
            <w:r w:rsidRPr="00DD68CC">
              <w:t>Formulary;</w:t>
            </w:r>
          </w:p>
          <w:p w14:paraId="6F4D05F4" w14:textId="4B4FE0C3" w:rsidR="00925515" w:rsidRPr="00DD68CC" w:rsidRDefault="00925515" w:rsidP="00925515">
            <w:pPr>
              <w:pStyle w:val="ListParagraph"/>
              <w:numPr>
                <w:ilvl w:val="0"/>
                <w:numId w:val="5"/>
              </w:numPr>
              <w:spacing w:after="0" w:line="240" w:lineRule="auto"/>
            </w:pPr>
            <w:r w:rsidRPr="00DD68CC">
              <w:t xml:space="preserve">Service </w:t>
            </w:r>
            <w:r w:rsidR="00DC081D">
              <w:t>level agreement</w:t>
            </w:r>
            <w:r w:rsidRPr="00DD68CC">
              <w:t xml:space="preserve"> form;</w:t>
            </w:r>
          </w:p>
          <w:p w14:paraId="78EA631D" w14:textId="5119E124" w:rsidR="00925515" w:rsidRPr="00DD68CC" w:rsidRDefault="00925515" w:rsidP="00925515">
            <w:pPr>
              <w:pStyle w:val="ListParagraph"/>
              <w:numPr>
                <w:ilvl w:val="0"/>
                <w:numId w:val="5"/>
              </w:numPr>
              <w:spacing w:after="0" w:line="240" w:lineRule="auto"/>
            </w:pPr>
            <w:r w:rsidRPr="00DD68CC">
              <w:t>GP notification form;</w:t>
            </w:r>
            <w:r w:rsidR="00151A54">
              <w:t xml:space="preserve"> and</w:t>
            </w:r>
          </w:p>
          <w:p w14:paraId="5AECDFAF" w14:textId="3CCC0694" w:rsidR="00B20634" w:rsidRPr="00DD68CC" w:rsidRDefault="00925515" w:rsidP="00B20634">
            <w:pPr>
              <w:pStyle w:val="ListParagraph"/>
              <w:numPr>
                <w:ilvl w:val="0"/>
                <w:numId w:val="5"/>
              </w:numPr>
              <w:spacing w:after="0" w:line="240" w:lineRule="auto"/>
            </w:pPr>
            <w:r w:rsidRPr="00DD68CC">
              <w:t xml:space="preserve">Claim form. </w:t>
            </w:r>
          </w:p>
        </w:tc>
      </w:tr>
      <w:tr w:rsidR="00925515" w:rsidRPr="00DD68CC" w14:paraId="61CC9AB9" w14:textId="77777777" w:rsidTr="00A44DD5">
        <w:tc>
          <w:tcPr>
            <w:tcW w:w="568" w:type="dxa"/>
            <w:shd w:val="clear" w:color="auto" w:fill="B2D6CB"/>
          </w:tcPr>
          <w:p w14:paraId="6B00CF34" w14:textId="3D0BADE2" w:rsidR="00925515" w:rsidRPr="00DD68CC" w:rsidRDefault="00141638" w:rsidP="0029216B">
            <w:pPr>
              <w:rPr>
                <w:b/>
              </w:rPr>
            </w:pPr>
            <w:r>
              <w:rPr>
                <w:b/>
              </w:rPr>
              <w:t>9.</w:t>
            </w:r>
          </w:p>
        </w:tc>
        <w:tc>
          <w:tcPr>
            <w:tcW w:w="9355" w:type="dxa"/>
            <w:gridSpan w:val="2"/>
            <w:shd w:val="clear" w:color="auto" w:fill="auto"/>
          </w:tcPr>
          <w:p w14:paraId="126FB056" w14:textId="041A97D7" w:rsidR="00925515" w:rsidRPr="0079318D" w:rsidRDefault="00925515" w:rsidP="004D6EE8">
            <w:r w:rsidRPr="0079318D">
              <w:t>Communicate offer to all pharmacy contractors and secure expressions of interest</w:t>
            </w:r>
            <w:r w:rsidR="00073424">
              <w:t xml:space="preserve"> (</w:t>
            </w:r>
            <w:r w:rsidR="00B20634">
              <w:t>some multiples insist that contractual matters are dealt with centrally</w:t>
            </w:r>
            <w:r w:rsidR="00151A54">
              <w:t>,</w:t>
            </w:r>
            <w:r w:rsidR="00B20634">
              <w:t xml:space="preserve"> so include multiples head offices in the communication where possible). A minimum of two weeks response time should be provided to ensure maximum uptake</w:t>
            </w:r>
            <w:r w:rsidR="00151A54">
              <w:t>.</w:t>
            </w:r>
          </w:p>
        </w:tc>
      </w:tr>
      <w:tr w:rsidR="001A389C" w:rsidRPr="00DD68CC" w14:paraId="1F42FDE8" w14:textId="77777777" w:rsidTr="00A44DD5">
        <w:tc>
          <w:tcPr>
            <w:tcW w:w="568" w:type="dxa"/>
            <w:shd w:val="clear" w:color="auto" w:fill="B2D6CB"/>
          </w:tcPr>
          <w:p w14:paraId="01588FFD" w14:textId="0B3FB354" w:rsidR="001A389C" w:rsidRPr="00DD68CC" w:rsidRDefault="001A389C" w:rsidP="0029216B">
            <w:pPr>
              <w:rPr>
                <w:b/>
              </w:rPr>
            </w:pPr>
            <w:r>
              <w:rPr>
                <w:b/>
              </w:rPr>
              <w:t>10.</w:t>
            </w:r>
          </w:p>
        </w:tc>
        <w:tc>
          <w:tcPr>
            <w:tcW w:w="6662" w:type="dxa"/>
            <w:shd w:val="clear" w:color="auto" w:fill="auto"/>
          </w:tcPr>
          <w:p w14:paraId="26B7A4A2" w14:textId="77777777" w:rsidR="001A389C" w:rsidRPr="0079318D" w:rsidDel="001A55B1" w:rsidRDefault="001A389C" w:rsidP="001A55B1">
            <w:r w:rsidRPr="0079318D">
              <w:t>Organise set up of electronic data capture system (if a web-based system is being used).</w:t>
            </w:r>
            <w:r w:rsidRPr="0079318D" w:rsidDel="001A55B1">
              <w:t xml:space="preserve"> </w:t>
            </w:r>
          </w:p>
        </w:tc>
        <w:tc>
          <w:tcPr>
            <w:tcW w:w="2693" w:type="dxa"/>
            <w:shd w:val="clear" w:color="auto" w:fill="auto"/>
          </w:tcPr>
          <w:p w14:paraId="73F5679C" w14:textId="77777777" w:rsidR="008801A4" w:rsidRPr="00DD68CC" w:rsidRDefault="008801A4" w:rsidP="008801A4">
            <w:pPr>
              <w:rPr>
                <w:b/>
                <w:color w:val="519680"/>
              </w:rPr>
            </w:pPr>
            <w:r w:rsidRPr="00DD68CC">
              <w:rPr>
                <w:b/>
                <w:color w:val="519680"/>
              </w:rPr>
              <w:t>Template documents available:</w:t>
            </w:r>
          </w:p>
          <w:p w14:paraId="1781E947" w14:textId="3CD90DFE" w:rsidR="00D740CE" w:rsidRPr="002D6815" w:rsidRDefault="002D6815" w:rsidP="00A85368">
            <w:pPr>
              <w:pStyle w:val="ListParagraph"/>
              <w:numPr>
                <w:ilvl w:val="0"/>
                <w:numId w:val="5"/>
              </w:numPr>
              <w:spacing w:after="0" w:line="240" w:lineRule="auto"/>
            </w:pPr>
            <w:r w:rsidRPr="000B7F23">
              <w:t>T</w:t>
            </w:r>
            <w:r w:rsidR="008801A4" w:rsidRPr="002D6815">
              <w:t xml:space="preserve">emplate from </w:t>
            </w:r>
            <w:proofErr w:type="spellStart"/>
            <w:r w:rsidR="008801A4" w:rsidRPr="002D6815">
              <w:t>PharmOutcomes</w:t>
            </w:r>
            <w:proofErr w:type="spellEnd"/>
          </w:p>
          <w:p w14:paraId="22AB4356" w14:textId="32B361B1" w:rsidR="001A389C" w:rsidRPr="0079318D" w:rsidRDefault="001A389C" w:rsidP="00A85368">
            <w:pPr>
              <w:spacing w:after="0" w:line="240" w:lineRule="auto"/>
            </w:pPr>
          </w:p>
        </w:tc>
      </w:tr>
      <w:tr w:rsidR="00925515" w:rsidRPr="00DD68CC" w14:paraId="563D9C23" w14:textId="77777777" w:rsidTr="00A44DD5">
        <w:tc>
          <w:tcPr>
            <w:tcW w:w="568" w:type="dxa"/>
            <w:shd w:val="clear" w:color="auto" w:fill="B2D6CB"/>
          </w:tcPr>
          <w:p w14:paraId="68136194" w14:textId="0F5A4704" w:rsidR="00925515" w:rsidRPr="00DD68CC" w:rsidRDefault="00925515" w:rsidP="0029216B">
            <w:pPr>
              <w:rPr>
                <w:b/>
              </w:rPr>
            </w:pPr>
            <w:r>
              <w:rPr>
                <w:b/>
              </w:rPr>
              <w:t>1</w:t>
            </w:r>
            <w:r w:rsidR="00141638">
              <w:rPr>
                <w:b/>
              </w:rPr>
              <w:t>1.</w:t>
            </w:r>
          </w:p>
        </w:tc>
        <w:tc>
          <w:tcPr>
            <w:tcW w:w="6662" w:type="dxa"/>
            <w:shd w:val="clear" w:color="auto" w:fill="auto"/>
          </w:tcPr>
          <w:p w14:paraId="4A9362BA" w14:textId="15632053" w:rsidR="00925515" w:rsidRPr="0079318D" w:rsidRDefault="009C5C79" w:rsidP="0029216B">
            <w:r>
              <w:t xml:space="preserve">Circulate </w:t>
            </w:r>
            <w:r w:rsidR="00155CD9">
              <w:t xml:space="preserve">[service level agreement/NHS shorter form standard contract] </w:t>
            </w:r>
            <w:r w:rsidR="006C3FAF">
              <w:t>to interested contractors and e</w:t>
            </w:r>
            <w:r w:rsidR="00925515" w:rsidRPr="0079318D">
              <w:t>nsure eligible pharmacy contractors provide a signed agreement to provide the service.</w:t>
            </w:r>
          </w:p>
        </w:tc>
        <w:tc>
          <w:tcPr>
            <w:tcW w:w="2693" w:type="dxa"/>
          </w:tcPr>
          <w:p w14:paraId="133F4BFF" w14:textId="77777777" w:rsidR="00925515" w:rsidRPr="00DD68CC" w:rsidRDefault="00925515" w:rsidP="0029216B">
            <w:pPr>
              <w:rPr>
                <w:b/>
                <w:color w:val="519680"/>
              </w:rPr>
            </w:pPr>
            <w:r w:rsidRPr="00DD68CC">
              <w:rPr>
                <w:b/>
                <w:color w:val="519680"/>
              </w:rPr>
              <w:t>Template documents available:</w:t>
            </w:r>
          </w:p>
          <w:p w14:paraId="05721EE4" w14:textId="77777777" w:rsidR="00925515" w:rsidRDefault="00925515" w:rsidP="00925515">
            <w:pPr>
              <w:pStyle w:val="ListParagraph"/>
              <w:numPr>
                <w:ilvl w:val="0"/>
                <w:numId w:val="3"/>
              </w:numPr>
              <w:spacing w:after="0" w:line="240" w:lineRule="auto"/>
            </w:pPr>
            <w:r w:rsidRPr="00DD68CC">
              <w:t>Service sign up form</w:t>
            </w:r>
            <w:r w:rsidR="000E07C6">
              <w:t xml:space="preserve"> (NHS England local team only)</w:t>
            </w:r>
          </w:p>
          <w:p w14:paraId="2CE9D03D" w14:textId="77777777" w:rsidR="00F705C6" w:rsidRDefault="00F705C6" w:rsidP="001A378B">
            <w:pPr>
              <w:spacing w:after="0" w:line="240" w:lineRule="auto"/>
            </w:pPr>
          </w:p>
          <w:p w14:paraId="7E53219E" w14:textId="19ECCFBA" w:rsidR="001A378B" w:rsidRPr="00DD68CC" w:rsidRDefault="001A378B" w:rsidP="00A85368">
            <w:pPr>
              <w:spacing w:after="0" w:line="240" w:lineRule="auto"/>
            </w:pPr>
          </w:p>
        </w:tc>
      </w:tr>
      <w:tr w:rsidR="00925515" w:rsidRPr="00DD68CC" w14:paraId="679C3D41" w14:textId="77777777" w:rsidTr="00A44DD5">
        <w:tc>
          <w:tcPr>
            <w:tcW w:w="9923" w:type="dxa"/>
            <w:gridSpan w:val="3"/>
            <w:shd w:val="clear" w:color="auto" w:fill="B2D6CB"/>
          </w:tcPr>
          <w:p w14:paraId="3B091CA2" w14:textId="19F04291" w:rsidR="00925515" w:rsidRPr="0079318D" w:rsidRDefault="00925515" w:rsidP="005B46E3">
            <w:pPr>
              <w:rPr>
                <w:b/>
              </w:rPr>
            </w:pPr>
            <w:r w:rsidRPr="0079318D">
              <w:rPr>
                <w:b/>
              </w:rPr>
              <w:lastRenderedPageBreak/>
              <w:t>Service launch</w:t>
            </w:r>
          </w:p>
        </w:tc>
      </w:tr>
      <w:tr w:rsidR="00925515" w:rsidRPr="00DD68CC" w14:paraId="4AFFB40F" w14:textId="77777777" w:rsidTr="00A44DD5">
        <w:tc>
          <w:tcPr>
            <w:tcW w:w="568" w:type="dxa"/>
            <w:shd w:val="clear" w:color="auto" w:fill="B2D6CB"/>
          </w:tcPr>
          <w:p w14:paraId="6FE6CE9C" w14:textId="16DBC8A7" w:rsidR="00925515" w:rsidRPr="00DD68CC" w:rsidRDefault="00297CEE" w:rsidP="0029216B">
            <w:pPr>
              <w:rPr>
                <w:b/>
              </w:rPr>
            </w:pPr>
            <w:r>
              <w:rPr>
                <w:b/>
              </w:rPr>
              <w:t>12.</w:t>
            </w:r>
          </w:p>
        </w:tc>
        <w:tc>
          <w:tcPr>
            <w:tcW w:w="9355" w:type="dxa"/>
            <w:gridSpan w:val="2"/>
            <w:shd w:val="clear" w:color="auto" w:fill="auto"/>
          </w:tcPr>
          <w:p w14:paraId="529F795D" w14:textId="1FF9D355" w:rsidR="00925515" w:rsidRPr="0079318D" w:rsidRDefault="00925515" w:rsidP="0029216B">
            <w:r w:rsidRPr="0079318D">
              <w:t>Inform key stakeholders.</w:t>
            </w:r>
            <w:r w:rsidR="00B20634">
              <w:t xml:space="preserve"> </w:t>
            </w:r>
            <w:r w:rsidR="00B20634" w:rsidRPr="00B20634">
              <w:t xml:space="preserve">Good communication is vital to the success of the service.  </w:t>
            </w:r>
            <w:r w:rsidR="00B20634">
              <w:t>It is</w:t>
            </w:r>
            <w:r w:rsidR="00B20634" w:rsidRPr="00B20634">
              <w:t xml:space="preserve"> recommend</w:t>
            </w:r>
            <w:r w:rsidR="00B20634">
              <w:t xml:space="preserve">ed that information is provided to </w:t>
            </w:r>
            <w:r w:rsidR="00B20634" w:rsidRPr="00B20634">
              <w:t xml:space="preserve">the commissioner's communications department, </w:t>
            </w:r>
            <w:r w:rsidR="00B20634">
              <w:t xml:space="preserve">local press and GP </w:t>
            </w:r>
            <w:r w:rsidR="00B20634" w:rsidRPr="00B20634">
              <w:t>practices</w:t>
            </w:r>
            <w:r w:rsidR="00B20634">
              <w:t xml:space="preserve"> in addition to the other stakeholders listed in section 1.</w:t>
            </w:r>
          </w:p>
        </w:tc>
      </w:tr>
      <w:tr w:rsidR="00925515" w:rsidRPr="00DD68CC" w14:paraId="66F0C822" w14:textId="77777777" w:rsidTr="00A44DD5">
        <w:tc>
          <w:tcPr>
            <w:tcW w:w="568" w:type="dxa"/>
            <w:shd w:val="clear" w:color="auto" w:fill="B2D6CB"/>
          </w:tcPr>
          <w:p w14:paraId="4EAB8408" w14:textId="35AEAFA9" w:rsidR="00925515" w:rsidRPr="00DD68CC" w:rsidRDefault="00297CEE" w:rsidP="0029216B">
            <w:pPr>
              <w:rPr>
                <w:b/>
              </w:rPr>
            </w:pPr>
            <w:r>
              <w:rPr>
                <w:b/>
              </w:rPr>
              <w:t>13</w:t>
            </w:r>
            <w:r w:rsidR="00925515">
              <w:rPr>
                <w:b/>
              </w:rPr>
              <w:t>.</w:t>
            </w:r>
          </w:p>
        </w:tc>
        <w:tc>
          <w:tcPr>
            <w:tcW w:w="9355" w:type="dxa"/>
            <w:gridSpan w:val="2"/>
            <w:shd w:val="clear" w:color="auto" w:fill="auto"/>
          </w:tcPr>
          <w:p w14:paraId="24F505EB" w14:textId="790AA32A" w:rsidR="00B20634" w:rsidRPr="0079318D" w:rsidRDefault="00925515" w:rsidP="00E35B87">
            <w:r w:rsidRPr="0079318D">
              <w:t>Provide eligible pharmacy contractors with access to the service on web-based system (if a web-based system is being used).</w:t>
            </w:r>
            <w:r w:rsidR="00782D77" w:rsidRPr="0079318D">
              <w:t xml:space="preserve"> </w:t>
            </w:r>
          </w:p>
        </w:tc>
      </w:tr>
      <w:tr w:rsidR="00925515" w:rsidRPr="00DD68CC" w14:paraId="49B2F7CF" w14:textId="77777777" w:rsidTr="00A44DD5">
        <w:tc>
          <w:tcPr>
            <w:tcW w:w="568" w:type="dxa"/>
            <w:shd w:val="clear" w:color="auto" w:fill="B2D6CB"/>
          </w:tcPr>
          <w:p w14:paraId="3E3AB04B" w14:textId="0995A736" w:rsidR="00925515" w:rsidRPr="00DD68CC" w:rsidRDefault="00297CEE" w:rsidP="0029216B">
            <w:pPr>
              <w:rPr>
                <w:b/>
              </w:rPr>
            </w:pPr>
            <w:r>
              <w:rPr>
                <w:b/>
              </w:rPr>
              <w:t>14.</w:t>
            </w:r>
          </w:p>
        </w:tc>
        <w:tc>
          <w:tcPr>
            <w:tcW w:w="6662" w:type="dxa"/>
            <w:shd w:val="clear" w:color="auto" w:fill="auto"/>
          </w:tcPr>
          <w:p w14:paraId="6C8A1552" w14:textId="284BDE5F" w:rsidR="00925515" w:rsidRPr="0079318D" w:rsidRDefault="00925515" w:rsidP="0029216B">
            <w:r w:rsidRPr="0079318D">
              <w:t>Inform pharmacy contractors they can provide the service and distribute any paperwork they will require to provide the service</w:t>
            </w:r>
            <w:r w:rsidR="008B46C3">
              <w:t xml:space="preserve"> (only required </w:t>
            </w:r>
            <w:r w:rsidR="005A08EE">
              <w:t>where a non-web-based service is being implemented)</w:t>
            </w:r>
            <w:r w:rsidRPr="0079318D">
              <w:t>.</w:t>
            </w:r>
          </w:p>
        </w:tc>
        <w:tc>
          <w:tcPr>
            <w:tcW w:w="2693" w:type="dxa"/>
          </w:tcPr>
          <w:p w14:paraId="0860D019" w14:textId="77777777" w:rsidR="00925515" w:rsidRPr="00DD68CC" w:rsidRDefault="00925515" w:rsidP="0029216B">
            <w:pPr>
              <w:rPr>
                <w:b/>
                <w:color w:val="519680"/>
              </w:rPr>
            </w:pPr>
            <w:r w:rsidRPr="00DD68CC">
              <w:rPr>
                <w:b/>
                <w:color w:val="519680"/>
              </w:rPr>
              <w:t>Template documents available:</w:t>
            </w:r>
          </w:p>
          <w:p w14:paraId="051BF261" w14:textId="77777777" w:rsidR="00925515" w:rsidRPr="00DD68CC" w:rsidRDefault="00925515" w:rsidP="0029216B">
            <w:r w:rsidRPr="00DD68CC">
              <w:t>Service specification which includes:</w:t>
            </w:r>
          </w:p>
          <w:p w14:paraId="1C2E158F" w14:textId="77777777" w:rsidR="00925515" w:rsidRPr="00DD68CC" w:rsidRDefault="00925515" w:rsidP="00925515">
            <w:pPr>
              <w:pStyle w:val="ListParagraph"/>
              <w:numPr>
                <w:ilvl w:val="0"/>
                <w:numId w:val="3"/>
              </w:numPr>
              <w:spacing w:after="0" w:line="240" w:lineRule="auto"/>
            </w:pPr>
            <w:r w:rsidRPr="00DD68CC">
              <w:t>Record and consent form;</w:t>
            </w:r>
          </w:p>
          <w:p w14:paraId="2EFDC9C5" w14:textId="77777777" w:rsidR="00925515" w:rsidRPr="00DD68CC" w:rsidRDefault="00925515" w:rsidP="00925515">
            <w:pPr>
              <w:pStyle w:val="ListParagraph"/>
              <w:numPr>
                <w:ilvl w:val="0"/>
                <w:numId w:val="3"/>
              </w:numPr>
              <w:spacing w:after="0" w:line="240" w:lineRule="auto"/>
            </w:pPr>
            <w:r w:rsidRPr="00DD68CC">
              <w:t>Indications treatable under the service;</w:t>
            </w:r>
          </w:p>
          <w:p w14:paraId="59325498" w14:textId="77777777" w:rsidR="00925515" w:rsidRPr="00DD68CC" w:rsidRDefault="00925515" w:rsidP="00925515">
            <w:pPr>
              <w:pStyle w:val="ListParagraph"/>
              <w:numPr>
                <w:ilvl w:val="0"/>
                <w:numId w:val="3"/>
              </w:numPr>
              <w:spacing w:after="0" w:line="240" w:lineRule="auto"/>
            </w:pPr>
            <w:r w:rsidRPr="00DD68CC">
              <w:t>Formulary;</w:t>
            </w:r>
          </w:p>
          <w:p w14:paraId="5C6C56FF" w14:textId="135E43E8" w:rsidR="00925515" w:rsidRPr="00DD68CC" w:rsidRDefault="00925515">
            <w:pPr>
              <w:pStyle w:val="ListParagraph"/>
              <w:numPr>
                <w:ilvl w:val="0"/>
                <w:numId w:val="3"/>
              </w:numPr>
              <w:spacing w:after="0" w:line="240" w:lineRule="auto"/>
            </w:pPr>
            <w:r w:rsidRPr="00DD68CC">
              <w:t>GP notification form;</w:t>
            </w:r>
            <w:r w:rsidR="00CE48F9">
              <w:t xml:space="preserve"> </w:t>
            </w:r>
            <w:r w:rsidRPr="00DD68CC">
              <w:t>and</w:t>
            </w:r>
          </w:p>
          <w:p w14:paraId="43525C7D" w14:textId="77777777" w:rsidR="00925515" w:rsidRPr="00DD68CC" w:rsidRDefault="00925515" w:rsidP="00925515">
            <w:pPr>
              <w:pStyle w:val="ListParagraph"/>
              <w:numPr>
                <w:ilvl w:val="0"/>
                <w:numId w:val="3"/>
              </w:numPr>
              <w:spacing w:after="0" w:line="240" w:lineRule="auto"/>
            </w:pPr>
            <w:r w:rsidRPr="00DD68CC">
              <w:t>Claim form.</w:t>
            </w:r>
          </w:p>
        </w:tc>
      </w:tr>
      <w:tr w:rsidR="00CE48F9" w:rsidRPr="00DD68CC" w14:paraId="55D1F353" w14:textId="77777777" w:rsidTr="002E2F75">
        <w:tc>
          <w:tcPr>
            <w:tcW w:w="568" w:type="dxa"/>
            <w:shd w:val="clear" w:color="auto" w:fill="B2D6CB"/>
          </w:tcPr>
          <w:p w14:paraId="71D99637" w14:textId="225FC9E4" w:rsidR="00CE48F9" w:rsidRDefault="00CE48F9" w:rsidP="0029216B">
            <w:pPr>
              <w:rPr>
                <w:b/>
              </w:rPr>
            </w:pPr>
            <w:r>
              <w:rPr>
                <w:b/>
              </w:rPr>
              <w:t>15.</w:t>
            </w:r>
          </w:p>
        </w:tc>
        <w:tc>
          <w:tcPr>
            <w:tcW w:w="9355" w:type="dxa"/>
            <w:gridSpan w:val="2"/>
            <w:shd w:val="clear" w:color="auto" w:fill="auto"/>
          </w:tcPr>
          <w:p w14:paraId="07D6C861" w14:textId="1B903A4E" w:rsidR="00CE48F9" w:rsidRPr="00426C4B" w:rsidRDefault="00CE48F9" w:rsidP="0029216B">
            <w:pPr>
              <w:rPr>
                <w:b/>
                <w:color w:val="519680"/>
                <w:highlight w:val="yellow"/>
              </w:rPr>
            </w:pPr>
            <w:r w:rsidRPr="0079318D">
              <w:t xml:space="preserve">Distribute promotional materials for the service such as posters and flyers </w:t>
            </w:r>
            <w:r w:rsidRPr="00B20634">
              <w:t>to pharmacy contractors, GP practices and Out of Hours service providers</w:t>
            </w:r>
            <w:r>
              <w:t xml:space="preserve"> </w:t>
            </w:r>
            <w:r w:rsidRPr="0079318D">
              <w:t xml:space="preserve">and encourage </w:t>
            </w:r>
            <w:r>
              <w:t xml:space="preserve">all stakeholders </w:t>
            </w:r>
            <w:r w:rsidRPr="0079318D">
              <w:t xml:space="preserve">to display these in their </w:t>
            </w:r>
            <w:r>
              <w:t>premises</w:t>
            </w:r>
            <w:r w:rsidRPr="0079318D">
              <w:t>.</w:t>
            </w:r>
          </w:p>
        </w:tc>
      </w:tr>
      <w:tr w:rsidR="00925515" w:rsidRPr="00DD68CC" w14:paraId="012D216D" w14:textId="77777777" w:rsidTr="003353BE">
        <w:tc>
          <w:tcPr>
            <w:tcW w:w="568" w:type="dxa"/>
            <w:shd w:val="clear" w:color="auto" w:fill="B2D6CB"/>
          </w:tcPr>
          <w:p w14:paraId="727098EE" w14:textId="07197837" w:rsidR="00925515" w:rsidRPr="00DD68CC" w:rsidRDefault="00917579" w:rsidP="0029216B">
            <w:pPr>
              <w:rPr>
                <w:b/>
              </w:rPr>
            </w:pPr>
            <w:r>
              <w:rPr>
                <w:b/>
              </w:rPr>
              <w:t>16</w:t>
            </w:r>
            <w:r w:rsidR="00925515">
              <w:rPr>
                <w:b/>
              </w:rPr>
              <w:t>.</w:t>
            </w:r>
          </w:p>
        </w:tc>
        <w:tc>
          <w:tcPr>
            <w:tcW w:w="6662" w:type="dxa"/>
            <w:shd w:val="clear" w:color="auto" w:fill="auto"/>
          </w:tcPr>
          <w:p w14:paraId="64A7E43C" w14:textId="77777777" w:rsidR="00925515" w:rsidRPr="0079318D" w:rsidRDefault="00925515" w:rsidP="0029216B">
            <w:r w:rsidRPr="0079318D">
              <w:t>Advise pharmacy contractors to contact their local GP practices to notify them of the Minor Ailment Service and encourage them to work with their GP practice so patients are referred to the service.</w:t>
            </w:r>
          </w:p>
        </w:tc>
        <w:tc>
          <w:tcPr>
            <w:tcW w:w="2693" w:type="dxa"/>
            <w:shd w:val="clear" w:color="auto" w:fill="auto"/>
          </w:tcPr>
          <w:p w14:paraId="17EBC2B7" w14:textId="77777777" w:rsidR="00925515" w:rsidRPr="0079318D" w:rsidRDefault="00925515" w:rsidP="0029216B">
            <w:pPr>
              <w:rPr>
                <w:b/>
                <w:color w:val="519680"/>
              </w:rPr>
            </w:pPr>
            <w:r w:rsidRPr="0079318D">
              <w:rPr>
                <w:b/>
                <w:color w:val="519680"/>
              </w:rPr>
              <w:t>Template documents available:</w:t>
            </w:r>
          </w:p>
          <w:p w14:paraId="4A99B60E" w14:textId="77777777" w:rsidR="00925515" w:rsidRPr="0079318D" w:rsidRDefault="00925515" w:rsidP="00925515">
            <w:pPr>
              <w:pStyle w:val="ListParagraph"/>
              <w:numPr>
                <w:ilvl w:val="0"/>
                <w:numId w:val="6"/>
              </w:numPr>
              <w:spacing w:after="0" w:line="240" w:lineRule="auto"/>
            </w:pPr>
            <w:r w:rsidRPr="0079318D">
              <w:t>GP practice</w:t>
            </w:r>
            <w:r>
              <w:t xml:space="preserve"> briefing document</w:t>
            </w:r>
            <w:r w:rsidRPr="0079318D">
              <w:t xml:space="preserve">; </w:t>
            </w:r>
          </w:p>
          <w:p w14:paraId="05EA0D2F" w14:textId="77777777" w:rsidR="00925515" w:rsidRPr="009159F6" w:rsidRDefault="00925515" w:rsidP="00925515">
            <w:pPr>
              <w:pStyle w:val="ListParagraph"/>
              <w:numPr>
                <w:ilvl w:val="0"/>
                <w:numId w:val="6"/>
              </w:numPr>
              <w:spacing w:after="0" w:line="240" w:lineRule="auto"/>
              <w:rPr>
                <w:b/>
                <w:color w:val="519680"/>
              </w:rPr>
            </w:pPr>
            <w:r w:rsidRPr="0079318D">
              <w:t>Template letter for GP practices</w:t>
            </w:r>
            <w:r>
              <w:t xml:space="preserve"> (without PGDs); and</w:t>
            </w:r>
          </w:p>
          <w:p w14:paraId="7F086C3B" w14:textId="77777777" w:rsidR="00925515" w:rsidRPr="0079318D" w:rsidRDefault="00925515" w:rsidP="00925515">
            <w:pPr>
              <w:pStyle w:val="ListParagraph"/>
              <w:numPr>
                <w:ilvl w:val="0"/>
                <w:numId w:val="6"/>
              </w:numPr>
              <w:spacing w:after="0" w:line="240" w:lineRule="auto"/>
              <w:rPr>
                <w:b/>
                <w:color w:val="519680"/>
              </w:rPr>
            </w:pPr>
            <w:r>
              <w:t>Template letter for GP practices (with PGDs)</w:t>
            </w:r>
            <w:r w:rsidRPr="0079318D">
              <w:t>.</w:t>
            </w:r>
          </w:p>
        </w:tc>
      </w:tr>
      <w:tr w:rsidR="00CE48F9" w:rsidRPr="00DD68CC" w14:paraId="172F5094" w14:textId="77777777" w:rsidTr="007849DD">
        <w:tc>
          <w:tcPr>
            <w:tcW w:w="568" w:type="dxa"/>
            <w:shd w:val="clear" w:color="auto" w:fill="B2D6CB"/>
          </w:tcPr>
          <w:p w14:paraId="355E15FD" w14:textId="7ED9B446" w:rsidR="00CE48F9" w:rsidRDefault="00CE48F9" w:rsidP="0029216B">
            <w:pPr>
              <w:rPr>
                <w:b/>
              </w:rPr>
            </w:pPr>
            <w:r>
              <w:rPr>
                <w:b/>
              </w:rPr>
              <w:t>17.</w:t>
            </w:r>
          </w:p>
        </w:tc>
        <w:tc>
          <w:tcPr>
            <w:tcW w:w="9355" w:type="dxa"/>
            <w:gridSpan w:val="2"/>
            <w:shd w:val="clear" w:color="auto" w:fill="auto"/>
          </w:tcPr>
          <w:p w14:paraId="098D9239" w14:textId="598545CF" w:rsidR="00CE48F9" w:rsidRPr="0079318D" w:rsidRDefault="00CE48F9" w:rsidP="0029216B">
            <w:pPr>
              <w:rPr>
                <w:b/>
                <w:color w:val="519680"/>
              </w:rPr>
            </w:pPr>
            <w:r>
              <w:t>Advise pharmacy contractors to update their NHS Choices profile</w:t>
            </w:r>
            <w:r w:rsidR="006C10A7">
              <w:t>.</w:t>
            </w:r>
          </w:p>
        </w:tc>
      </w:tr>
      <w:tr w:rsidR="006C10A7" w:rsidRPr="00DD68CC" w14:paraId="0F86D416" w14:textId="77777777" w:rsidTr="00097B7A">
        <w:trPr>
          <w:trHeight w:val="699"/>
        </w:trPr>
        <w:tc>
          <w:tcPr>
            <w:tcW w:w="568" w:type="dxa"/>
            <w:shd w:val="clear" w:color="auto" w:fill="B2D6CB"/>
          </w:tcPr>
          <w:p w14:paraId="3B680E2B" w14:textId="5DF9A455" w:rsidR="006C10A7" w:rsidRDefault="006C10A7" w:rsidP="0029216B">
            <w:pPr>
              <w:rPr>
                <w:b/>
              </w:rPr>
            </w:pPr>
            <w:r>
              <w:rPr>
                <w:b/>
              </w:rPr>
              <w:t>18.</w:t>
            </w:r>
          </w:p>
        </w:tc>
        <w:tc>
          <w:tcPr>
            <w:tcW w:w="9355" w:type="dxa"/>
            <w:gridSpan w:val="2"/>
            <w:shd w:val="clear" w:color="auto" w:fill="auto"/>
          </w:tcPr>
          <w:p w14:paraId="33DF1073" w14:textId="4D22367B" w:rsidR="006C10A7" w:rsidRPr="0079318D" w:rsidRDefault="006C10A7" w:rsidP="0029216B">
            <w:pPr>
              <w:rPr>
                <w:b/>
                <w:color w:val="519680"/>
              </w:rPr>
            </w:pPr>
            <w:r w:rsidRPr="0079318D">
              <w:t>Encourage the LPC to also contact the LMC to highlight that a Minor Ailment Service is now available in the area and ask them to share this across the GP network to encourage referrals.</w:t>
            </w:r>
            <w:r>
              <w:t xml:space="preserve"> </w:t>
            </w:r>
            <w:r w:rsidR="004C5520">
              <w:t xml:space="preserve">The </w:t>
            </w:r>
            <w:r w:rsidRPr="00080E96">
              <w:t xml:space="preserve">LPC </w:t>
            </w:r>
            <w:r w:rsidR="004C5520">
              <w:t xml:space="preserve">may be willing </w:t>
            </w:r>
            <w:r w:rsidRPr="00080E96">
              <w:t>to offer GP practices</w:t>
            </w:r>
            <w:r w:rsidR="004C5520">
              <w:t>,</w:t>
            </w:r>
            <w:r w:rsidRPr="00080E96">
              <w:t xml:space="preserve"> via the LMC</w:t>
            </w:r>
            <w:r w:rsidR="004C5520">
              <w:t>,</w:t>
            </w:r>
            <w:r w:rsidRPr="00080E96">
              <w:t xml:space="preserve"> training for receptionists, GPs and other practice staff</w:t>
            </w:r>
            <w:r>
              <w:t>.</w:t>
            </w:r>
          </w:p>
        </w:tc>
      </w:tr>
      <w:tr w:rsidR="00925515" w:rsidRPr="00DD68CC" w14:paraId="2CABD83E" w14:textId="77777777" w:rsidTr="007C6661">
        <w:tc>
          <w:tcPr>
            <w:tcW w:w="9923" w:type="dxa"/>
            <w:gridSpan w:val="3"/>
            <w:shd w:val="clear" w:color="auto" w:fill="B2D6CB"/>
          </w:tcPr>
          <w:p w14:paraId="38C9B184" w14:textId="70650A9B" w:rsidR="00925515" w:rsidRPr="0079318D" w:rsidRDefault="00925515" w:rsidP="005B46E3">
            <w:pPr>
              <w:rPr>
                <w:b/>
                <w:color w:val="519680"/>
              </w:rPr>
            </w:pPr>
            <w:r w:rsidRPr="0079318D">
              <w:rPr>
                <w:b/>
              </w:rPr>
              <w:t>Service delivery and maintenance</w:t>
            </w:r>
          </w:p>
        </w:tc>
      </w:tr>
      <w:tr w:rsidR="00925515" w:rsidRPr="00DD68CC" w14:paraId="0E7F279A" w14:textId="77777777" w:rsidTr="007C6661">
        <w:tc>
          <w:tcPr>
            <w:tcW w:w="568" w:type="dxa"/>
            <w:shd w:val="clear" w:color="auto" w:fill="B2D6CB"/>
          </w:tcPr>
          <w:p w14:paraId="57937A58" w14:textId="6D58F9C9" w:rsidR="00925515" w:rsidRPr="00DD68CC" w:rsidRDefault="00917579" w:rsidP="0029216B">
            <w:pPr>
              <w:rPr>
                <w:b/>
              </w:rPr>
            </w:pPr>
            <w:r>
              <w:rPr>
                <w:b/>
              </w:rPr>
              <w:t>19.</w:t>
            </w:r>
          </w:p>
        </w:tc>
        <w:tc>
          <w:tcPr>
            <w:tcW w:w="6662" w:type="dxa"/>
            <w:shd w:val="clear" w:color="auto" w:fill="auto"/>
          </w:tcPr>
          <w:p w14:paraId="4FC9682C" w14:textId="77777777" w:rsidR="00925515" w:rsidRPr="0079318D" w:rsidRDefault="00925515" w:rsidP="0029216B">
            <w:r w:rsidRPr="0079318D">
              <w:t>Community pharmacies provide the service to eligible NHS patients and record activity on web-based system or using agreed paperwork.</w:t>
            </w:r>
          </w:p>
        </w:tc>
        <w:tc>
          <w:tcPr>
            <w:tcW w:w="2693" w:type="dxa"/>
          </w:tcPr>
          <w:p w14:paraId="7CAE3087" w14:textId="77777777" w:rsidR="00925515" w:rsidRPr="00DD68CC" w:rsidRDefault="00925515" w:rsidP="0029216B">
            <w:pPr>
              <w:rPr>
                <w:b/>
                <w:color w:val="519680"/>
              </w:rPr>
            </w:pPr>
            <w:r w:rsidRPr="00DD68CC">
              <w:rPr>
                <w:b/>
                <w:color w:val="519680"/>
              </w:rPr>
              <w:t>Template documents available:</w:t>
            </w:r>
          </w:p>
          <w:p w14:paraId="4188B55C" w14:textId="77777777" w:rsidR="00925515" w:rsidRPr="00DD68CC" w:rsidRDefault="00925515" w:rsidP="0029216B">
            <w:r w:rsidRPr="00DD68CC">
              <w:t>Service specification which includes:</w:t>
            </w:r>
          </w:p>
          <w:p w14:paraId="34A27040" w14:textId="77777777" w:rsidR="00925515" w:rsidRPr="00DD68CC" w:rsidRDefault="00925515" w:rsidP="00925515">
            <w:pPr>
              <w:pStyle w:val="ListParagraph"/>
              <w:numPr>
                <w:ilvl w:val="0"/>
                <w:numId w:val="3"/>
              </w:numPr>
              <w:spacing w:after="0" w:line="240" w:lineRule="auto"/>
            </w:pPr>
            <w:r w:rsidRPr="00DD68CC">
              <w:t>Record and consent form;</w:t>
            </w:r>
          </w:p>
          <w:p w14:paraId="56B91B52" w14:textId="77777777" w:rsidR="00925515" w:rsidRPr="00DD68CC" w:rsidRDefault="00925515" w:rsidP="00925515">
            <w:pPr>
              <w:pStyle w:val="ListParagraph"/>
              <w:numPr>
                <w:ilvl w:val="0"/>
                <w:numId w:val="3"/>
              </w:numPr>
              <w:spacing w:after="0" w:line="240" w:lineRule="auto"/>
            </w:pPr>
            <w:r w:rsidRPr="00DD68CC">
              <w:lastRenderedPageBreak/>
              <w:t>Indications treatable under the service;</w:t>
            </w:r>
          </w:p>
          <w:p w14:paraId="1659EAFD" w14:textId="77777777" w:rsidR="00925515" w:rsidRPr="00DD68CC" w:rsidRDefault="00925515" w:rsidP="00925515">
            <w:pPr>
              <w:pStyle w:val="ListParagraph"/>
              <w:numPr>
                <w:ilvl w:val="0"/>
                <w:numId w:val="3"/>
              </w:numPr>
              <w:spacing w:after="0" w:line="240" w:lineRule="auto"/>
            </w:pPr>
            <w:r w:rsidRPr="00DD68CC">
              <w:t>Formulary;</w:t>
            </w:r>
          </w:p>
          <w:p w14:paraId="41C7CC10" w14:textId="3EAC5428" w:rsidR="00925515" w:rsidRDefault="00925515" w:rsidP="005C082E">
            <w:pPr>
              <w:pStyle w:val="ListParagraph"/>
              <w:numPr>
                <w:ilvl w:val="0"/>
                <w:numId w:val="3"/>
              </w:numPr>
              <w:spacing w:after="0" w:line="240" w:lineRule="auto"/>
            </w:pPr>
            <w:r w:rsidRPr="00DD68CC">
              <w:t>GP notification form;</w:t>
            </w:r>
            <w:r w:rsidR="005C082E">
              <w:t xml:space="preserve"> </w:t>
            </w:r>
            <w:r w:rsidRPr="00DD68CC">
              <w:t>and</w:t>
            </w:r>
          </w:p>
          <w:p w14:paraId="28EC5B81" w14:textId="77777777" w:rsidR="00925515" w:rsidRPr="00DD68CC" w:rsidRDefault="00925515" w:rsidP="00925515">
            <w:pPr>
              <w:pStyle w:val="ListParagraph"/>
              <w:numPr>
                <w:ilvl w:val="0"/>
                <w:numId w:val="3"/>
              </w:numPr>
              <w:spacing w:after="0" w:line="240" w:lineRule="auto"/>
            </w:pPr>
            <w:r w:rsidRPr="00DD68CC">
              <w:t>Claim form.</w:t>
            </w:r>
          </w:p>
        </w:tc>
      </w:tr>
      <w:tr w:rsidR="00925515" w:rsidRPr="00DD68CC" w14:paraId="7530ECCB" w14:textId="77777777" w:rsidTr="007C6661">
        <w:tc>
          <w:tcPr>
            <w:tcW w:w="568" w:type="dxa"/>
            <w:shd w:val="clear" w:color="auto" w:fill="B2D6CB"/>
          </w:tcPr>
          <w:p w14:paraId="3F1EFA37" w14:textId="74255360" w:rsidR="00925515" w:rsidRPr="00DD68CC" w:rsidRDefault="00917579" w:rsidP="0029216B">
            <w:pPr>
              <w:rPr>
                <w:b/>
              </w:rPr>
            </w:pPr>
            <w:r>
              <w:rPr>
                <w:b/>
              </w:rPr>
              <w:lastRenderedPageBreak/>
              <w:t>20.</w:t>
            </w:r>
          </w:p>
        </w:tc>
        <w:tc>
          <w:tcPr>
            <w:tcW w:w="9355" w:type="dxa"/>
            <w:gridSpan w:val="2"/>
            <w:shd w:val="clear" w:color="auto" w:fill="auto"/>
          </w:tcPr>
          <w:p w14:paraId="0549A44E" w14:textId="313B93BC" w:rsidR="00925515" w:rsidRPr="0079318D" w:rsidRDefault="00925515" w:rsidP="0078486F">
            <w:r w:rsidRPr="0079318D">
              <w:t xml:space="preserve">Monitor data on service provision and review the service to ensure it is delivering the </w:t>
            </w:r>
            <w:r w:rsidR="006C69EB" w:rsidRPr="0079318D">
              <w:t>KPIs</w:t>
            </w:r>
            <w:r w:rsidR="00A953C9">
              <w:t xml:space="preserve">. </w:t>
            </w:r>
            <w:r w:rsidR="00ED6D7B">
              <w:t>Detailed scrutiny and more robust evaluation of the service and its outcomes should be undertaken as appropriate.</w:t>
            </w:r>
          </w:p>
        </w:tc>
      </w:tr>
      <w:tr w:rsidR="00925515" w:rsidRPr="00DD68CC" w14:paraId="02F0EE09" w14:textId="77777777" w:rsidTr="007C6661">
        <w:tc>
          <w:tcPr>
            <w:tcW w:w="568" w:type="dxa"/>
            <w:shd w:val="clear" w:color="auto" w:fill="B2D6CB"/>
          </w:tcPr>
          <w:p w14:paraId="70F92B3E" w14:textId="559F68DD" w:rsidR="00925515" w:rsidRPr="00DD68CC" w:rsidRDefault="00B37D01" w:rsidP="0029216B">
            <w:pPr>
              <w:rPr>
                <w:b/>
              </w:rPr>
            </w:pPr>
            <w:r>
              <w:rPr>
                <w:b/>
              </w:rPr>
              <w:t>2</w:t>
            </w:r>
            <w:r w:rsidR="005B46E3">
              <w:rPr>
                <w:b/>
              </w:rPr>
              <w:t>1.</w:t>
            </w:r>
          </w:p>
        </w:tc>
        <w:tc>
          <w:tcPr>
            <w:tcW w:w="9355" w:type="dxa"/>
            <w:gridSpan w:val="2"/>
            <w:shd w:val="clear" w:color="auto" w:fill="auto"/>
          </w:tcPr>
          <w:p w14:paraId="7D5D64CC" w14:textId="40808BDF" w:rsidR="00925515" w:rsidRPr="0079318D" w:rsidRDefault="00925515" w:rsidP="005B46E3">
            <w:r w:rsidRPr="0079318D">
              <w:t>Support pharmacy contractors by highlighting local success stories and sharing good practice (the LPC may be able to assist with this).</w:t>
            </w:r>
          </w:p>
        </w:tc>
      </w:tr>
      <w:tr w:rsidR="00925515" w:rsidRPr="00DD68CC" w14:paraId="1A6F2598" w14:textId="77777777" w:rsidTr="007C6661">
        <w:tc>
          <w:tcPr>
            <w:tcW w:w="568" w:type="dxa"/>
            <w:shd w:val="clear" w:color="auto" w:fill="B2D6CB"/>
          </w:tcPr>
          <w:p w14:paraId="6FE86F90" w14:textId="5F86D0C2" w:rsidR="00925515" w:rsidRPr="00DD68CC" w:rsidRDefault="00B37D01" w:rsidP="0029216B">
            <w:pPr>
              <w:rPr>
                <w:b/>
              </w:rPr>
            </w:pPr>
            <w:r>
              <w:rPr>
                <w:b/>
              </w:rPr>
              <w:t>2</w:t>
            </w:r>
            <w:r w:rsidR="005B46E3">
              <w:rPr>
                <w:b/>
              </w:rPr>
              <w:t>2</w:t>
            </w:r>
            <w:r>
              <w:rPr>
                <w:b/>
              </w:rPr>
              <w:t>.</w:t>
            </w:r>
          </w:p>
        </w:tc>
        <w:tc>
          <w:tcPr>
            <w:tcW w:w="9355" w:type="dxa"/>
            <w:gridSpan w:val="2"/>
            <w:shd w:val="clear" w:color="auto" w:fill="auto"/>
          </w:tcPr>
          <w:p w14:paraId="5D016AE8" w14:textId="642911B3" w:rsidR="00925515" w:rsidRPr="0079318D" w:rsidRDefault="00925515" w:rsidP="005B46E3">
            <w:r w:rsidRPr="0079318D">
              <w:t>Encourage GP practices to refer patients to the Minor Ailment Service using the commissioner’s communication channels.</w:t>
            </w:r>
            <w:r w:rsidR="003D02C2" w:rsidRPr="0079318D" w:rsidDel="003D02C2">
              <w:t xml:space="preserve"> </w:t>
            </w:r>
          </w:p>
        </w:tc>
      </w:tr>
      <w:tr w:rsidR="00925515" w:rsidRPr="00DD68CC" w14:paraId="09C0F303" w14:textId="77777777" w:rsidTr="007C6661">
        <w:tc>
          <w:tcPr>
            <w:tcW w:w="568" w:type="dxa"/>
            <w:shd w:val="clear" w:color="auto" w:fill="B2D6CB"/>
          </w:tcPr>
          <w:p w14:paraId="3501ED7E" w14:textId="52038096" w:rsidR="00925515" w:rsidRPr="00DD68CC" w:rsidRDefault="00B37D01" w:rsidP="0029216B">
            <w:pPr>
              <w:rPr>
                <w:b/>
              </w:rPr>
            </w:pPr>
            <w:r>
              <w:rPr>
                <w:b/>
              </w:rPr>
              <w:t>2</w:t>
            </w:r>
            <w:r w:rsidR="005B46E3">
              <w:rPr>
                <w:b/>
              </w:rPr>
              <w:t>3</w:t>
            </w:r>
            <w:r>
              <w:rPr>
                <w:b/>
              </w:rPr>
              <w:t>.</w:t>
            </w:r>
          </w:p>
        </w:tc>
        <w:tc>
          <w:tcPr>
            <w:tcW w:w="9355" w:type="dxa"/>
            <w:gridSpan w:val="2"/>
            <w:shd w:val="clear" w:color="auto" w:fill="auto"/>
          </w:tcPr>
          <w:p w14:paraId="2600DA3C" w14:textId="77777777" w:rsidR="00925515" w:rsidRPr="0079318D" w:rsidRDefault="00925515" w:rsidP="0029216B">
            <w:r w:rsidRPr="0079318D">
              <w:t>Continue to raise patients’ awareness of the Minor Ailment Service; consider using local press to highlight the service.</w:t>
            </w:r>
          </w:p>
        </w:tc>
      </w:tr>
      <w:tr w:rsidR="00925515" w:rsidRPr="00DD68CC" w14:paraId="2F4CA72A" w14:textId="77777777" w:rsidTr="007C6661">
        <w:tc>
          <w:tcPr>
            <w:tcW w:w="568" w:type="dxa"/>
            <w:shd w:val="clear" w:color="auto" w:fill="B2D6CB"/>
          </w:tcPr>
          <w:p w14:paraId="4A376AF1" w14:textId="6B68D9B9" w:rsidR="00925515" w:rsidRPr="00DD68CC" w:rsidRDefault="00B37D01" w:rsidP="0029216B">
            <w:pPr>
              <w:rPr>
                <w:b/>
              </w:rPr>
            </w:pPr>
            <w:r>
              <w:rPr>
                <w:b/>
              </w:rPr>
              <w:t>2</w:t>
            </w:r>
            <w:r w:rsidR="005B46E3">
              <w:rPr>
                <w:b/>
              </w:rPr>
              <w:t>4</w:t>
            </w:r>
            <w:r>
              <w:rPr>
                <w:b/>
              </w:rPr>
              <w:t>.</w:t>
            </w:r>
          </w:p>
        </w:tc>
        <w:tc>
          <w:tcPr>
            <w:tcW w:w="6662" w:type="dxa"/>
          </w:tcPr>
          <w:p w14:paraId="4B0E89E0" w14:textId="75015A80" w:rsidR="00925515" w:rsidRPr="00DD68CC" w:rsidRDefault="00925515" w:rsidP="0029216B">
            <w:r w:rsidRPr="00DD68CC">
              <w:t>Pay pharmacy contractors</w:t>
            </w:r>
            <w:r w:rsidR="00080E96">
              <w:t xml:space="preserve"> monthly</w:t>
            </w:r>
            <w:r w:rsidRPr="00DD68CC">
              <w:t>.</w:t>
            </w:r>
          </w:p>
        </w:tc>
        <w:tc>
          <w:tcPr>
            <w:tcW w:w="2693" w:type="dxa"/>
          </w:tcPr>
          <w:p w14:paraId="07CC268D" w14:textId="21ABEE5F" w:rsidR="00925515" w:rsidRPr="00DD68CC" w:rsidRDefault="00925515" w:rsidP="0029216B">
            <w:pPr>
              <w:rPr>
                <w:b/>
                <w:color w:val="519680"/>
              </w:rPr>
            </w:pPr>
            <w:r w:rsidRPr="00DD68CC">
              <w:rPr>
                <w:b/>
                <w:color w:val="519680"/>
              </w:rPr>
              <w:t>Template</w:t>
            </w:r>
            <w:r w:rsidR="00C35941">
              <w:rPr>
                <w:b/>
                <w:color w:val="519680"/>
              </w:rPr>
              <w:t xml:space="preserve"> / support</w:t>
            </w:r>
            <w:r w:rsidRPr="00DD68CC">
              <w:rPr>
                <w:b/>
                <w:color w:val="519680"/>
              </w:rPr>
              <w:t xml:space="preserve"> documents available:</w:t>
            </w:r>
          </w:p>
          <w:p w14:paraId="5187F421" w14:textId="3075893E" w:rsidR="00DE640E" w:rsidRPr="007C6661" w:rsidRDefault="0001021C" w:rsidP="00925515">
            <w:pPr>
              <w:pStyle w:val="ListParagraph"/>
              <w:numPr>
                <w:ilvl w:val="0"/>
                <w:numId w:val="4"/>
              </w:numPr>
              <w:spacing w:after="0" w:line="240" w:lineRule="auto"/>
              <w:rPr>
                <w:color w:val="519680"/>
              </w:rPr>
            </w:pPr>
            <w:hyperlink r:id="rId11" w:history="1">
              <w:r w:rsidRPr="007C6661">
                <w:rPr>
                  <w:rStyle w:val="Hyperlink"/>
                  <w:color w:val="519680"/>
                </w:rPr>
                <w:t>www.pharmoutcomes.org/Claims Overview</w:t>
              </w:r>
            </w:hyperlink>
          </w:p>
          <w:p w14:paraId="3DEFB056" w14:textId="44A037C2" w:rsidR="00925515" w:rsidRPr="00DD68CC" w:rsidRDefault="00925515" w:rsidP="00925515">
            <w:pPr>
              <w:pStyle w:val="ListParagraph"/>
              <w:numPr>
                <w:ilvl w:val="0"/>
                <w:numId w:val="4"/>
              </w:numPr>
              <w:spacing w:after="0" w:line="240" w:lineRule="auto"/>
            </w:pPr>
            <w:r>
              <w:t>Claim f</w:t>
            </w:r>
            <w:r w:rsidRPr="00DD68CC">
              <w:t>orm</w:t>
            </w:r>
          </w:p>
        </w:tc>
      </w:tr>
      <w:tr w:rsidR="00925515" w:rsidRPr="00DD68CC" w14:paraId="49A744FE" w14:textId="77777777" w:rsidTr="007C6661">
        <w:tc>
          <w:tcPr>
            <w:tcW w:w="9923" w:type="dxa"/>
            <w:gridSpan w:val="3"/>
            <w:shd w:val="clear" w:color="auto" w:fill="B2D6CB"/>
          </w:tcPr>
          <w:p w14:paraId="18C14601" w14:textId="69D41C55" w:rsidR="00925515" w:rsidRPr="00DD68CC" w:rsidRDefault="00925515" w:rsidP="005B46E3">
            <w:pPr>
              <w:rPr>
                <w:b/>
              </w:rPr>
            </w:pPr>
            <w:r w:rsidRPr="00DD68CC">
              <w:rPr>
                <w:b/>
              </w:rPr>
              <w:t>Service closure</w:t>
            </w:r>
          </w:p>
        </w:tc>
      </w:tr>
      <w:tr w:rsidR="00925515" w:rsidRPr="00DD68CC" w14:paraId="224D7E35" w14:textId="77777777" w:rsidTr="007C6661">
        <w:tc>
          <w:tcPr>
            <w:tcW w:w="568" w:type="dxa"/>
            <w:shd w:val="clear" w:color="auto" w:fill="B2D6CB"/>
          </w:tcPr>
          <w:p w14:paraId="310E99B1" w14:textId="281ECCE4" w:rsidR="00925515" w:rsidRPr="00DD68CC" w:rsidRDefault="00B37D01" w:rsidP="0029216B">
            <w:pPr>
              <w:rPr>
                <w:b/>
              </w:rPr>
            </w:pPr>
            <w:r>
              <w:rPr>
                <w:b/>
              </w:rPr>
              <w:t>2</w:t>
            </w:r>
            <w:r w:rsidR="0028144E">
              <w:rPr>
                <w:b/>
              </w:rPr>
              <w:t>5</w:t>
            </w:r>
            <w:r>
              <w:rPr>
                <w:b/>
              </w:rPr>
              <w:t>.</w:t>
            </w:r>
          </w:p>
        </w:tc>
        <w:tc>
          <w:tcPr>
            <w:tcW w:w="9355" w:type="dxa"/>
            <w:gridSpan w:val="2"/>
          </w:tcPr>
          <w:p w14:paraId="4372B318" w14:textId="02E8096D" w:rsidR="00925515" w:rsidRPr="00DD68CC" w:rsidRDefault="00925515" w:rsidP="005B46E3">
            <w:r w:rsidRPr="00DD68CC">
              <w:t>Inform key stakeholders.</w:t>
            </w:r>
            <w:r w:rsidR="003D02C2" w:rsidRPr="00DD68CC" w:rsidDel="003D02C2">
              <w:t xml:space="preserve"> </w:t>
            </w:r>
          </w:p>
        </w:tc>
      </w:tr>
      <w:tr w:rsidR="00925515" w:rsidRPr="00DD68CC" w14:paraId="49D13E52" w14:textId="77777777" w:rsidTr="007C6661">
        <w:tc>
          <w:tcPr>
            <w:tcW w:w="568" w:type="dxa"/>
            <w:shd w:val="clear" w:color="auto" w:fill="B2D6CB"/>
          </w:tcPr>
          <w:p w14:paraId="11EF6C9B" w14:textId="40A7179A" w:rsidR="00925515" w:rsidRPr="00DD68CC" w:rsidRDefault="00B37D01" w:rsidP="0029216B">
            <w:pPr>
              <w:rPr>
                <w:b/>
              </w:rPr>
            </w:pPr>
            <w:r>
              <w:rPr>
                <w:b/>
              </w:rPr>
              <w:t>2</w:t>
            </w:r>
            <w:r w:rsidR="0028144E">
              <w:rPr>
                <w:b/>
              </w:rPr>
              <w:t>6</w:t>
            </w:r>
            <w:r>
              <w:rPr>
                <w:b/>
              </w:rPr>
              <w:t>.</w:t>
            </w:r>
          </w:p>
        </w:tc>
        <w:tc>
          <w:tcPr>
            <w:tcW w:w="9355" w:type="dxa"/>
            <w:gridSpan w:val="2"/>
          </w:tcPr>
          <w:p w14:paraId="3A00BFF7" w14:textId="2ABF01A2" w:rsidR="00925515" w:rsidRPr="00DD68CC" w:rsidRDefault="00925515" w:rsidP="005B46E3">
            <w:r w:rsidRPr="00DD68CC">
              <w:t>Remove access to service on web-based system or set deadlines for final paper submission.</w:t>
            </w:r>
            <w:r w:rsidR="003D02C2" w:rsidRPr="00DD68CC" w:rsidDel="003D02C2">
              <w:t xml:space="preserve"> </w:t>
            </w:r>
          </w:p>
        </w:tc>
      </w:tr>
      <w:tr w:rsidR="00925515" w:rsidRPr="00DD68CC" w14:paraId="598E66B1" w14:textId="77777777" w:rsidTr="007C6661">
        <w:tc>
          <w:tcPr>
            <w:tcW w:w="568" w:type="dxa"/>
            <w:shd w:val="clear" w:color="auto" w:fill="B2D6CB"/>
          </w:tcPr>
          <w:p w14:paraId="7B50B696" w14:textId="65414170" w:rsidR="00925515" w:rsidRPr="00DD68CC" w:rsidRDefault="00B37D01" w:rsidP="0029216B">
            <w:pPr>
              <w:rPr>
                <w:b/>
              </w:rPr>
            </w:pPr>
            <w:r>
              <w:rPr>
                <w:b/>
              </w:rPr>
              <w:t>2</w:t>
            </w:r>
            <w:r w:rsidR="0028144E">
              <w:rPr>
                <w:b/>
              </w:rPr>
              <w:t>7</w:t>
            </w:r>
            <w:r>
              <w:rPr>
                <w:b/>
              </w:rPr>
              <w:t>.</w:t>
            </w:r>
          </w:p>
        </w:tc>
        <w:tc>
          <w:tcPr>
            <w:tcW w:w="9355" w:type="dxa"/>
            <w:gridSpan w:val="2"/>
          </w:tcPr>
          <w:p w14:paraId="6F1A2871" w14:textId="6DA2D785" w:rsidR="00925515" w:rsidRPr="00DD68CC" w:rsidRDefault="00925515" w:rsidP="005B46E3">
            <w:r w:rsidRPr="00DD68CC">
              <w:t>Complete payments for service provided.</w:t>
            </w:r>
            <w:r w:rsidR="003D02C2" w:rsidRPr="00DD68CC" w:rsidDel="003D02C2">
              <w:t xml:space="preserve"> </w:t>
            </w:r>
          </w:p>
        </w:tc>
      </w:tr>
    </w:tbl>
    <w:p w14:paraId="47068704" w14:textId="77777777" w:rsidR="00925515" w:rsidRPr="00DD68CC" w:rsidRDefault="00925515" w:rsidP="00925515">
      <w:pPr>
        <w:spacing w:after="0" w:line="240" w:lineRule="auto"/>
      </w:pPr>
    </w:p>
    <w:p w14:paraId="607681D0" w14:textId="77777777" w:rsidR="00CE2FA2" w:rsidRDefault="00CE2FA2">
      <w:bookmarkStart w:id="0" w:name="_GoBack"/>
      <w:bookmarkEnd w:id="0"/>
    </w:p>
    <w:sectPr w:rsidR="00CE2FA2" w:rsidSect="00F30694">
      <w:footerReference w:type="default" r:id="rId12"/>
      <w:pgSz w:w="11906" w:h="16838"/>
      <w:pgMar w:top="993" w:right="851" w:bottom="851" w:left="1440"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9B0E" w14:textId="77777777" w:rsidR="00AB5AF2" w:rsidRDefault="00AB5AF2" w:rsidP="00080E96">
      <w:pPr>
        <w:spacing w:after="0" w:line="240" w:lineRule="auto"/>
      </w:pPr>
      <w:r>
        <w:separator/>
      </w:r>
    </w:p>
  </w:endnote>
  <w:endnote w:type="continuationSeparator" w:id="0">
    <w:p w14:paraId="29C4AC40" w14:textId="77777777" w:rsidR="00AB5AF2" w:rsidRDefault="00AB5AF2" w:rsidP="0008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0350"/>
      <w:docPartObj>
        <w:docPartGallery w:val="Page Numbers (Bottom of Page)"/>
        <w:docPartUnique/>
      </w:docPartObj>
    </w:sdtPr>
    <w:sdtEndPr>
      <w:rPr>
        <w:noProof/>
      </w:rPr>
    </w:sdtEndPr>
    <w:sdtContent>
      <w:p w14:paraId="1E9127B3" w14:textId="77777777" w:rsidR="00792767" w:rsidRDefault="00792767">
        <w:pPr>
          <w:pStyle w:val="Footer"/>
          <w:jc w:val="center"/>
        </w:pPr>
      </w:p>
      <w:p w14:paraId="3BD7ACF4" w14:textId="208161C9" w:rsidR="00080E96" w:rsidRDefault="00080E96">
        <w:pPr>
          <w:pStyle w:val="Footer"/>
          <w:jc w:val="center"/>
        </w:pPr>
        <w:r>
          <w:fldChar w:fldCharType="begin"/>
        </w:r>
        <w:r>
          <w:instrText xml:space="preserve"> PAGE   \* MERGEFORMAT </w:instrText>
        </w:r>
        <w:r>
          <w:fldChar w:fldCharType="separate"/>
        </w:r>
        <w:r w:rsidR="00C44E91">
          <w:rPr>
            <w:noProof/>
          </w:rPr>
          <w:t>4</w:t>
        </w:r>
        <w:r>
          <w:rPr>
            <w:noProof/>
          </w:rPr>
          <w:fldChar w:fldCharType="end"/>
        </w:r>
      </w:p>
    </w:sdtContent>
  </w:sdt>
  <w:p w14:paraId="1713FE29" w14:textId="77777777" w:rsidR="006E6FBA" w:rsidRDefault="0039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65484" w14:textId="77777777" w:rsidR="00AB5AF2" w:rsidRDefault="00AB5AF2" w:rsidP="00080E96">
      <w:pPr>
        <w:spacing w:after="0" w:line="240" w:lineRule="auto"/>
      </w:pPr>
      <w:r>
        <w:separator/>
      </w:r>
    </w:p>
  </w:footnote>
  <w:footnote w:type="continuationSeparator" w:id="0">
    <w:p w14:paraId="0C43E659" w14:textId="77777777" w:rsidR="00AB5AF2" w:rsidRDefault="00AB5AF2" w:rsidP="00080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1342"/>
    <w:multiLevelType w:val="hybridMultilevel"/>
    <w:tmpl w:val="202EE48A"/>
    <w:lvl w:ilvl="0" w:tplc="1996EC78">
      <w:start w:val="1"/>
      <w:numFmt w:val="bullet"/>
      <w:lvlText w:val=""/>
      <w:lvlJc w:val="left"/>
      <w:pPr>
        <w:ind w:left="360" w:hanging="360"/>
      </w:pPr>
      <w:rPr>
        <w:rFonts w:ascii="Symbol" w:hAnsi="Symbol" w:hint="default"/>
        <w:color w:val="519680"/>
      </w:rPr>
    </w:lvl>
    <w:lvl w:ilvl="1" w:tplc="7542F436">
      <w:numFmt w:val="bullet"/>
      <w:lvlText w:val="-"/>
      <w:lvlJc w:val="left"/>
      <w:pPr>
        <w:ind w:left="1080" w:hanging="360"/>
      </w:pPr>
      <w:rPr>
        <w:rFonts w:ascii="Calibri" w:eastAsiaTheme="minorHAnsi" w:hAnsi="Calibri" w:cstheme="minorBidi" w:hint="default"/>
        <w:color w:val="51968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5E0094"/>
    <w:multiLevelType w:val="hybridMultilevel"/>
    <w:tmpl w:val="A7340CCE"/>
    <w:lvl w:ilvl="0" w:tplc="9B7E968E">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E34B04"/>
    <w:multiLevelType w:val="hybridMultilevel"/>
    <w:tmpl w:val="CE66A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706C8"/>
    <w:multiLevelType w:val="hybridMultilevel"/>
    <w:tmpl w:val="A1863A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45BD6"/>
    <w:multiLevelType w:val="hybridMultilevel"/>
    <w:tmpl w:val="40742330"/>
    <w:lvl w:ilvl="0" w:tplc="356269E4">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BB22D3"/>
    <w:multiLevelType w:val="hybridMultilevel"/>
    <w:tmpl w:val="56E0412A"/>
    <w:lvl w:ilvl="0" w:tplc="6204ABA6">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BD77F0"/>
    <w:multiLevelType w:val="hybridMultilevel"/>
    <w:tmpl w:val="E88A8D26"/>
    <w:lvl w:ilvl="0" w:tplc="151E991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15"/>
    <w:rsid w:val="0001021C"/>
    <w:rsid w:val="0006582C"/>
    <w:rsid w:val="00073424"/>
    <w:rsid w:val="00080E96"/>
    <w:rsid w:val="000B7F23"/>
    <w:rsid w:val="000D2D94"/>
    <w:rsid w:val="000E07C6"/>
    <w:rsid w:val="00141638"/>
    <w:rsid w:val="00151A54"/>
    <w:rsid w:val="00155CD9"/>
    <w:rsid w:val="00155D71"/>
    <w:rsid w:val="001A378B"/>
    <w:rsid w:val="001A389C"/>
    <w:rsid w:val="001A45D8"/>
    <w:rsid w:val="001A55B1"/>
    <w:rsid w:val="001B72C8"/>
    <w:rsid w:val="002727AC"/>
    <w:rsid w:val="0028144E"/>
    <w:rsid w:val="00297CEE"/>
    <w:rsid w:val="002A5ACE"/>
    <w:rsid w:val="002D6815"/>
    <w:rsid w:val="003353BE"/>
    <w:rsid w:val="0037744E"/>
    <w:rsid w:val="003B61A6"/>
    <w:rsid w:val="003D02C2"/>
    <w:rsid w:val="00406649"/>
    <w:rsid w:val="00443393"/>
    <w:rsid w:val="00445D08"/>
    <w:rsid w:val="0047228C"/>
    <w:rsid w:val="00487C4F"/>
    <w:rsid w:val="00491755"/>
    <w:rsid w:val="004C5520"/>
    <w:rsid w:val="004D6EE8"/>
    <w:rsid w:val="0052280F"/>
    <w:rsid w:val="00546A2B"/>
    <w:rsid w:val="005A08EE"/>
    <w:rsid w:val="005B2BA7"/>
    <w:rsid w:val="005B46E3"/>
    <w:rsid w:val="005C082E"/>
    <w:rsid w:val="005E73C0"/>
    <w:rsid w:val="006544DB"/>
    <w:rsid w:val="00657CEB"/>
    <w:rsid w:val="00697CA9"/>
    <w:rsid w:val="006B080E"/>
    <w:rsid w:val="006C10A7"/>
    <w:rsid w:val="006C28E1"/>
    <w:rsid w:val="006C3FAF"/>
    <w:rsid w:val="006C45AC"/>
    <w:rsid w:val="006C69EB"/>
    <w:rsid w:val="00733CB2"/>
    <w:rsid w:val="007762CC"/>
    <w:rsid w:val="00782D77"/>
    <w:rsid w:val="0078486F"/>
    <w:rsid w:val="00792767"/>
    <w:rsid w:val="007C6661"/>
    <w:rsid w:val="007D11A9"/>
    <w:rsid w:val="00853A0D"/>
    <w:rsid w:val="0087586C"/>
    <w:rsid w:val="008801A4"/>
    <w:rsid w:val="008B46C3"/>
    <w:rsid w:val="008D79ED"/>
    <w:rsid w:val="00917579"/>
    <w:rsid w:val="00925515"/>
    <w:rsid w:val="00936A93"/>
    <w:rsid w:val="009512B4"/>
    <w:rsid w:val="009C5C79"/>
    <w:rsid w:val="009D14A9"/>
    <w:rsid w:val="00A01411"/>
    <w:rsid w:val="00A23171"/>
    <w:rsid w:val="00A44DD5"/>
    <w:rsid w:val="00A85368"/>
    <w:rsid w:val="00A953C9"/>
    <w:rsid w:val="00AB5AF2"/>
    <w:rsid w:val="00AC13A5"/>
    <w:rsid w:val="00AC4D54"/>
    <w:rsid w:val="00B20634"/>
    <w:rsid w:val="00B37D01"/>
    <w:rsid w:val="00B535D9"/>
    <w:rsid w:val="00BC40E2"/>
    <w:rsid w:val="00BD2822"/>
    <w:rsid w:val="00C03514"/>
    <w:rsid w:val="00C10444"/>
    <w:rsid w:val="00C35941"/>
    <w:rsid w:val="00C42D3F"/>
    <w:rsid w:val="00C44E91"/>
    <w:rsid w:val="00CE2FA2"/>
    <w:rsid w:val="00CE48F9"/>
    <w:rsid w:val="00D30CF0"/>
    <w:rsid w:val="00D4237E"/>
    <w:rsid w:val="00D740CE"/>
    <w:rsid w:val="00DC081D"/>
    <w:rsid w:val="00DC4A2A"/>
    <w:rsid w:val="00DE640E"/>
    <w:rsid w:val="00E3362D"/>
    <w:rsid w:val="00E35B87"/>
    <w:rsid w:val="00E546CF"/>
    <w:rsid w:val="00E73195"/>
    <w:rsid w:val="00EA6357"/>
    <w:rsid w:val="00ED6D7B"/>
    <w:rsid w:val="00EE52F7"/>
    <w:rsid w:val="00F02820"/>
    <w:rsid w:val="00F20CEC"/>
    <w:rsid w:val="00F24883"/>
    <w:rsid w:val="00F30694"/>
    <w:rsid w:val="00F7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9D3B4"/>
  <w15:chartTrackingRefBased/>
  <w15:docId w15:val="{B093D24A-26B6-42DF-9946-177C5934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5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2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515"/>
    <w:pPr>
      <w:ind w:left="720"/>
      <w:contextualSpacing/>
    </w:pPr>
  </w:style>
  <w:style w:type="character" w:styleId="Hyperlink">
    <w:name w:val="Hyperlink"/>
    <w:basedOn w:val="DefaultParagraphFont"/>
    <w:uiPriority w:val="99"/>
    <w:unhideWhenUsed/>
    <w:rsid w:val="00925515"/>
    <w:rPr>
      <w:color w:val="0563C1" w:themeColor="hyperlink"/>
      <w:u w:val="single"/>
    </w:rPr>
  </w:style>
  <w:style w:type="paragraph" w:styleId="Header">
    <w:name w:val="header"/>
    <w:basedOn w:val="Normal"/>
    <w:link w:val="HeaderChar"/>
    <w:uiPriority w:val="99"/>
    <w:unhideWhenUsed/>
    <w:rsid w:val="00925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15"/>
  </w:style>
  <w:style w:type="paragraph" w:styleId="Footer">
    <w:name w:val="footer"/>
    <w:basedOn w:val="Normal"/>
    <w:link w:val="FooterChar"/>
    <w:uiPriority w:val="99"/>
    <w:unhideWhenUsed/>
    <w:rsid w:val="00925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15"/>
  </w:style>
  <w:style w:type="character" w:styleId="LineNumber">
    <w:name w:val="line number"/>
    <w:basedOn w:val="DefaultParagraphFont"/>
    <w:uiPriority w:val="99"/>
    <w:semiHidden/>
    <w:unhideWhenUsed/>
    <w:rsid w:val="00925515"/>
  </w:style>
  <w:style w:type="paragraph" w:styleId="BalloonText">
    <w:name w:val="Balloon Text"/>
    <w:basedOn w:val="Normal"/>
    <w:link w:val="BalloonTextChar"/>
    <w:uiPriority w:val="99"/>
    <w:semiHidden/>
    <w:unhideWhenUsed/>
    <w:rsid w:val="0065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DB"/>
    <w:rPr>
      <w:rFonts w:ascii="Segoe UI" w:hAnsi="Segoe UI" w:cs="Segoe UI"/>
      <w:sz w:val="18"/>
      <w:szCs w:val="18"/>
    </w:rPr>
  </w:style>
  <w:style w:type="character" w:styleId="UnresolvedMention">
    <w:name w:val="Unresolved Mention"/>
    <w:basedOn w:val="DefaultParagraphFont"/>
    <w:uiPriority w:val="99"/>
    <w:semiHidden/>
    <w:unhideWhenUsed/>
    <w:rsid w:val="0001021C"/>
    <w:rPr>
      <w:color w:val="808080"/>
      <w:shd w:val="clear" w:color="auto" w:fill="E6E6E6"/>
    </w:rPr>
  </w:style>
  <w:style w:type="character" w:styleId="FollowedHyperlink">
    <w:name w:val="FollowedHyperlink"/>
    <w:basedOn w:val="DefaultParagraphFont"/>
    <w:uiPriority w:val="99"/>
    <w:semiHidden/>
    <w:unhideWhenUsed/>
    <w:rsid w:val="00010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armoutcomes.org/pharmoutcomes/guides/commissioner/29%20Claims%20-%20Overview.pdf" TargetMode="External"/><Relationship Id="rId5" Type="http://schemas.openxmlformats.org/officeDocument/2006/relationships/styles" Target="styles.xml"/><Relationship Id="rId10" Type="http://schemas.openxmlformats.org/officeDocument/2006/relationships/hyperlink" Target="http://psnc.org.uk/services-commissioning/commissioning-toolkit-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77A1-F099-473B-93ED-A53412515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38B2B-5BCC-473A-9242-14E433AC1625}">
  <ds:schemaRefs>
    <ds:schemaRef ds:uri="http://schemas.microsoft.com/sharepoint/v3/contenttype/forms"/>
  </ds:schemaRefs>
</ds:datastoreItem>
</file>

<file path=customXml/itemProps3.xml><?xml version="1.0" encoding="utf-8"?>
<ds:datastoreItem xmlns:ds="http://schemas.openxmlformats.org/officeDocument/2006/customXml" ds:itemID="{CE16DA9B-6487-480C-B107-9C020A7EBB6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e18753c5-2901-411e-a100-706a3d27800e"/>
    <ds:schemaRef ds:uri="1c7d3551-5694-4f12-b35a-d9a7a462ea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2</cp:revision>
  <dcterms:created xsi:type="dcterms:W3CDTF">2018-04-09T14:39:00Z</dcterms:created>
  <dcterms:modified xsi:type="dcterms:W3CDTF">2018-04-09T14:39:00Z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