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5BEE" w14:textId="77777777" w:rsidR="0079147A" w:rsidRDefault="00952340" w:rsidP="00F90206">
      <w:pPr>
        <w:jc w:val="center"/>
        <w:rPr>
          <w:rFonts w:eastAsiaTheme="minorEastAsia" w:cstheme="minorBidi"/>
          <w:b/>
          <w:bCs/>
          <w:color w:val="5B518E"/>
          <w:sz w:val="28"/>
          <w:szCs w:val="28"/>
        </w:rPr>
      </w:pPr>
      <w:r>
        <w:rPr>
          <w:rFonts w:eastAsiaTheme="minorEastAsia" w:cstheme="minorBidi"/>
          <w:b/>
          <w:bCs/>
          <w:color w:val="5B518E"/>
          <w:sz w:val="28"/>
          <w:szCs w:val="28"/>
        </w:rPr>
        <w:t xml:space="preserve">PSNC </w:t>
      </w:r>
      <w:r w:rsidR="00F90206" w:rsidRPr="00F90206">
        <w:rPr>
          <w:rFonts w:eastAsiaTheme="minorEastAsia" w:cstheme="minorBidi"/>
          <w:b/>
          <w:bCs/>
          <w:color w:val="5B518E"/>
          <w:sz w:val="28"/>
          <w:szCs w:val="28"/>
        </w:rPr>
        <w:t xml:space="preserve">Funding and Contract </w:t>
      </w:r>
      <w:r>
        <w:rPr>
          <w:rFonts w:eastAsiaTheme="minorEastAsia" w:cstheme="minorBidi"/>
          <w:b/>
          <w:bCs/>
          <w:color w:val="5B518E"/>
          <w:sz w:val="28"/>
          <w:szCs w:val="28"/>
        </w:rPr>
        <w:t>Subcommittee</w:t>
      </w:r>
      <w:r w:rsidR="006C0FD7">
        <w:rPr>
          <w:rFonts w:eastAsiaTheme="minorEastAsia" w:cstheme="minorBidi"/>
          <w:b/>
          <w:bCs/>
          <w:color w:val="5B518E"/>
          <w:sz w:val="28"/>
          <w:szCs w:val="28"/>
        </w:rPr>
        <w:t xml:space="preserve"> </w:t>
      </w:r>
      <w:r w:rsidR="00F90206">
        <w:rPr>
          <w:rFonts w:eastAsiaTheme="minorEastAsia" w:cstheme="minorBidi"/>
          <w:b/>
          <w:bCs/>
          <w:color w:val="5B518E"/>
          <w:sz w:val="28"/>
          <w:szCs w:val="28"/>
        </w:rPr>
        <w:t>Minutes</w:t>
      </w:r>
    </w:p>
    <w:p w14:paraId="55EBAFB2" w14:textId="77777777" w:rsidR="0079147A" w:rsidRDefault="0079147A" w:rsidP="0079147A">
      <w:pPr>
        <w:jc w:val="center"/>
        <w:rPr>
          <w:rFonts w:cstheme="minorHAnsi"/>
          <w:b/>
          <w:color w:val="5B518E"/>
          <w:sz w:val="16"/>
          <w:szCs w:val="16"/>
        </w:rPr>
      </w:pPr>
    </w:p>
    <w:p w14:paraId="4DC031A1" w14:textId="77777777" w:rsidR="0079147A" w:rsidRDefault="00F90206" w:rsidP="00F90206">
      <w:pPr>
        <w:jc w:val="center"/>
        <w:rPr>
          <w:rFonts w:eastAsiaTheme="minorEastAsia" w:cstheme="minorBidi"/>
          <w:b/>
          <w:bCs/>
          <w:color w:val="5B518E"/>
          <w:sz w:val="28"/>
          <w:szCs w:val="28"/>
        </w:rPr>
      </w:pPr>
      <w:r>
        <w:rPr>
          <w:rFonts w:eastAsiaTheme="minorEastAsia" w:cstheme="minorBidi"/>
          <w:b/>
          <w:bCs/>
          <w:color w:val="5B518E"/>
          <w:sz w:val="28"/>
          <w:szCs w:val="28"/>
        </w:rPr>
        <w:t>of</w:t>
      </w:r>
      <w:r w:rsidR="0490887F" w:rsidRPr="0490887F">
        <w:rPr>
          <w:rFonts w:eastAsiaTheme="minorEastAsia" w:cstheme="minorBidi"/>
          <w:b/>
          <w:bCs/>
          <w:color w:val="5B518E"/>
          <w:sz w:val="28"/>
          <w:szCs w:val="28"/>
        </w:rPr>
        <w:t xml:space="preserve"> the meeting held on </w:t>
      </w:r>
      <w:r w:rsidRPr="00F90206">
        <w:rPr>
          <w:rFonts w:eastAsiaTheme="minorEastAsia" w:cstheme="minorBidi"/>
          <w:b/>
          <w:bCs/>
          <w:color w:val="5B518E"/>
          <w:sz w:val="28"/>
          <w:szCs w:val="28"/>
        </w:rPr>
        <w:t>Tuesday 9th October 2018</w:t>
      </w:r>
    </w:p>
    <w:p w14:paraId="613CD1E4" w14:textId="77777777" w:rsidR="0005498B" w:rsidRDefault="0005498B" w:rsidP="2F86214C">
      <w:pPr>
        <w:jc w:val="center"/>
        <w:rPr>
          <w:rFonts w:eastAsiaTheme="minorEastAsia" w:cstheme="minorBidi"/>
          <w:b/>
          <w:bCs/>
          <w:color w:val="5B518E"/>
          <w:sz w:val="16"/>
          <w:szCs w:val="16"/>
        </w:rPr>
      </w:pPr>
    </w:p>
    <w:p w14:paraId="754D00F3" w14:textId="77777777" w:rsidR="00844DE9" w:rsidRDefault="00F90206" w:rsidP="00F90206">
      <w:pPr>
        <w:tabs>
          <w:tab w:val="decimal" w:pos="5760"/>
          <w:tab w:val="left" w:pos="7350"/>
        </w:tabs>
        <w:jc w:val="center"/>
        <w:rPr>
          <w:rFonts w:eastAsiaTheme="minorEastAsia" w:cstheme="minorBidi"/>
          <w:b/>
          <w:bCs/>
          <w:color w:val="5B518E"/>
          <w:sz w:val="28"/>
          <w:szCs w:val="28"/>
        </w:rPr>
      </w:pPr>
      <w:r>
        <w:rPr>
          <w:rFonts w:eastAsiaTheme="minorEastAsia" w:cstheme="minorBidi"/>
          <w:b/>
          <w:bCs/>
          <w:color w:val="5B518E"/>
          <w:sz w:val="28"/>
          <w:szCs w:val="28"/>
        </w:rPr>
        <w:t>a</w:t>
      </w:r>
      <w:r w:rsidR="00182D7F">
        <w:rPr>
          <w:rFonts w:eastAsiaTheme="minorEastAsia" w:cstheme="minorBidi"/>
          <w:b/>
          <w:bCs/>
          <w:color w:val="5B518E"/>
          <w:sz w:val="28"/>
          <w:szCs w:val="28"/>
        </w:rPr>
        <w:t>t</w:t>
      </w:r>
      <w:r w:rsidR="008038CD">
        <w:rPr>
          <w:rFonts w:eastAsiaTheme="minorEastAsia" w:cstheme="minorBidi"/>
          <w:b/>
          <w:bCs/>
          <w:color w:val="5B518E"/>
          <w:sz w:val="28"/>
          <w:szCs w:val="28"/>
        </w:rPr>
        <w:t xml:space="preserve"> </w:t>
      </w:r>
      <w:r w:rsidRPr="00F90206">
        <w:rPr>
          <w:rFonts w:eastAsiaTheme="minorEastAsia" w:cstheme="minorBidi"/>
          <w:b/>
          <w:bCs/>
          <w:color w:val="5B518E"/>
          <w:sz w:val="28"/>
          <w:szCs w:val="28"/>
        </w:rPr>
        <w:t>Swindon Marriott Hotel, Pipers Way, Swindon, SN3 1SH</w:t>
      </w:r>
    </w:p>
    <w:p w14:paraId="262A646A" w14:textId="77777777" w:rsidR="0005498B" w:rsidRDefault="0005498B" w:rsidP="2F86214C">
      <w:pPr>
        <w:tabs>
          <w:tab w:val="decimal" w:pos="5760"/>
          <w:tab w:val="left" w:pos="7350"/>
        </w:tabs>
        <w:jc w:val="center"/>
        <w:rPr>
          <w:rFonts w:eastAsiaTheme="minorEastAsia" w:cstheme="minorBidi"/>
          <w:b/>
          <w:bCs/>
          <w:color w:val="5B518E"/>
          <w:sz w:val="16"/>
          <w:szCs w:val="16"/>
        </w:rPr>
      </w:pPr>
    </w:p>
    <w:p w14:paraId="435AECFB" w14:textId="77777777" w:rsidR="00952340" w:rsidRDefault="00F90206" w:rsidP="00952340">
      <w:pPr>
        <w:jc w:val="center"/>
        <w:rPr>
          <w:rFonts w:eastAsiaTheme="minorEastAsia" w:cstheme="minorBidi"/>
          <w:b/>
          <w:bCs/>
          <w:color w:val="5B518E"/>
          <w:sz w:val="28"/>
          <w:szCs w:val="28"/>
        </w:rPr>
      </w:pPr>
      <w:r>
        <w:rPr>
          <w:rFonts w:eastAsiaTheme="minorEastAsia" w:cstheme="minorBidi"/>
          <w:b/>
          <w:bCs/>
          <w:color w:val="5B518E"/>
          <w:sz w:val="28"/>
          <w:szCs w:val="28"/>
        </w:rPr>
        <w:t>c</w:t>
      </w:r>
      <w:r w:rsidR="006C4E01">
        <w:rPr>
          <w:rFonts w:eastAsiaTheme="minorEastAsia" w:cstheme="minorBidi"/>
          <w:b/>
          <w:bCs/>
          <w:color w:val="5B518E"/>
          <w:sz w:val="28"/>
          <w:szCs w:val="28"/>
        </w:rPr>
        <w:t xml:space="preserve">ommencing at </w:t>
      </w:r>
      <w:r>
        <w:rPr>
          <w:rFonts w:eastAsiaTheme="minorEastAsia" w:cstheme="minorBidi"/>
          <w:b/>
          <w:bCs/>
          <w:color w:val="5B518E"/>
          <w:sz w:val="28"/>
          <w:szCs w:val="28"/>
        </w:rPr>
        <w:t>14.15</w:t>
      </w:r>
      <w:r w:rsidR="0490887F" w:rsidRPr="0490887F">
        <w:rPr>
          <w:rFonts w:eastAsiaTheme="minorEastAsia" w:cstheme="minorBidi"/>
          <w:b/>
          <w:bCs/>
          <w:color w:val="5B518E"/>
          <w:sz w:val="28"/>
          <w:szCs w:val="28"/>
        </w:rPr>
        <w:t xml:space="preserve"> </w:t>
      </w:r>
    </w:p>
    <w:p w14:paraId="1242350C" w14:textId="77777777" w:rsidR="00952340" w:rsidRDefault="00952340" w:rsidP="00952340">
      <w:pPr>
        <w:rPr>
          <w:rFonts w:eastAsiaTheme="minorEastAsia" w:cstheme="minorHAnsi"/>
          <w:b/>
          <w:bCs/>
          <w:color w:val="5B518E"/>
          <w:szCs w:val="22"/>
        </w:rPr>
      </w:pPr>
    </w:p>
    <w:p w14:paraId="10F9DB5D" w14:textId="77777777" w:rsidR="00952340" w:rsidRDefault="00A66EF7" w:rsidP="00F2429B">
      <w:pPr>
        <w:rPr>
          <w:rFonts w:eastAsia="Calibri"/>
          <w:lang w:val="en-US" w:eastAsia="en-US"/>
        </w:rPr>
      </w:pPr>
      <w:r w:rsidRPr="00DF78C2">
        <w:rPr>
          <w:rFonts w:ascii="Calibri" w:eastAsia="Calibri" w:hAnsi="Calibri" w:cs="Calibri"/>
          <w:b/>
          <w:bCs/>
          <w:color w:val="5B518E"/>
          <w:sz w:val="24"/>
          <w:szCs w:val="24"/>
        </w:rPr>
        <w:t>Members:</w:t>
      </w:r>
      <w:r w:rsidR="00952340" w:rsidRPr="009C0DC8">
        <w:rPr>
          <w:rFonts w:eastAsiaTheme="minorEastAsia"/>
          <w:b/>
          <w:bCs/>
        </w:rPr>
        <w:t xml:space="preserve"> </w:t>
      </w:r>
      <w:r w:rsidR="00F90206" w:rsidRPr="00F90206">
        <w:rPr>
          <w:rFonts w:eastAsia="Calibri"/>
          <w:lang w:eastAsia="en-US"/>
        </w:rPr>
        <w:t xml:space="preserve"> </w:t>
      </w:r>
      <w:r w:rsidR="00F90206">
        <w:rPr>
          <w:rFonts w:eastAsia="Calibri"/>
          <w:lang w:eastAsia="en-US"/>
        </w:rPr>
        <w:tab/>
      </w:r>
      <w:r w:rsidR="00F90206" w:rsidRPr="00F90206">
        <w:rPr>
          <w:rFonts w:eastAsia="Calibri"/>
          <w:lang w:eastAsia="en-US"/>
        </w:rPr>
        <w:t>David Broome, Peter Cattee (Chairman), David Hamilton, Tricia Kennerley, Andrew Lane, Margaret MacRury, Garry Myers, Bharat Patel, Adrian Price, Anil Sharma</w:t>
      </w:r>
    </w:p>
    <w:p w14:paraId="5C6135A2" w14:textId="77777777" w:rsidR="000B4BF5" w:rsidRDefault="000B4BF5" w:rsidP="00F2429B">
      <w:pPr>
        <w:rPr>
          <w:rFonts w:eastAsia="Calibri"/>
          <w:lang w:val="en-US" w:eastAsia="en-US"/>
        </w:rPr>
      </w:pPr>
    </w:p>
    <w:p w14:paraId="18536032" w14:textId="77777777" w:rsidR="0081228E" w:rsidRDefault="0081228E" w:rsidP="0081228E">
      <w:r w:rsidRPr="00E00DE0">
        <w:rPr>
          <w:rFonts w:ascii="Calibri" w:eastAsia="Calibri" w:hAnsi="Calibri" w:cs="Calibri"/>
          <w:b/>
          <w:bCs/>
          <w:color w:val="5B518E"/>
          <w:sz w:val="24"/>
          <w:szCs w:val="24"/>
        </w:rPr>
        <w:t>In attendance:</w:t>
      </w:r>
      <w:r>
        <w:t xml:space="preserve"> Simon Dukes, Mike Dent</w:t>
      </w:r>
    </w:p>
    <w:p w14:paraId="519E178F" w14:textId="77777777" w:rsidR="00CF6153" w:rsidRDefault="00CF6153" w:rsidP="00F2429B">
      <w:pPr>
        <w:rPr>
          <w:rFonts w:eastAsiaTheme="minorEastAsia" w:cstheme="minorBidi"/>
          <w:szCs w:val="24"/>
        </w:rPr>
      </w:pPr>
    </w:p>
    <w:p w14:paraId="38FAA809" w14:textId="77777777" w:rsidR="00CB589C" w:rsidRPr="00F2429B" w:rsidRDefault="00CF6153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bCs/>
        </w:rPr>
        <w:t>Welcome from Chair</w:t>
      </w:r>
      <w:r w:rsidR="0081228E">
        <w:rPr>
          <w:bCs/>
        </w:rPr>
        <w:br/>
      </w:r>
    </w:p>
    <w:p w14:paraId="030D2802" w14:textId="77777777" w:rsidR="00CB589C" w:rsidRPr="00F2429B" w:rsidRDefault="00CB589C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rFonts w:eastAsiaTheme="minorEastAsia" w:cstheme="minorBidi"/>
          <w:bCs/>
        </w:rPr>
        <w:t>Apologies for absence</w:t>
      </w:r>
      <w:r w:rsidR="0081228E">
        <w:rPr>
          <w:bCs/>
        </w:rPr>
        <w:br/>
      </w:r>
      <w:r w:rsidR="00451F0C" w:rsidRPr="00C872B8">
        <w:rPr>
          <w:bCs/>
        </w:rPr>
        <w:t>Margaret M</w:t>
      </w:r>
      <w:r w:rsidR="00914CD1" w:rsidRPr="00C872B8">
        <w:rPr>
          <w:bCs/>
        </w:rPr>
        <w:t>acRury</w:t>
      </w:r>
      <w:r w:rsidR="0081228E">
        <w:rPr>
          <w:bCs/>
        </w:rPr>
        <w:br/>
      </w:r>
    </w:p>
    <w:p w14:paraId="2AC473D3" w14:textId="77777777" w:rsidR="00CB589C" w:rsidRPr="00F2429B" w:rsidRDefault="00CB589C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rFonts w:eastAsiaTheme="minorEastAsia" w:cstheme="minorBidi"/>
          <w:bCs/>
        </w:rPr>
        <w:t xml:space="preserve">Conflicts or declaration of interest </w:t>
      </w:r>
      <w:r w:rsidR="0081228E">
        <w:rPr>
          <w:rFonts w:eastAsiaTheme="minorEastAsia" w:cstheme="minorBidi"/>
          <w:bCs/>
        </w:rPr>
        <w:br/>
      </w:r>
      <w:r w:rsidR="00AC580E" w:rsidRPr="00C872B8">
        <w:rPr>
          <w:rFonts w:eastAsiaTheme="minorEastAsia" w:cstheme="minorBidi"/>
          <w:bCs/>
        </w:rPr>
        <w:t>None declared</w:t>
      </w:r>
      <w:r w:rsidR="0081228E">
        <w:rPr>
          <w:rFonts w:eastAsiaTheme="minorEastAsia" w:cstheme="minorBidi"/>
          <w:bCs/>
        </w:rPr>
        <w:br/>
      </w:r>
    </w:p>
    <w:p w14:paraId="4D9C27BE" w14:textId="77777777" w:rsidR="00CB589C" w:rsidRPr="00F2429B" w:rsidRDefault="00CB589C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rFonts w:eastAsiaTheme="minorEastAsia" w:cstheme="minorBidi"/>
          <w:bCs/>
        </w:rPr>
        <w:t>Minutes of the last meeting</w:t>
      </w:r>
      <w:r w:rsidR="00731DEE">
        <w:rPr>
          <w:rFonts w:eastAsiaTheme="minorEastAsia" w:cstheme="minorBidi"/>
          <w:bCs/>
        </w:rPr>
        <w:br/>
        <w:t xml:space="preserve">The minutes of the meeting held on Tuesday </w:t>
      </w:r>
      <w:r w:rsidR="008B6BC7">
        <w:rPr>
          <w:rFonts w:eastAsiaTheme="minorEastAsia" w:cstheme="minorBidi"/>
          <w:bCs/>
        </w:rPr>
        <w:t>9</w:t>
      </w:r>
      <w:r w:rsidR="00731DEE" w:rsidRPr="00731DEE">
        <w:rPr>
          <w:rFonts w:eastAsiaTheme="minorEastAsia" w:cstheme="minorBidi"/>
          <w:bCs/>
          <w:vertAlign w:val="superscript"/>
        </w:rPr>
        <w:t>th</w:t>
      </w:r>
      <w:r w:rsidR="00731DEE">
        <w:rPr>
          <w:rFonts w:eastAsiaTheme="minorEastAsia" w:cstheme="minorBidi"/>
          <w:bCs/>
        </w:rPr>
        <w:t xml:space="preserve"> </w:t>
      </w:r>
      <w:r w:rsidR="008B6BC7">
        <w:rPr>
          <w:rFonts w:eastAsiaTheme="minorEastAsia" w:cstheme="minorBidi"/>
          <w:bCs/>
        </w:rPr>
        <w:t>October</w:t>
      </w:r>
      <w:r w:rsidR="00731DEE">
        <w:rPr>
          <w:rFonts w:eastAsiaTheme="minorEastAsia" w:cstheme="minorBidi"/>
          <w:bCs/>
        </w:rPr>
        <w:t xml:space="preserve"> 2018 set out in </w:t>
      </w:r>
      <w:r w:rsidR="00731DEE" w:rsidRPr="00731DEE">
        <w:rPr>
          <w:rFonts w:eastAsiaTheme="minorEastAsia" w:cstheme="minorBidi"/>
          <w:b/>
          <w:bCs/>
        </w:rPr>
        <w:t>Confidential Appendix FCS 01/10/18</w:t>
      </w:r>
      <w:r w:rsidR="00731DEE">
        <w:rPr>
          <w:rFonts w:eastAsiaTheme="minorEastAsia" w:cstheme="minorBidi"/>
          <w:bCs/>
        </w:rPr>
        <w:t xml:space="preserve"> were approved.</w:t>
      </w:r>
    </w:p>
    <w:p w14:paraId="7AAD7671" w14:textId="77777777" w:rsidR="00CB589C" w:rsidRDefault="00CB589C" w:rsidP="00F2429B">
      <w:pPr>
        <w:rPr>
          <w:bCs/>
        </w:rPr>
      </w:pPr>
    </w:p>
    <w:p w14:paraId="6BA5C5C2" w14:textId="77777777" w:rsidR="00CB589C" w:rsidRDefault="00CB589C" w:rsidP="00F2429B">
      <w:pPr>
        <w:rPr>
          <w:b/>
          <w:bCs/>
        </w:rPr>
      </w:pPr>
      <w:r w:rsidRPr="00CB589C">
        <w:rPr>
          <w:b/>
          <w:bCs/>
        </w:rPr>
        <w:t>Action</w:t>
      </w:r>
    </w:p>
    <w:p w14:paraId="51A0954B" w14:textId="77777777" w:rsidR="00CB589C" w:rsidRDefault="00CB589C" w:rsidP="00F2429B">
      <w:pPr>
        <w:rPr>
          <w:b/>
          <w:bCs/>
        </w:rPr>
      </w:pPr>
    </w:p>
    <w:p w14:paraId="188C34CA" w14:textId="77777777" w:rsidR="00CB589C" w:rsidRPr="00914CD1" w:rsidRDefault="00303CE4" w:rsidP="00914CD1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bCs/>
        </w:rPr>
        <w:t>Work plan for 2018</w:t>
      </w:r>
      <w:r w:rsidR="0081228E">
        <w:rPr>
          <w:bCs/>
        </w:rPr>
        <w:br/>
      </w:r>
      <w:r w:rsidR="00731DEE">
        <w:rPr>
          <w:bCs/>
        </w:rPr>
        <w:t>The subcommittee considered the work</w:t>
      </w:r>
      <w:r w:rsidR="00022969">
        <w:rPr>
          <w:bCs/>
        </w:rPr>
        <w:t xml:space="preserve"> </w:t>
      </w:r>
      <w:r w:rsidR="00731DEE">
        <w:rPr>
          <w:bCs/>
        </w:rPr>
        <w:t xml:space="preserve">plan shown in </w:t>
      </w:r>
      <w:r w:rsidR="00731DEE" w:rsidRPr="00731DEE">
        <w:rPr>
          <w:b/>
          <w:bCs/>
        </w:rPr>
        <w:t>Confidential Appendix FCS 02/10/18</w:t>
      </w:r>
      <w:r w:rsidR="00B765E0">
        <w:rPr>
          <w:bCs/>
        </w:rPr>
        <w:t>.</w:t>
      </w:r>
      <w:r w:rsidR="00A612AA">
        <w:rPr>
          <w:bCs/>
        </w:rPr>
        <w:t xml:space="preserve"> </w:t>
      </w:r>
      <w:r w:rsidR="0081228E" w:rsidRPr="00914CD1">
        <w:rPr>
          <w:bCs/>
        </w:rPr>
        <w:br/>
      </w:r>
    </w:p>
    <w:p w14:paraId="55D1FB5A" w14:textId="77777777" w:rsidR="00CB589C" w:rsidRPr="00F2429B" w:rsidRDefault="00614923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bCs/>
        </w:rPr>
        <w:t>Remuneration</w:t>
      </w:r>
    </w:p>
    <w:p w14:paraId="73A4A0F5" w14:textId="77777777" w:rsidR="00614923" w:rsidRDefault="00614923" w:rsidP="00F2429B">
      <w:pPr>
        <w:pStyle w:val="ListParagraph"/>
        <w:numPr>
          <w:ilvl w:val="0"/>
          <w:numId w:val="38"/>
        </w:numPr>
        <w:rPr>
          <w:bCs/>
        </w:rPr>
      </w:pPr>
      <w:r w:rsidRPr="00F2429B">
        <w:rPr>
          <w:bCs/>
        </w:rPr>
        <w:t>2017/18 out-turn</w:t>
      </w:r>
    </w:p>
    <w:p w14:paraId="0DBFBB1D" w14:textId="77777777" w:rsidR="00914CD1" w:rsidRDefault="00914CD1" w:rsidP="00914CD1">
      <w:pPr>
        <w:pStyle w:val="ListParagraph"/>
        <w:rPr>
          <w:bCs/>
        </w:rPr>
      </w:pPr>
      <w:r>
        <w:rPr>
          <w:bCs/>
        </w:rPr>
        <w:t xml:space="preserve">The subcommittee noted the update on 2017/18 out-turn shown in </w:t>
      </w:r>
      <w:r w:rsidRPr="00731DEE">
        <w:rPr>
          <w:b/>
          <w:bCs/>
        </w:rPr>
        <w:t xml:space="preserve">Confidential Appendix </w:t>
      </w:r>
      <w:r>
        <w:rPr>
          <w:b/>
          <w:bCs/>
        </w:rPr>
        <w:t xml:space="preserve">FCS </w:t>
      </w:r>
      <w:r w:rsidRPr="00731DEE">
        <w:rPr>
          <w:b/>
          <w:bCs/>
        </w:rPr>
        <w:t>03/10/18</w:t>
      </w:r>
      <w:r>
        <w:rPr>
          <w:bCs/>
        </w:rPr>
        <w:t>.</w:t>
      </w:r>
    </w:p>
    <w:p w14:paraId="0F79EE6D" w14:textId="77777777" w:rsidR="00914CD1" w:rsidRPr="00914CD1" w:rsidRDefault="00914CD1" w:rsidP="00914CD1">
      <w:pPr>
        <w:rPr>
          <w:bCs/>
        </w:rPr>
      </w:pPr>
    </w:p>
    <w:p w14:paraId="273B1B29" w14:textId="526AD7CF" w:rsidR="00614923" w:rsidRPr="00AB32A5" w:rsidRDefault="00614923" w:rsidP="006B49DC">
      <w:pPr>
        <w:pStyle w:val="ListParagraph"/>
        <w:numPr>
          <w:ilvl w:val="0"/>
          <w:numId w:val="38"/>
        </w:numPr>
        <w:rPr>
          <w:bCs/>
        </w:rPr>
      </w:pPr>
      <w:r w:rsidRPr="00AB32A5">
        <w:rPr>
          <w:bCs/>
        </w:rPr>
        <w:t xml:space="preserve">2018/19 forecasts and fee </w:t>
      </w:r>
      <w:proofErr w:type="gramStart"/>
      <w:r w:rsidRPr="00AB32A5">
        <w:rPr>
          <w:bCs/>
        </w:rPr>
        <w:t>rates</w:t>
      </w:r>
      <w:proofErr w:type="gramEnd"/>
      <w:r w:rsidR="00731DEE" w:rsidRPr="00AB32A5">
        <w:rPr>
          <w:bCs/>
        </w:rPr>
        <w:br/>
        <w:t xml:space="preserve">The subcommittee </w:t>
      </w:r>
      <w:r w:rsidR="00914CD1" w:rsidRPr="00AB32A5">
        <w:rPr>
          <w:bCs/>
        </w:rPr>
        <w:t>noted</w:t>
      </w:r>
      <w:r w:rsidR="00731DEE" w:rsidRPr="00AB32A5">
        <w:rPr>
          <w:bCs/>
        </w:rPr>
        <w:t xml:space="preserve"> the update on 2018/19 forecasts and fee rates shown in </w:t>
      </w:r>
      <w:r w:rsidR="00731DEE" w:rsidRPr="00AB32A5">
        <w:rPr>
          <w:b/>
          <w:bCs/>
        </w:rPr>
        <w:t>Confidential Appendix FCS 04/10/18</w:t>
      </w:r>
      <w:r w:rsidR="00731DEE" w:rsidRPr="00AB32A5">
        <w:rPr>
          <w:bCs/>
        </w:rPr>
        <w:t>.</w:t>
      </w:r>
      <w:r w:rsidR="00A612AA" w:rsidRPr="00AB32A5">
        <w:rPr>
          <w:bCs/>
        </w:rPr>
        <w:t xml:space="preserve"> </w:t>
      </w:r>
      <w:r w:rsidR="00C04C44" w:rsidRPr="00AB32A5">
        <w:rPr>
          <w:bCs/>
        </w:rPr>
        <w:t>A close eye will be kept on forecast volumes</w:t>
      </w:r>
      <w:r w:rsidR="00AB32A5" w:rsidRPr="00AB32A5">
        <w:rPr>
          <w:bCs/>
        </w:rPr>
        <w:t>.</w:t>
      </w:r>
    </w:p>
    <w:p w14:paraId="3B3053B0" w14:textId="77777777" w:rsidR="00C04C44" w:rsidRPr="004A37B2" w:rsidRDefault="00C04C44" w:rsidP="00C04C44">
      <w:pPr>
        <w:pStyle w:val="ListParagraph"/>
        <w:rPr>
          <w:bCs/>
        </w:rPr>
      </w:pPr>
    </w:p>
    <w:p w14:paraId="218DB981" w14:textId="77777777" w:rsidR="00614923" w:rsidRPr="00F2429B" w:rsidRDefault="00614923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bCs/>
        </w:rPr>
        <w:t>Reimbursement</w:t>
      </w:r>
      <w:r w:rsidR="0081228E">
        <w:rPr>
          <w:bCs/>
        </w:rPr>
        <w:br/>
      </w:r>
    </w:p>
    <w:p w14:paraId="0C9E35E8" w14:textId="087DB8DC" w:rsidR="00D70072" w:rsidRDefault="00614923" w:rsidP="00DA02C3">
      <w:pPr>
        <w:pStyle w:val="ListParagraph"/>
        <w:numPr>
          <w:ilvl w:val="0"/>
          <w:numId w:val="39"/>
        </w:numPr>
        <w:rPr>
          <w:bCs/>
        </w:rPr>
      </w:pPr>
      <w:r w:rsidRPr="00D70072">
        <w:rPr>
          <w:bCs/>
        </w:rPr>
        <w:t>Category M October 2018</w:t>
      </w:r>
      <w:r w:rsidR="00A612AA" w:rsidRPr="00D70072">
        <w:rPr>
          <w:bCs/>
        </w:rPr>
        <w:br/>
        <w:t xml:space="preserve">The subcommittee </w:t>
      </w:r>
      <w:r w:rsidR="00914CD1" w:rsidRPr="00D70072">
        <w:rPr>
          <w:bCs/>
        </w:rPr>
        <w:t>noted</w:t>
      </w:r>
      <w:r w:rsidR="00A612AA" w:rsidRPr="00D70072">
        <w:rPr>
          <w:bCs/>
        </w:rPr>
        <w:t xml:space="preserve"> the update on Category M October 2018 shown in </w:t>
      </w:r>
      <w:r w:rsidR="00A612AA" w:rsidRPr="00D70072">
        <w:rPr>
          <w:b/>
          <w:bCs/>
        </w:rPr>
        <w:t>Confidential Appendix FCS 05/10/18</w:t>
      </w:r>
      <w:r w:rsidR="00A612AA" w:rsidRPr="00D70072">
        <w:rPr>
          <w:bCs/>
        </w:rPr>
        <w:t xml:space="preserve">. </w:t>
      </w:r>
      <w:r w:rsidR="00197045">
        <w:rPr>
          <w:bCs/>
        </w:rPr>
        <w:t xml:space="preserve">This included </w:t>
      </w:r>
      <w:r w:rsidR="0064533D">
        <w:rPr>
          <w:bCs/>
        </w:rPr>
        <w:t xml:space="preserve">complex </w:t>
      </w:r>
      <w:r w:rsidR="00B2264C">
        <w:rPr>
          <w:bCs/>
        </w:rPr>
        <w:t xml:space="preserve">analysis </w:t>
      </w:r>
      <w:r w:rsidR="0072240C">
        <w:rPr>
          <w:bCs/>
        </w:rPr>
        <w:t>explaining the overall movements in Category M prices.</w:t>
      </w:r>
      <w:r w:rsidR="00DA02C3">
        <w:rPr>
          <w:rFonts w:asciiTheme="minorHAnsi" w:hAnsiTheme="minorHAnsi"/>
          <w:bCs/>
          <w:szCs w:val="20"/>
          <w:lang w:eastAsia="en-GB"/>
        </w:rPr>
        <w:t xml:space="preserve"> </w:t>
      </w:r>
      <w:r w:rsidR="00D70072">
        <w:rPr>
          <w:bCs/>
        </w:rPr>
        <w:t xml:space="preserve">DHSC cannot share manufacturer data under the rules that allow manufacturers to share data with DHSC. </w:t>
      </w:r>
      <w:r w:rsidR="00DA02C3">
        <w:rPr>
          <w:bCs/>
        </w:rPr>
        <w:t>U</w:t>
      </w:r>
      <w:r w:rsidR="00D70072">
        <w:rPr>
          <w:bCs/>
        </w:rPr>
        <w:t>nder the new Information Disclosure Regulations DHSC has right to share data but there is no obligation to do so.</w:t>
      </w:r>
    </w:p>
    <w:p w14:paraId="2C86B097" w14:textId="77777777" w:rsidR="00D70072" w:rsidRPr="004A37B2" w:rsidRDefault="00D70072" w:rsidP="004A37B2">
      <w:pPr>
        <w:pStyle w:val="ListParagraph"/>
        <w:rPr>
          <w:bCs/>
        </w:rPr>
      </w:pPr>
    </w:p>
    <w:p w14:paraId="7E79F609" w14:textId="77777777" w:rsidR="00D70072" w:rsidRPr="00F2429B" w:rsidRDefault="00D70072" w:rsidP="00FF498E">
      <w:pPr>
        <w:pStyle w:val="ListParagraph"/>
        <w:rPr>
          <w:bCs/>
        </w:rPr>
      </w:pPr>
    </w:p>
    <w:p w14:paraId="05E4C3D0" w14:textId="56CF8A2E" w:rsidR="00A13AB3" w:rsidRDefault="00614923" w:rsidP="00A13AB3">
      <w:pPr>
        <w:pStyle w:val="ListParagraph"/>
        <w:numPr>
          <w:ilvl w:val="0"/>
          <w:numId w:val="39"/>
        </w:numPr>
        <w:rPr>
          <w:bCs/>
        </w:rPr>
      </w:pPr>
      <w:r w:rsidRPr="00256DEC">
        <w:rPr>
          <w:bCs/>
        </w:rPr>
        <w:t>Retained margins 2016/17 and 2017/18</w:t>
      </w:r>
      <w:r w:rsidR="00A612AA" w:rsidRPr="00256DEC">
        <w:rPr>
          <w:bCs/>
        </w:rPr>
        <w:br/>
        <w:t xml:space="preserve">The subcommittee </w:t>
      </w:r>
      <w:r w:rsidR="001A447E" w:rsidRPr="00256DEC">
        <w:rPr>
          <w:bCs/>
        </w:rPr>
        <w:t>noted</w:t>
      </w:r>
      <w:r w:rsidR="00A612AA" w:rsidRPr="00256DEC">
        <w:rPr>
          <w:bCs/>
        </w:rPr>
        <w:t xml:space="preserve"> the update on retained margins in 2016/17 and 2017/18 shown in </w:t>
      </w:r>
      <w:r w:rsidR="00A612AA" w:rsidRPr="00256DEC">
        <w:rPr>
          <w:b/>
          <w:bCs/>
        </w:rPr>
        <w:t>Confidential Appendix FCS 06/10/18</w:t>
      </w:r>
      <w:r w:rsidR="00A612AA" w:rsidRPr="00256DEC">
        <w:rPr>
          <w:bCs/>
        </w:rPr>
        <w:t>.</w:t>
      </w:r>
      <w:r w:rsidR="00503EDB" w:rsidRPr="00256DEC">
        <w:rPr>
          <w:bCs/>
        </w:rPr>
        <w:t xml:space="preserve"> </w:t>
      </w:r>
      <w:r w:rsidR="00DF7655" w:rsidRPr="00256DEC">
        <w:rPr>
          <w:bCs/>
        </w:rPr>
        <w:t>Th</w:t>
      </w:r>
      <w:r w:rsidR="00503EDB" w:rsidRPr="00256DEC">
        <w:rPr>
          <w:bCs/>
        </w:rPr>
        <w:t xml:space="preserve">is included </w:t>
      </w:r>
      <w:r w:rsidR="00DF7655" w:rsidRPr="00256DEC">
        <w:rPr>
          <w:bCs/>
        </w:rPr>
        <w:t>adjustment</w:t>
      </w:r>
      <w:r w:rsidR="00503EDB" w:rsidRPr="00256DEC">
        <w:rPr>
          <w:bCs/>
        </w:rPr>
        <w:t>s</w:t>
      </w:r>
      <w:r w:rsidR="00DF7655" w:rsidRPr="00256DEC">
        <w:rPr>
          <w:bCs/>
        </w:rPr>
        <w:t xml:space="preserve"> for NIC transfer</w:t>
      </w:r>
      <w:r w:rsidR="00503EDB" w:rsidRPr="00256DEC">
        <w:rPr>
          <w:bCs/>
        </w:rPr>
        <w:t>, i</w:t>
      </w:r>
      <w:r w:rsidR="00116BBD" w:rsidRPr="00256DEC">
        <w:rPr>
          <w:bCs/>
        </w:rPr>
        <w:t xml:space="preserve">nfluential lines </w:t>
      </w:r>
      <w:r w:rsidR="00503EDB" w:rsidRPr="00256DEC">
        <w:rPr>
          <w:bCs/>
        </w:rPr>
        <w:t>and price concessions</w:t>
      </w:r>
      <w:r w:rsidR="00116BBD" w:rsidRPr="00256DEC">
        <w:rPr>
          <w:bCs/>
        </w:rPr>
        <w:t>.</w:t>
      </w:r>
      <w:r w:rsidR="001654D6" w:rsidRPr="00256DEC">
        <w:rPr>
          <w:bCs/>
        </w:rPr>
        <w:t xml:space="preserve"> There was a discussion about </w:t>
      </w:r>
      <w:r w:rsidR="00061EE2" w:rsidRPr="00256DEC">
        <w:rPr>
          <w:bCs/>
        </w:rPr>
        <w:t xml:space="preserve">margin on </w:t>
      </w:r>
      <w:r w:rsidR="002E0B28" w:rsidRPr="00256DEC">
        <w:rPr>
          <w:bCs/>
        </w:rPr>
        <w:t>C</w:t>
      </w:r>
      <w:r w:rsidR="00061EE2" w:rsidRPr="00256DEC">
        <w:rPr>
          <w:bCs/>
        </w:rPr>
        <w:t>ategory C lines</w:t>
      </w:r>
      <w:r w:rsidR="00A13AB3">
        <w:rPr>
          <w:bCs/>
        </w:rPr>
        <w:t xml:space="preserve"> and </w:t>
      </w:r>
    </w:p>
    <w:p w14:paraId="342ADA63" w14:textId="209117D5" w:rsidR="00C55BFE" w:rsidRDefault="0032395D" w:rsidP="00C55BFE">
      <w:pPr>
        <w:pStyle w:val="ListParagraph"/>
        <w:rPr>
          <w:bCs/>
        </w:rPr>
      </w:pPr>
      <w:r>
        <w:rPr>
          <w:bCs/>
        </w:rPr>
        <w:t>b</w:t>
      </w:r>
      <w:r w:rsidR="00C55BFE">
        <w:rPr>
          <w:bCs/>
        </w:rPr>
        <w:t>randed generics.</w:t>
      </w:r>
    </w:p>
    <w:p w14:paraId="6B08C5A1" w14:textId="77777777" w:rsidR="00C55BFE" w:rsidRDefault="00C55BFE" w:rsidP="00C55BFE">
      <w:pPr>
        <w:pStyle w:val="ListParagraph"/>
        <w:rPr>
          <w:bCs/>
        </w:rPr>
      </w:pPr>
    </w:p>
    <w:p w14:paraId="4A7C8820" w14:textId="77777777" w:rsidR="00061EE2" w:rsidRPr="00F2429B" w:rsidRDefault="00061EE2" w:rsidP="00061EE2">
      <w:pPr>
        <w:pStyle w:val="ListParagraph"/>
        <w:rPr>
          <w:bCs/>
        </w:rPr>
      </w:pPr>
    </w:p>
    <w:p w14:paraId="0AF9BE05" w14:textId="0F4A6804" w:rsidR="005B6FD7" w:rsidRPr="00070949" w:rsidRDefault="00614923" w:rsidP="00070949">
      <w:pPr>
        <w:pStyle w:val="ListParagraph"/>
        <w:numPr>
          <w:ilvl w:val="0"/>
          <w:numId w:val="39"/>
        </w:numPr>
        <w:rPr>
          <w:bCs/>
        </w:rPr>
      </w:pPr>
      <w:r w:rsidRPr="00F2429B">
        <w:rPr>
          <w:bCs/>
        </w:rPr>
        <w:t>Margins survey methodology</w:t>
      </w:r>
      <w:r w:rsidR="00A612AA">
        <w:rPr>
          <w:bCs/>
        </w:rPr>
        <w:br/>
        <w:t xml:space="preserve">The subcommittee </w:t>
      </w:r>
      <w:r w:rsidR="00C55BFE">
        <w:rPr>
          <w:bCs/>
        </w:rPr>
        <w:t xml:space="preserve">noted </w:t>
      </w:r>
      <w:r w:rsidR="00A612AA">
        <w:rPr>
          <w:bCs/>
        </w:rPr>
        <w:t xml:space="preserve">the update on margins survey methodology shown in </w:t>
      </w:r>
      <w:r w:rsidR="00A612AA" w:rsidRPr="00A612AA">
        <w:rPr>
          <w:b/>
          <w:bCs/>
        </w:rPr>
        <w:t>Confidential Appendix FCS 07/10/18.</w:t>
      </w:r>
      <w:r w:rsidR="00A612AA">
        <w:rPr>
          <w:bCs/>
        </w:rPr>
        <w:t xml:space="preserve"> </w:t>
      </w:r>
      <w:r w:rsidR="00070949">
        <w:rPr>
          <w:bCs/>
        </w:rPr>
        <w:t xml:space="preserve">This was part of the continuous improvement of the survey. </w:t>
      </w:r>
      <w:r w:rsidR="005B6FD7" w:rsidRPr="00070949">
        <w:rPr>
          <w:bCs/>
        </w:rPr>
        <w:t xml:space="preserve">There was no objection to moving the frequency of survey to quarterly. </w:t>
      </w:r>
    </w:p>
    <w:p w14:paraId="29FB8B34" w14:textId="77777777" w:rsidR="005B6FD7" w:rsidRPr="00024CC9" w:rsidRDefault="005B6FD7" w:rsidP="00024CC9">
      <w:pPr>
        <w:rPr>
          <w:bCs/>
        </w:rPr>
      </w:pPr>
    </w:p>
    <w:p w14:paraId="32180503" w14:textId="77777777" w:rsidR="005B6FD7" w:rsidRDefault="00614923" w:rsidP="005B6FD7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bCs/>
        </w:rPr>
        <w:t>EPS implementation</w:t>
      </w:r>
      <w:r w:rsidR="002E3513">
        <w:rPr>
          <w:bCs/>
        </w:rPr>
        <w:br/>
        <w:t xml:space="preserve">The subcommittee </w:t>
      </w:r>
      <w:r w:rsidR="00C55BFE">
        <w:rPr>
          <w:bCs/>
        </w:rPr>
        <w:t>noted</w:t>
      </w:r>
      <w:r w:rsidR="002E3513">
        <w:rPr>
          <w:bCs/>
        </w:rPr>
        <w:t xml:space="preserve"> the update on EPS implementation shown in </w:t>
      </w:r>
      <w:r w:rsidR="002E3513" w:rsidRPr="002E3513">
        <w:rPr>
          <w:b/>
          <w:bCs/>
        </w:rPr>
        <w:t>Confidential Appendix FCS 08/10/18</w:t>
      </w:r>
      <w:r w:rsidR="002E3513">
        <w:rPr>
          <w:bCs/>
        </w:rPr>
        <w:t xml:space="preserve">. </w:t>
      </w:r>
    </w:p>
    <w:p w14:paraId="5E8503A1" w14:textId="77777777" w:rsidR="0032395D" w:rsidRDefault="0032395D" w:rsidP="005B6FD7">
      <w:pPr>
        <w:pStyle w:val="ListParagraph"/>
        <w:ind w:left="360"/>
        <w:rPr>
          <w:bCs/>
        </w:rPr>
      </w:pPr>
    </w:p>
    <w:p w14:paraId="1B78931F" w14:textId="77777777" w:rsidR="005B6FD7" w:rsidRDefault="00232AEC" w:rsidP="005B6FD7">
      <w:pPr>
        <w:pStyle w:val="ListParagraph"/>
        <w:ind w:left="360"/>
        <w:rPr>
          <w:bCs/>
        </w:rPr>
      </w:pPr>
      <w:bookmarkStart w:id="0" w:name="_GoBack"/>
      <w:bookmarkEnd w:id="0"/>
      <w:r w:rsidRPr="00C4074C">
        <w:rPr>
          <w:b/>
          <w:bCs/>
        </w:rPr>
        <w:t>Action:</w:t>
      </w:r>
      <w:r w:rsidRPr="00C4074C">
        <w:rPr>
          <w:bCs/>
        </w:rPr>
        <w:t xml:space="preserve"> Gordon to </w:t>
      </w:r>
      <w:proofErr w:type="gramStart"/>
      <w:r w:rsidRPr="00C4074C">
        <w:rPr>
          <w:bCs/>
        </w:rPr>
        <w:t>look into</w:t>
      </w:r>
      <w:proofErr w:type="gramEnd"/>
      <w:r w:rsidRPr="00C4074C">
        <w:rPr>
          <w:bCs/>
        </w:rPr>
        <w:t xml:space="preserve"> the Regulations around prescription validity</w:t>
      </w:r>
      <w:r w:rsidR="0032395D" w:rsidRPr="00C4074C">
        <w:rPr>
          <w:bCs/>
        </w:rPr>
        <w:t>.</w:t>
      </w:r>
    </w:p>
    <w:p w14:paraId="7BB0CA13" w14:textId="77777777" w:rsidR="00024CC9" w:rsidRDefault="00024CC9" w:rsidP="005B6FD7">
      <w:pPr>
        <w:pStyle w:val="ListParagraph"/>
        <w:ind w:left="360"/>
        <w:rPr>
          <w:bCs/>
        </w:rPr>
      </w:pPr>
    </w:p>
    <w:p w14:paraId="6E3FFE05" w14:textId="77777777" w:rsidR="00C55BFE" w:rsidRPr="00F2429B" w:rsidRDefault="00C55BFE" w:rsidP="005B6FD7">
      <w:pPr>
        <w:pStyle w:val="ListParagraph"/>
        <w:ind w:left="360"/>
        <w:rPr>
          <w:bCs/>
        </w:rPr>
      </w:pPr>
    </w:p>
    <w:p w14:paraId="2800EA99" w14:textId="77777777" w:rsidR="00614923" w:rsidRPr="00724AB1" w:rsidRDefault="00614923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bCs/>
        </w:rPr>
        <w:t>Specials</w:t>
      </w:r>
      <w:r w:rsidR="00FA7831">
        <w:rPr>
          <w:bCs/>
        </w:rPr>
        <w:br/>
        <w:t xml:space="preserve">The subcommittee considered the update on specials shown in </w:t>
      </w:r>
      <w:r w:rsidR="00FA7831" w:rsidRPr="00FA7831">
        <w:rPr>
          <w:b/>
          <w:bCs/>
        </w:rPr>
        <w:t>Confidential Appendix FCS 09/10/18</w:t>
      </w:r>
      <w:r w:rsidR="00FA7831">
        <w:rPr>
          <w:bCs/>
        </w:rPr>
        <w:t xml:space="preserve">. </w:t>
      </w:r>
    </w:p>
    <w:p w14:paraId="2D60425B" w14:textId="5DF7DC7C" w:rsidR="0023002F" w:rsidRDefault="00B64896" w:rsidP="00B64896">
      <w:pPr>
        <w:rPr>
          <w:bCs/>
        </w:rPr>
      </w:pPr>
      <w:r w:rsidRPr="00B64896">
        <w:rPr>
          <w:b/>
          <w:bCs/>
        </w:rPr>
        <w:t xml:space="preserve">        </w:t>
      </w:r>
      <w:r w:rsidRPr="00C4074C">
        <w:rPr>
          <w:b/>
          <w:bCs/>
        </w:rPr>
        <w:t>Action:</w:t>
      </w:r>
      <w:r w:rsidRPr="00C4074C">
        <w:rPr>
          <w:bCs/>
        </w:rPr>
        <w:t xml:space="preserve"> Suraj Shah to </w:t>
      </w:r>
      <w:r w:rsidR="00C4074C" w:rsidRPr="00C4074C">
        <w:rPr>
          <w:bCs/>
        </w:rPr>
        <w:t>discuss with DHSC</w:t>
      </w:r>
      <w:r w:rsidR="0023002F" w:rsidRPr="00C4074C">
        <w:rPr>
          <w:bCs/>
        </w:rPr>
        <w:t>.</w:t>
      </w:r>
    </w:p>
    <w:p w14:paraId="60DE7938" w14:textId="77777777" w:rsidR="00B64896" w:rsidRPr="00B64896" w:rsidRDefault="00B64896" w:rsidP="00B64896">
      <w:pPr>
        <w:rPr>
          <w:bCs/>
        </w:rPr>
      </w:pPr>
      <w:r>
        <w:rPr>
          <w:bCs/>
        </w:rPr>
        <w:t xml:space="preserve"> </w:t>
      </w:r>
    </w:p>
    <w:p w14:paraId="51DD4337" w14:textId="77777777" w:rsidR="00724AB1" w:rsidRPr="00F2429B" w:rsidRDefault="00724AB1" w:rsidP="00724AB1">
      <w:pPr>
        <w:pStyle w:val="ListParagraph"/>
        <w:ind w:left="360"/>
        <w:rPr>
          <w:bCs/>
        </w:rPr>
      </w:pPr>
    </w:p>
    <w:p w14:paraId="30688812" w14:textId="77777777" w:rsidR="00614923" w:rsidRPr="00F2429B" w:rsidRDefault="00614923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bCs/>
        </w:rPr>
        <w:t>DHSC proposals</w:t>
      </w:r>
      <w:r w:rsidR="0081228E">
        <w:rPr>
          <w:bCs/>
        </w:rPr>
        <w:br/>
      </w:r>
    </w:p>
    <w:p w14:paraId="3538F461" w14:textId="77777777" w:rsidR="008D32CC" w:rsidRPr="008D32CC" w:rsidRDefault="00614923" w:rsidP="00F2429B">
      <w:pPr>
        <w:pStyle w:val="ListParagraph"/>
        <w:numPr>
          <w:ilvl w:val="0"/>
          <w:numId w:val="40"/>
        </w:numPr>
        <w:rPr>
          <w:bCs/>
        </w:rPr>
      </w:pPr>
      <w:r w:rsidRPr="00F2429B">
        <w:rPr>
          <w:bCs/>
        </w:rPr>
        <w:t>Electronic Drug Tariff</w:t>
      </w:r>
      <w:r w:rsidR="0051782C">
        <w:rPr>
          <w:bCs/>
        </w:rPr>
        <w:br/>
        <w:t xml:space="preserve">The subcommittee considered the </w:t>
      </w:r>
      <w:r w:rsidR="008D32CC">
        <w:rPr>
          <w:bCs/>
        </w:rPr>
        <w:t xml:space="preserve">note </w:t>
      </w:r>
      <w:r w:rsidR="0051782C">
        <w:rPr>
          <w:bCs/>
        </w:rPr>
        <w:t xml:space="preserve">on the Electronic Drug Tariff shown in </w:t>
      </w:r>
      <w:r w:rsidR="0051782C" w:rsidRPr="00C03543">
        <w:rPr>
          <w:b/>
          <w:bCs/>
        </w:rPr>
        <w:t>Confidential Appendix FCS 10/10/18</w:t>
      </w:r>
      <w:r w:rsidR="0051782C">
        <w:rPr>
          <w:bCs/>
        </w:rPr>
        <w:t xml:space="preserve">. </w:t>
      </w:r>
    </w:p>
    <w:p w14:paraId="5728C97E" w14:textId="77777777" w:rsidR="003527BA" w:rsidRPr="00C4074C" w:rsidRDefault="00B64896" w:rsidP="00A749FF">
      <w:pPr>
        <w:ind w:left="720"/>
        <w:rPr>
          <w:bCs/>
        </w:rPr>
      </w:pPr>
      <w:r w:rsidRPr="00C4074C">
        <w:rPr>
          <w:bCs/>
        </w:rPr>
        <w:t xml:space="preserve">The Committee </w:t>
      </w:r>
      <w:proofErr w:type="gramStart"/>
      <w:r w:rsidRPr="00C4074C">
        <w:rPr>
          <w:bCs/>
        </w:rPr>
        <w:t>was in agreement</w:t>
      </w:r>
      <w:proofErr w:type="gramEnd"/>
      <w:r w:rsidRPr="00C4074C">
        <w:rPr>
          <w:bCs/>
        </w:rPr>
        <w:t xml:space="preserve"> that paper Drug Tariffs will</w:t>
      </w:r>
      <w:r w:rsidR="00024CC9" w:rsidRPr="00C4074C">
        <w:rPr>
          <w:bCs/>
        </w:rPr>
        <w:t xml:space="preserve"> eventually</w:t>
      </w:r>
      <w:r w:rsidRPr="00C4074C">
        <w:rPr>
          <w:bCs/>
        </w:rPr>
        <w:t xml:space="preserve"> cease to exist in the future. </w:t>
      </w:r>
    </w:p>
    <w:p w14:paraId="52C6D8E3" w14:textId="77777777" w:rsidR="003527BA" w:rsidRPr="00C4074C" w:rsidRDefault="003527BA" w:rsidP="00B64896">
      <w:pPr>
        <w:ind w:left="720"/>
        <w:rPr>
          <w:bCs/>
        </w:rPr>
      </w:pPr>
    </w:p>
    <w:p w14:paraId="317B6ECE" w14:textId="77777777" w:rsidR="003527BA" w:rsidRPr="00C4074C" w:rsidRDefault="003527BA" w:rsidP="00B64896">
      <w:pPr>
        <w:ind w:left="720"/>
        <w:rPr>
          <w:b/>
          <w:bCs/>
          <w:i/>
        </w:rPr>
      </w:pPr>
      <w:r w:rsidRPr="00C4074C">
        <w:rPr>
          <w:b/>
          <w:bCs/>
          <w:i/>
        </w:rPr>
        <w:t>It was recommended that:</w:t>
      </w:r>
    </w:p>
    <w:p w14:paraId="6756B5B7" w14:textId="77777777" w:rsidR="008D32CC" w:rsidRPr="003527BA" w:rsidRDefault="003527BA" w:rsidP="00B64896">
      <w:pPr>
        <w:ind w:left="720"/>
        <w:rPr>
          <w:b/>
          <w:bCs/>
          <w:i/>
        </w:rPr>
      </w:pPr>
      <w:r w:rsidRPr="00C4074C">
        <w:rPr>
          <w:b/>
          <w:bCs/>
          <w:i/>
        </w:rPr>
        <w:t xml:space="preserve">PSNC will accept the ceasing of publication of paper Drug Tariffs </w:t>
      </w:r>
      <w:proofErr w:type="gramStart"/>
      <w:r w:rsidR="00B64896" w:rsidRPr="00C4074C">
        <w:rPr>
          <w:b/>
          <w:bCs/>
          <w:i/>
        </w:rPr>
        <w:t>as long as</w:t>
      </w:r>
      <w:proofErr w:type="gramEnd"/>
      <w:r w:rsidR="00B64896" w:rsidRPr="00C4074C">
        <w:rPr>
          <w:b/>
          <w:bCs/>
          <w:i/>
        </w:rPr>
        <w:t xml:space="preserve"> the PDF option remains available</w:t>
      </w:r>
      <w:r w:rsidR="00024CC9" w:rsidRPr="00C4074C">
        <w:rPr>
          <w:b/>
          <w:bCs/>
          <w:i/>
        </w:rPr>
        <w:t xml:space="preserve"> to contractors.</w:t>
      </w:r>
    </w:p>
    <w:p w14:paraId="0486285E" w14:textId="77777777" w:rsidR="00614923" w:rsidRPr="00024CC9" w:rsidRDefault="00614923" w:rsidP="00024CC9">
      <w:pPr>
        <w:rPr>
          <w:bCs/>
        </w:rPr>
      </w:pPr>
    </w:p>
    <w:p w14:paraId="29C74D6E" w14:textId="77777777" w:rsidR="00024CC9" w:rsidRDefault="00614923" w:rsidP="00F2429B">
      <w:pPr>
        <w:pStyle w:val="ListParagraph"/>
        <w:numPr>
          <w:ilvl w:val="0"/>
          <w:numId w:val="40"/>
        </w:numPr>
        <w:rPr>
          <w:bCs/>
        </w:rPr>
      </w:pPr>
      <w:proofErr w:type="spellStart"/>
      <w:r w:rsidRPr="00F2429B">
        <w:rPr>
          <w:bCs/>
        </w:rPr>
        <w:t>RiNN</w:t>
      </w:r>
      <w:proofErr w:type="spellEnd"/>
      <w:r w:rsidR="00C03543">
        <w:rPr>
          <w:bCs/>
        </w:rPr>
        <w:br/>
        <w:t xml:space="preserve">The subcommittee </w:t>
      </w:r>
      <w:r w:rsidR="00B64896">
        <w:rPr>
          <w:bCs/>
        </w:rPr>
        <w:t>noted</w:t>
      </w:r>
      <w:r w:rsidR="00C03543">
        <w:rPr>
          <w:bCs/>
        </w:rPr>
        <w:t xml:space="preserve"> the update on </w:t>
      </w:r>
      <w:proofErr w:type="spellStart"/>
      <w:r w:rsidR="00C03543">
        <w:rPr>
          <w:bCs/>
        </w:rPr>
        <w:t>RiNN</w:t>
      </w:r>
      <w:proofErr w:type="spellEnd"/>
      <w:r w:rsidR="00C03543">
        <w:rPr>
          <w:bCs/>
        </w:rPr>
        <w:t xml:space="preserve"> shown in </w:t>
      </w:r>
      <w:r w:rsidR="00C03543" w:rsidRPr="00C03543">
        <w:rPr>
          <w:b/>
          <w:bCs/>
        </w:rPr>
        <w:t>Confidential Appendix FCS 11/10/18</w:t>
      </w:r>
      <w:r w:rsidR="00C03543">
        <w:rPr>
          <w:bCs/>
        </w:rPr>
        <w:t xml:space="preserve">. </w:t>
      </w:r>
    </w:p>
    <w:p w14:paraId="3C55B599" w14:textId="31979C20" w:rsidR="00614923" w:rsidRPr="00F2429B" w:rsidRDefault="008D32CC" w:rsidP="008D32CC">
      <w:pPr>
        <w:pStyle w:val="ListParagraph"/>
        <w:rPr>
          <w:bCs/>
        </w:rPr>
      </w:pPr>
      <w:r>
        <w:rPr>
          <w:bCs/>
          <w:highlight w:val="yellow"/>
        </w:rPr>
        <w:br/>
      </w:r>
    </w:p>
    <w:p w14:paraId="3F248F77" w14:textId="77777777" w:rsidR="00614923" w:rsidRPr="008D32CC" w:rsidRDefault="00614923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bCs/>
        </w:rPr>
        <w:t>FMD</w:t>
      </w:r>
      <w:r w:rsidR="0092576B">
        <w:rPr>
          <w:bCs/>
        </w:rPr>
        <w:br/>
        <w:t xml:space="preserve">The subcommittee </w:t>
      </w:r>
      <w:r w:rsidR="00B64896">
        <w:rPr>
          <w:bCs/>
        </w:rPr>
        <w:t xml:space="preserve">noted </w:t>
      </w:r>
      <w:r w:rsidR="0092576B">
        <w:rPr>
          <w:bCs/>
        </w:rPr>
        <w:t xml:space="preserve">the update on FMD shown in </w:t>
      </w:r>
      <w:r w:rsidR="0092576B" w:rsidRPr="0092576B">
        <w:rPr>
          <w:b/>
          <w:bCs/>
        </w:rPr>
        <w:t>Confidential Appendix FCS 12/10/18</w:t>
      </w:r>
      <w:r w:rsidR="0092576B">
        <w:rPr>
          <w:bCs/>
        </w:rPr>
        <w:t xml:space="preserve">. </w:t>
      </w:r>
    </w:p>
    <w:p w14:paraId="44AA4765" w14:textId="541611E0" w:rsidR="008D32CC" w:rsidRDefault="008D32CC" w:rsidP="008D32CC">
      <w:pPr>
        <w:pStyle w:val="ListParagraph"/>
        <w:ind w:left="360"/>
        <w:rPr>
          <w:bCs/>
        </w:rPr>
      </w:pPr>
      <w:r>
        <w:rPr>
          <w:bCs/>
        </w:rPr>
        <w:lastRenderedPageBreak/>
        <w:t>G</w:t>
      </w:r>
      <w:r w:rsidR="00B64896">
        <w:rPr>
          <w:bCs/>
        </w:rPr>
        <w:t xml:space="preserve">arry </w:t>
      </w:r>
      <w:r>
        <w:rPr>
          <w:bCs/>
        </w:rPr>
        <w:t>M</w:t>
      </w:r>
      <w:r w:rsidR="00B64896">
        <w:rPr>
          <w:bCs/>
        </w:rPr>
        <w:t>yers</w:t>
      </w:r>
      <w:r>
        <w:rPr>
          <w:bCs/>
        </w:rPr>
        <w:t xml:space="preserve"> </w:t>
      </w:r>
      <w:r w:rsidR="00320BDA">
        <w:rPr>
          <w:bCs/>
        </w:rPr>
        <w:t xml:space="preserve">highlighted the possible </w:t>
      </w:r>
      <w:r>
        <w:rPr>
          <w:bCs/>
        </w:rPr>
        <w:t xml:space="preserve">procurement risk for contractors. </w:t>
      </w:r>
    </w:p>
    <w:p w14:paraId="6DB8AF4A" w14:textId="77777777" w:rsidR="000520D8" w:rsidRDefault="000520D8" w:rsidP="00DE19B6"/>
    <w:p w14:paraId="4F988C16" w14:textId="1A699B66" w:rsidR="00D11558" w:rsidRDefault="00D11558" w:rsidP="008D32CC">
      <w:pPr>
        <w:pStyle w:val="ListParagraph"/>
        <w:ind w:left="360"/>
        <w:rPr>
          <w:bCs/>
        </w:rPr>
      </w:pPr>
      <w:r>
        <w:rPr>
          <w:bCs/>
        </w:rPr>
        <w:t xml:space="preserve">Mike Dent </w:t>
      </w:r>
      <w:r w:rsidR="008C7541">
        <w:rPr>
          <w:bCs/>
        </w:rPr>
        <w:t xml:space="preserve">requested contributions from </w:t>
      </w:r>
      <w:r>
        <w:rPr>
          <w:bCs/>
        </w:rPr>
        <w:t>the Committee to refine the estimates</w:t>
      </w:r>
      <w:r w:rsidR="008C7541">
        <w:rPr>
          <w:bCs/>
        </w:rPr>
        <w:t xml:space="preserve"> in the modelling</w:t>
      </w:r>
      <w:r>
        <w:rPr>
          <w:bCs/>
        </w:rPr>
        <w:t>.</w:t>
      </w:r>
      <w:r w:rsidR="008D32CC">
        <w:rPr>
          <w:bCs/>
        </w:rPr>
        <w:t xml:space="preserve"> S</w:t>
      </w:r>
      <w:r>
        <w:rPr>
          <w:bCs/>
        </w:rPr>
        <w:t xml:space="preserve">tephen </w:t>
      </w:r>
      <w:r w:rsidR="008D32CC">
        <w:rPr>
          <w:bCs/>
        </w:rPr>
        <w:t>T</w:t>
      </w:r>
      <w:r>
        <w:rPr>
          <w:bCs/>
        </w:rPr>
        <w:t>homas asked if these figures can be discussed by</w:t>
      </w:r>
      <w:r w:rsidR="008D32CC">
        <w:rPr>
          <w:bCs/>
        </w:rPr>
        <w:t xml:space="preserve"> the FMD working group</w:t>
      </w:r>
      <w:r>
        <w:rPr>
          <w:bCs/>
        </w:rPr>
        <w:t xml:space="preserve">? Alastair Buxton replied that the figures will be shared with the working group once they have been refined. </w:t>
      </w:r>
    </w:p>
    <w:p w14:paraId="2A42F984" w14:textId="77777777" w:rsidR="00D11558" w:rsidRDefault="00D11558" w:rsidP="008D32CC">
      <w:pPr>
        <w:pStyle w:val="ListParagraph"/>
        <w:ind w:left="360"/>
        <w:rPr>
          <w:bCs/>
        </w:rPr>
      </w:pPr>
    </w:p>
    <w:p w14:paraId="666B0867" w14:textId="77777777" w:rsidR="008D32CC" w:rsidRDefault="008D32CC" w:rsidP="008D32CC">
      <w:pPr>
        <w:pStyle w:val="ListParagraph"/>
        <w:ind w:left="360"/>
        <w:rPr>
          <w:bCs/>
        </w:rPr>
      </w:pPr>
      <w:r>
        <w:rPr>
          <w:bCs/>
        </w:rPr>
        <w:t xml:space="preserve">Simon Dukes said the figures are on the table for discussion as part of </w:t>
      </w:r>
      <w:r w:rsidR="00D11558">
        <w:rPr>
          <w:bCs/>
        </w:rPr>
        <w:t>20</w:t>
      </w:r>
      <w:r>
        <w:rPr>
          <w:bCs/>
        </w:rPr>
        <w:t>19/20 contract negotiations</w:t>
      </w:r>
      <w:r w:rsidR="003527BA">
        <w:rPr>
          <w:bCs/>
        </w:rPr>
        <w:t>.</w:t>
      </w:r>
    </w:p>
    <w:p w14:paraId="332E5440" w14:textId="77777777" w:rsidR="00952340" w:rsidRPr="00614923" w:rsidRDefault="00952340" w:rsidP="00F2429B">
      <w:pPr>
        <w:rPr>
          <w:rFonts w:eastAsiaTheme="minorEastAsia"/>
          <w:bCs/>
        </w:rPr>
      </w:pPr>
    </w:p>
    <w:p w14:paraId="1362E642" w14:textId="77777777" w:rsidR="00414F95" w:rsidRPr="00414F95" w:rsidRDefault="00414F95" w:rsidP="00F2429B">
      <w:pPr>
        <w:rPr>
          <w:rFonts w:eastAsiaTheme="minorEastAsia"/>
          <w:b/>
          <w:bCs/>
        </w:rPr>
      </w:pPr>
      <w:r w:rsidRPr="00414F95">
        <w:rPr>
          <w:rFonts w:eastAsiaTheme="minorEastAsia"/>
          <w:b/>
          <w:bCs/>
        </w:rPr>
        <w:t>Report</w:t>
      </w:r>
    </w:p>
    <w:p w14:paraId="54281EA2" w14:textId="77777777" w:rsidR="00414F95" w:rsidRPr="00952340" w:rsidRDefault="00414F95" w:rsidP="00F2429B">
      <w:pPr>
        <w:rPr>
          <w:rFonts w:eastAsiaTheme="minorEastAsia"/>
          <w:bCs/>
        </w:rPr>
      </w:pPr>
    </w:p>
    <w:p w14:paraId="222C1095" w14:textId="77777777" w:rsidR="00CB589C" w:rsidRPr="00F2429B" w:rsidRDefault="00614923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bCs/>
        </w:rPr>
        <w:t xml:space="preserve">General funding </w:t>
      </w:r>
      <w:proofErr w:type="gramStart"/>
      <w:r w:rsidRPr="00F2429B">
        <w:rPr>
          <w:bCs/>
        </w:rPr>
        <w:t>update</w:t>
      </w:r>
      <w:proofErr w:type="gramEnd"/>
      <w:r w:rsidR="0092576B">
        <w:rPr>
          <w:bCs/>
        </w:rPr>
        <w:br/>
        <w:t xml:space="preserve">The subcommittee noted the general funding update shown in </w:t>
      </w:r>
      <w:r w:rsidR="0092576B" w:rsidRPr="0092576B">
        <w:rPr>
          <w:b/>
          <w:bCs/>
        </w:rPr>
        <w:t>Appendix FCS 13/10/18</w:t>
      </w:r>
      <w:r w:rsidR="0092576B">
        <w:rPr>
          <w:bCs/>
        </w:rPr>
        <w:t>.</w:t>
      </w:r>
      <w:r w:rsidR="0081228E">
        <w:rPr>
          <w:bCs/>
        </w:rPr>
        <w:br/>
      </w:r>
    </w:p>
    <w:p w14:paraId="0F84F4E8" w14:textId="77777777" w:rsidR="00CB589C" w:rsidRPr="00F2429B" w:rsidRDefault="00614923" w:rsidP="00F2429B">
      <w:pPr>
        <w:pStyle w:val="ListParagraph"/>
        <w:numPr>
          <w:ilvl w:val="0"/>
          <w:numId w:val="37"/>
        </w:numPr>
        <w:rPr>
          <w:bCs/>
        </w:rPr>
      </w:pPr>
      <w:r w:rsidRPr="00F2429B">
        <w:rPr>
          <w:bCs/>
        </w:rPr>
        <w:t>Statistics</w:t>
      </w:r>
      <w:r w:rsidR="0092576B">
        <w:rPr>
          <w:bCs/>
        </w:rPr>
        <w:br/>
        <w:t xml:space="preserve">The subcommittee noted the statistics shown in </w:t>
      </w:r>
      <w:r w:rsidR="0092576B" w:rsidRPr="0092576B">
        <w:rPr>
          <w:b/>
          <w:bCs/>
        </w:rPr>
        <w:t>Appendix FCS 14/10/18</w:t>
      </w:r>
      <w:r w:rsidR="0092576B">
        <w:rPr>
          <w:bCs/>
        </w:rPr>
        <w:t>.</w:t>
      </w:r>
      <w:r w:rsidR="0081228E">
        <w:rPr>
          <w:bCs/>
        </w:rPr>
        <w:br/>
      </w:r>
    </w:p>
    <w:p w14:paraId="697FFFD2" w14:textId="1254BCD0" w:rsidR="00AF03A4" w:rsidRPr="005D6AB8" w:rsidRDefault="00CB589C" w:rsidP="00034439">
      <w:pPr>
        <w:pStyle w:val="ListParagraph"/>
        <w:numPr>
          <w:ilvl w:val="0"/>
          <w:numId w:val="37"/>
        </w:numPr>
        <w:rPr>
          <w:bCs/>
        </w:rPr>
      </w:pPr>
      <w:r w:rsidRPr="005D6AB8">
        <w:rPr>
          <w:bCs/>
        </w:rPr>
        <w:t>Any other business</w:t>
      </w:r>
      <w:r w:rsidR="0092576B" w:rsidRPr="005D6AB8">
        <w:rPr>
          <w:bCs/>
        </w:rPr>
        <w:br/>
      </w:r>
      <w:r w:rsidR="00AF03A4" w:rsidRPr="005D6AB8">
        <w:rPr>
          <w:bCs/>
        </w:rPr>
        <w:t>S</w:t>
      </w:r>
      <w:r w:rsidR="00D11558" w:rsidRPr="005D6AB8">
        <w:rPr>
          <w:bCs/>
        </w:rPr>
        <w:t>am Fisher raised the point that</w:t>
      </w:r>
      <w:r w:rsidR="00AF03A4" w:rsidRPr="005D6AB8">
        <w:rPr>
          <w:bCs/>
        </w:rPr>
        <w:t xml:space="preserve"> contractors</w:t>
      </w:r>
      <w:r w:rsidR="00D11558" w:rsidRPr="005D6AB8">
        <w:rPr>
          <w:bCs/>
        </w:rPr>
        <w:t xml:space="preserve"> are</w:t>
      </w:r>
      <w:r w:rsidR="00AF03A4" w:rsidRPr="005D6AB8">
        <w:rPr>
          <w:bCs/>
        </w:rPr>
        <w:t xml:space="preserve"> going to </w:t>
      </w:r>
      <w:r w:rsidR="00D11558" w:rsidRPr="005D6AB8">
        <w:rPr>
          <w:bCs/>
        </w:rPr>
        <w:t xml:space="preserve">absorb the FMD </w:t>
      </w:r>
      <w:r w:rsidR="00AF03A4" w:rsidRPr="005D6AB8">
        <w:rPr>
          <w:bCs/>
        </w:rPr>
        <w:t xml:space="preserve">cost in 2018/19 and not </w:t>
      </w:r>
      <w:r w:rsidR="00D11558" w:rsidRPr="005D6AB8">
        <w:rPr>
          <w:bCs/>
        </w:rPr>
        <w:t xml:space="preserve">in </w:t>
      </w:r>
      <w:r w:rsidR="00AF03A4" w:rsidRPr="005D6AB8">
        <w:rPr>
          <w:bCs/>
        </w:rPr>
        <w:t>2019/20</w:t>
      </w:r>
      <w:r w:rsidR="00D11558" w:rsidRPr="005D6AB8">
        <w:rPr>
          <w:bCs/>
        </w:rPr>
        <w:t xml:space="preserve">. The CAPEX costs for 2018/19 won’t have been considered. Mike Dent highlighted that the point is valid and will be discussed further. </w:t>
      </w:r>
    </w:p>
    <w:p w14:paraId="2710A285" w14:textId="08D25831" w:rsidR="00AF03A4" w:rsidRPr="00AF03A4" w:rsidRDefault="00D11558" w:rsidP="00D11558">
      <w:pPr>
        <w:ind w:left="360"/>
        <w:rPr>
          <w:bCs/>
        </w:rPr>
      </w:pPr>
      <w:r>
        <w:rPr>
          <w:bCs/>
        </w:rPr>
        <w:br/>
      </w:r>
    </w:p>
    <w:p w14:paraId="44379412" w14:textId="77777777" w:rsidR="00952340" w:rsidRPr="00952340" w:rsidRDefault="00952340" w:rsidP="00952340">
      <w:pPr>
        <w:ind w:left="-426" w:right="-330"/>
        <w:jc w:val="both"/>
        <w:rPr>
          <w:rStyle w:val="normaltextrun"/>
          <w:rFonts w:cstheme="minorHAnsi"/>
          <w:bCs/>
          <w:sz w:val="24"/>
          <w:szCs w:val="22"/>
        </w:rPr>
      </w:pPr>
    </w:p>
    <w:p w14:paraId="23384285" w14:textId="77777777" w:rsidR="00952340" w:rsidRDefault="00952340">
      <w:pPr>
        <w:spacing w:after="200" w:line="276" w:lineRule="auto"/>
        <w:rPr>
          <w:rFonts w:eastAsiaTheme="minorEastAsia" w:cstheme="minorBidi"/>
          <w:b/>
          <w:bCs/>
          <w:color w:val="5B518E"/>
          <w:sz w:val="24"/>
          <w:szCs w:val="24"/>
        </w:rPr>
      </w:pPr>
    </w:p>
    <w:sectPr w:rsidR="00952340" w:rsidSect="009E1134">
      <w:footerReference w:type="default" r:id="rId11"/>
      <w:pgSz w:w="11906" w:h="16838"/>
      <w:pgMar w:top="993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2164" w14:textId="77777777" w:rsidR="00351F09" w:rsidRDefault="00351F09" w:rsidP="00DC3553">
      <w:r>
        <w:separator/>
      </w:r>
    </w:p>
  </w:endnote>
  <w:endnote w:type="continuationSeparator" w:id="0">
    <w:p w14:paraId="6687DAB7" w14:textId="77777777" w:rsidR="00351F09" w:rsidRDefault="00351F09" w:rsidP="00DC3553">
      <w:r>
        <w:continuationSeparator/>
      </w:r>
    </w:p>
  </w:endnote>
  <w:endnote w:type="continuationNotice" w:id="1">
    <w:p w14:paraId="695B29B0" w14:textId="77777777" w:rsidR="00351F09" w:rsidRDefault="00351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868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D9919" w14:textId="77777777" w:rsidR="00116BBD" w:rsidRDefault="00116BBD" w:rsidP="00717CAD">
        <w:pPr>
          <w:pStyle w:val="Footer"/>
          <w:jc w:val="center"/>
        </w:pPr>
      </w:p>
      <w:tbl>
        <w:tblPr>
          <w:tblW w:w="10114" w:type="dxa"/>
          <w:jc w:val="center"/>
          <w:tblBorders>
            <w:top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>
        <w:tblGrid>
          <w:gridCol w:w="1395"/>
          <w:gridCol w:w="7678"/>
          <w:gridCol w:w="1041"/>
        </w:tblGrid>
        <w:tr w:rsidR="00116BBD" w:rsidRPr="00F07A40" w14:paraId="61A580BA" w14:textId="77777777" w:rsidTr="00C15DCA">
          <w:trPr>
            <w:jc w:val="center"/>
          </w:trPr>
          <w:tc>
            <w:tcPr>
              <w:tcW w:w="1395" w:type="dxa"/>
            </w:tcPr>
            <w:p w14:paraId="49B75422" w14:textId="77777777" w:rsidR="00116BBD" w:rsidRDefault="00116BBD" w:rsidP="00717CAD">
              <w:pPr>
                <w:tabs>
                  <w:tab w:val="center" w:pos="4320"/>
                  <w:tab w:val="center" w:pos="4862"/>
                  <w:tab w:val="right" w:pos="8640"/>
                  <w:tab w:val="right" w:pos="9537"/>
                  <w:tab w:val="right" w:pos="9911"/>
                </w:tabs>
                <w:ind w:right="-316"/>
                <w:rPr>
                  <w:rFonts w:cstheme="minorHAnsi"/>
                  <w:sz w:val="6"/>
                  <w:szCs w:val="6"/>
                </w:rPr>
              </w:pPr>
            </w:p>
            <w:p w14:paraId="19238674" w14:textId="77777777" w:rsidR="00116BBD" w:rsidRPr="00F07A40" w:rsidRDefault="00116BBD" w:rsidP="00717CAD">
              <w:pPr>
                <w:tabs>
                  <w:tab w:val="center" w:pos="4320"/>
                  <w:tab w:val="center" w:pos="4862"/>
                  <w:tab w:val="right" w:pos="8640"/>
                  <w:tab w:val="right" w:pos="9537"/>
                  <w:tab w:val="right" w:pos="9911"/>
                </w:tabs>
                <w:ind w:right="-316"/>
                <w:rPr>
                  <w:rFonts w:cstheme="minorHAnsi"/>
                  <w:sz w:val="6"/>
                  <w:szCs w:val="6"/>
                </w:rPr>
              </w:pPr>
            </w:p>
            <w:p w14:paraId="02E9CB6A" w14:textId="77777777" w:rsidR="00116BBD" w:rsidRPr="00F07A40" w:rsidRDefault="00116BBD" w:rsidP="00717CAD">
              <w:pPr>
                <w:tabs>
                  <w:tab w:val="center" w:pos="4320"/>
                  <w:tab w:val="center" w:pos="4862"/>
                  <w:tab w:val="right" w:pos="8640"/>
                  <w:tab w:val="right" w:pos="9537"/>
                  <w:tab w:val="right" w:pos="9911"/>
                </w:tabs>
                <w:ind w:right="-316"/>
                <w:rPr>
                  <w:rFonts w:eastAsiaTheme="minorEastAsia" w:cstheme="minorBidi"/>
                  <w:color w:val="5B518E"/>
                  <w:sz w:val="20"/>
                </w:rPr>
              </w:pPr>
              <w:r w:rsidRPr="0490887F">
                <w:rPr>
                  <w:rFonts w:eastAsiaTheme="minorEastAsia" w:cstheme="minorBidi"/>
                  <w:color w:val="5B518E"/>
                  <w:sz w:val="20"/>
                </w:rPr>
                <w:t xml:space="preserve">PSNC Agenda </w:t>
              </w:r>
            </w:p>
            <w:p w14:paraId="5E2D489E" w14:textId="77777777" w:rsidR="00116BBD" w:rsidRPr="00643D87" w:rsidRDefault="00116BBD" w:rsidP="00717CAD">
              <w:pPr>
                <w:tabs>
                  <w:tab w:val="center" w:pos="4320"/>
                  <w:tab w:val="center" w:pos="4862"/>
                  <w:tab w:val="right" w:pos="8640"/>
                  <w:tab w:val="right" w:pos="9537"/>
                  <w:tab w:val="right" w:pos="9911"/>
                </w:tabs>
                <w:ind w:right="-316"/>
                <w:rPr>
                  <w:rFonts w:eastAsiaTheme="minorEastAsia" w:cstheme="minorBidi"/>
                  <w:color w:val="5B518E"/>
                  <w:sz w:val="20"/>
                </w:rPr>
              </w:pPr>
              <w:r>
                <w:rPr>
                  <w:rFonts w:eastAsiaTheme="minorEastAsia" w:cstheme="minorBidi"/>
                  <w:color w:val="5B518E"/>
                  <w:sz w:val="20"/>
                </w:rPr>
                <w:t>October 2018</w:t>
              </w:r>
            </w:p>
          </w:tc>
          <w:tc>
            <w:tcPr>
              <w:tcW w:w="7678" w:type="dxa"/>
            </w:tcPr>
            <w:p w14:paraId="0A47CE90" w14:textId="77777777" w:rsidR="00116BBD" w:rsidRPr="00F07A40" w:rsidRDefault="00116BBD" w:rsidP="00717CAD">
              <w:pPr>
                <w:tabs>
                  <w:tab w:val="center" w:pos="4320"/>
                  <w:tab w:val="center" w:pos="4862"/>
                  <w:tab w:val="right" w:pos="8640"/>
                  <w:tab w:val="right" w:pos="9537"/>
                  <w:tab w:val="right" w:pos="9911"/>
                </w:tabs>
                <w:ind w:right="-318"/>
                <w:jc w:val="center"/>
                <w:rPr>
                  <w:rFonts w:cstheme="minorHAnsi"/>
                  <w:sz w:val="6"/>
                  <w:szCs w:val="6"/>
                </w:rPr>
              </w:pPr>
            </w:p>
            <w:p w14:paraId="7FCC29C6" w14:textId="77777777" w:rsidR="00116BBD" w:rsidRPr="00F07A40" w:rsidRDefault="00116BBD" w:rsidP="00717CAD">
              <w:pPr>
                <w:tabs>
                  <w:tab w:val="center" w:pos="4320"/>
                  <w:tab w:val="center" w:pos="4862"/>
                  <w:tab w:val="right" w:pos="8640"/>
                  <w:tab w:val="right" w:pos="9537"/>
                  <w:tab w:val="right" w:pos="9911"/>
                </w:tabs>
                <w:ind w:right="-318"/>
                <w:jc w:val="center"/>
                <w:rPr>
                  <w:rFonts w:eastAsiaTheme="minorEastAsia" w:cstheme="minorBidi"/>
                  <w:sz w:val="20"/>
                </w:rPr>
              </w:pPr>
              <w:r w:rsidRPr="0490887F">
                <w:rPr>
                  <w:rFonts w:eastAsiaTheme="minorEastAsia" w:cstheme="minorBidi"/>
                  <w:sz w:val="20"/>
                </w:rPr>
                <w:t xml:space="preserve">Page </w:t>
              </w:r>
              <w:r w:rsidRPr="0490887F">
                <w:rPr>
                  <w:rFonts w:eastAsiaTheme="minorEastAsia" w:cstheme="minorBidi"/>
                  <w:noProof/>
                  <w:sz w:val="20"/>
                </w:rPr>
                <w:fldChar w:fldCharType="begin"/>
              </w:r>
              <w:r w:rsidRPr="0490887F">
                <w:rPr>
                  <w:rFonts w:eastAsiaTheme="minorEastAsia" w:cstheme="minorBidi"/>
                  <w:noProof/>
                  <w:sz w:val="20"/>
                </w:rPr>
                <w:instrText xml:space="preserve"> PAGE </w:instrText>
              </w:r>
              <w:r w:rsidRPr="0490887F">
                <w:rPr>
                  <w:rFonts w:eastAsiaTheme="minorEastAsia" w:cstheme="minorBidi"/>
                  <w:noProof/>
                  <w:sz w:val="20"/>
                </w:rPr>
                <w:fldChar w:fldCharType="separate"/>
              </w:r>
              <w:r>
                <w:rPr>
                  <w:rFonts w:eastAsiaTheme="minorEastAsia" w:cstheme="minorBidi"/>
                  <w:noProof/>
                  <w:sz w:val="20"/>
                </w:rPr>
                <w:t>2</w:t>
              </w:r>
              <w:r w:rsidRPr="0490887F">
                <w:rPr>
                  <w:rFonts w:eastAsiaTheme="minorEastAsia" w:cstheme="minorBidi"/>
                  <w:noProof/>
                  <w:sz w:val="20"/>
                </w:rPr>
                <w:fldChar w:fldCharType="end"/>
              </w:r>
              <w:r w:rsidRPr="0490887F">
                <w:rPr>
                  <w:rFonts w:eastAsiaTheme="minorEastAsia" w:cstheme="minorBidi"/>
                  <w:sz w:val="20"/>
                </w:rPr>
                <w:t xml:space="preserve"> of </w:t>
              </w:r>
              <w:r w:rsidRPr="0490887F">
                <w:rPr>
                  <w:rFonts w:eastAsiaTheme="minorEastAsia" w:cstheme="minorBidi"/>
                  <w:noProof/>
                  <w:sz w:val="20"/>
                </w:rPr>
                <w:fldChar w:fldCharType="begin"/>
              </w:r>
              <w:r w:rsidRPr="0490887F">
                <w:rPr>
                  <w:rFonts w:eastAsiaTheme="minorEastAsia" w:cstheme="minorBidi"/>
                  <w:noProof/>
                  <w:sz w:val="20"/>
                </w:rPr>
                <w:instrText xml:space="preserve"> NUMPAGES </w:instrText>
              </w:r>
              <w:r w:rsidRPr="0490887F">
                <w:rPr>
                  <w:rFonts w:eastAsiaTheme="minorEastAsia" w:cstheme="minorBidi"/>
                  <w:noProof/>
                  <w:sz w:val="20"/>
                </w:rPr>
                <w:fldChar w:fldCharType="separate"/>
              </w:r>
              <w:r>
                <w:rPr>
                  <w:rFonts w:eastAsiaTheme="minorEastAsia" w:cstheme="minorBidi"/>
                  <w:noProof/>
                  <w:sz w:val="20"/>
                </w:rPr>
                <w:t>3</w:t>
              </w:r>
              <w:r w:rsidRPr="0490887F">
                <w:rPr>
                  <w:rFonts w:eastAsiaTheme="minorEastAsia" w:cstheme="minorBidi"/>
                  <w:noProof/>
                  <w:sz w:val="20"/>
                </w:rPr>
                <w:fldChar w:fldCharType="end"/>
              </w:r>
            </w:p>
          </w:tc>
          <w:tc>
            <w:tcPr>
              <w:tcW w:w="1041" w:type="dxa"/>
            </w:tcPr>
            <w:p w14:paraId="566B8B5D" w14:textId="77777777" w:rsidR="00116BBD" w:rsidRPr="00F07A40" w:rsidRDefault="00116BBD" w:rsidP="00717CAD">
              <w:pPr>
                <w:tabs>
                  <w:tab w:val="center" w:pos="4320"/>
                  <w:tab w:val="center" w:pos="4862"/>
                  <w:tab w:val="right" w:pos="8640"/>
                  <w:tab w:val="right" w:pos="9537"/>
                  <w:tab w:val="right" w:pos="9911"/>
                </w:tabs>
                <w:ind w:right="45"/>
                <w:jc w:val="right"/>
                <w:rPr>
                  <w:sz w:val="6"/>
                  <w:szCs w:val="6"/>
                </w:rPr>
              </w:pPr>
            </w:p>
            <w:p w14:paraId="76CE4121" w14:textId="77777777" w:rsidR="00116BBD" w:rsidRPr="00F07A40" w:rsidRDefault="00116BBD" w:rsidP="00717CAD">
              <w:pPr>
                <w:tabs>
                  <w:tab w:val="center" w:pos="4320"/>
                  <w:tab w:val="center" w:pos="4862"/>
                  <w:tab w:val="right" w:pos="8640"/>
                  <w:tab w:val="right" w:pos="9537"/>
                  <w:tab w:val="right" w:pos="9911"/>
                </w:tabs>
                <w:ind w:right="45"/>
                <w:jc w:val="right"/>
                <w:rPr>
                  <w:szCs w:val="22"/>
                </w:rPr>
              </w:pPr>
              <w:r>
                <w:rPr>
                  <w:noProof/>
                </w:rPr>
                <w:drawing>
                  <wp:inline distT="0" distB="0" distL="0" distR="0" wp14:anchorId="1540BF2A" wp14:editId="6FF27C08">
                    <wp:extent cx="468203" cy="334645"/>
                    <wp:effectExtent l="0" t="0" r="0" b="0"/>
                    <wp:docPr id="5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8203" cy="3346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25485596" w14:textId="77777777" w:rsidR="00116BBD" w:rsidRDefault="00351F09" w:rsidP="00717CAD">
        <w:pPr>
          <w:pStyle w:val="Footer"/>
          <w:jc w:val="center"/>
        </w:pPr>
      </w:p>
    </w:sdtContent>
  </w:sdt>
  <w:p w14:paraId="63081230" w14:textId="77777777" w:rsidR="00116BBD" w:rsidRDefault="00116BBD" w:rsidP="00717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84398" w14:textId="77777777" w:rsidR="00351F09" w:rsidRDefault="00351F09" w:rsidP="00DC3553">
      <w:r>
        <w:separator/>
      </w:r>
    </w:p>
  </w:footnote>
  <w:footnote w:type="continuationSeparator" w:id="0">
    <w:p w14:paraId="23D7B514" w14:textId="77777777" w:rsidR="00351F09" w:rsidRDefault="00351F09" w:rsidP="00DC3553">
      <w:r>
        <w:continuationSeparator/>
      </w:r>
    </w:p>
  </w:footnote>
  <w:footnote w:type="continuationNotice" w:id="1">
    <w:p w14:paraId="36385B53" w14:textId="77777777" w:rsidR="00351F09" w:rsidRDefault="00351F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00F"/>
    <w:multiLevelType w:val="hybridMultilevel"/>
    <w:tmpl w:val="13D63966"/>
    <w:lvl w:ilvl="0" w:tplc="A7B08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204"/>
    <w:multiLevelType w:val="hybridMultilevel"/>
    <w:tmpl w:val="48BC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3E5"/>
    <w:multiLevelType w:val="multilevel"/>
    <w:tmpl w:val="2C700A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7B23D6"/>
    <w:multiLevelType w:val="hybridMultilevel"/>
    <w:tmpl w:val="6F6C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4306"/>
    <w:multiLevelType w:val="hybridMultilevel"/>
    <w:tmpl w:val="6CCC3E90"/>
    <w:lvl w:ilvl="0" w:tplc="9C48F4EA">
      <w:start w:val="1"/>
      <w:numFmt w:val="decimal"/>
      <w:lvlText w:val="%1."/>
      <w:lvlJc w:val="left"/>
      <w:pPr>
        <w:ind w:left="720" w:hanging="360"/>
      </w:pPr>
      <w:rPr>
        <w:rFonts w:ascii="Calibri Light" w:eastAsia="Arial Unicode MS" w:hAnsi="Calibri Ligh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3089"/>
    <w:multiLevelType w:val="hybridMultilevel"/>
    <w:tmpl w:val="5044A1CE"/>
    <w:lvl w:ilvl="0" w:tplc="4B38F09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4AC3233"/>
    <w:multiLevelType w:val="hybridMultilevel"/>
    <w:tmpl w:val="051A2AE0"/>
    <w:lvl w:ilvl="0" w:tplc="A7B08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9FC"/>
    <w:multiLevelType w:val="hybridMultilevel"/>
    <w:tmpl w:val="D62624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E5D3F"/>
    <w:multiLevelType w:val="hybridMultilevel"/>
    <w:tmpl w:val="E7B0C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F6C5D"/>
    <w:multiLevelType w:val="hybridMultilevel"/>
    <w:tmpl w:val="E5F6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202"/>
    <w:multiLevelType w:val="multilevel"/>
    <w:tmpl w:val="7432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518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52AA2"/>
    <w:multiLevelType w:val="hybridMultilevel"/>
    <w:tmpl w:val="A0764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CD"/>
    <w:multiLevelType w:val="hybridMultilevel"/>
    <w:tmpl w:val="AD6EE07A"/>
    <w:lvl w:ilvl="0" w:tplc="82849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4D6F"/>
    <w:multiLevelType w:val="hybridMultilevel"/>
    <w:tmpl w:val="0F7C8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A72"/>
    <w:multiLevelType w:val="hybridMultilevel"/>
    <w:tmpl w:val="6950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3679"/>
    <w:multiLevelType w:val="hybridMultilevel"/>
    <w:tmpl w:val="873A4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13CDE"/>
    <w:multiLevelType w:val="hybridMultilevel"/>
    <w:tmpl w:val="7C240A4E"/>
    <w:lvl w:ilvl="0" w:tplc="4B38F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1968"/>
    <w:multiLevelType w:val="hybridMultilevel"/>
    <w:tmpl w:val="AA2874D8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D7F6474"/>
    <w:multiLevelType w:val="hybridMultilevel"/>
    <w:tmpl w:val="3F5622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436E7"/>
    <w:multiLevelType w:val="hybridMultilevel"/>
    <w:tmpl w:val="69C2D612"/>
    <w:lvl w:ilvl="0" w:tplc="EFC616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B65A1A"/>
    <w:multiLevelType w:val="hybridMultilevel"/>
    <w:tmpl w:val="8BA0EE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03450"/>
    <w:multiLevelType w:val="hybridMultilevel"/>
    <w:tmpl w:val="3C5CF5AA"/>
    <w:lvl w:ilvl="0" w:tplc="4B38F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9EE2D422"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1F497D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7086F"/>
    <w:multiLevelType w:val="hybridMultilevel"/>
    <w:tmpl w:val="1C24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41E5E"/>
    <w:multiLevelType w:val="hybridMultilevel"/>
    <w:tmpl w:val="581A5E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D5116"/>
    <w:multiLevelType w:val="hybridMultilevel"/>
    <w:tmpl w:val="0C184538"/>
    <w:lvl w:ilvl="0" w:tplc="1F845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B518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16F"/>
    <w:multiLevelType w:val="hybridMultilevel"/>
    <w:tmpl w:val="CB0A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A3A56"/>
    <w:multiLevelType w:val="hybridMultilevel"/>
    <w:tmpl w:val="518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1A12"/>
    <w:multiLevelType w:val="hybridMultilevel"/>
    <w:tmpl w:val="48BC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E5454"/>
    <w:multiLevelType w:val="hybridMultilevel"/>
    <w:tmpl w:val="AF68D6C6"/>
    <w:lvl w:ilvl="0" w:tplc="A7B08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F039B"/>
    <w:multiLevelType w:val="hybridMultilevel"/>
    <w:tmpl w:val="1CAC5CA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53965DC2"/>
    <w:multiLevelType w:val="hybridMultilevel"/>
    <w:tmpl w:val="60F65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900A1"/>
    <w:multiLevelType w:val="hybridMultilevel"/>
    <w:tmpl w:val="A1A0FBAE"/>
    <w:lvl w:ilvl="0" w:tplc="0E182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2A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724B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6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E93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98AC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F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0D0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8DEA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0597"/>
    <w:multiLevelType w:val="hybridMultilevel"/>
    <w:tmpl w:val="6502953A"/>
    <w:lvl w:ilvl="0" w:tplc="A7B08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674BE"/>
    <w:multiLevelType w:val="hybridMultilevel"/>
    <w:tmpl w:val="48BC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B5D41"/>
    <w:multiLevelType w:val="hybridMultilevel"/>
    <w:tmpl w:val="8AF4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F03D7"/>
    <w:multiLevelType w:val="hybridMultilevel"/>
    <w:tmpl w:val="4C5E2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92492"/>
    <w:multiLevelType w:val="hybridMultilevel"/>
    <w:tmpl w:val="3D56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32492"/>
    <w:multiLevelType w:val="hybridMultilevel"/>
    <w:tmpl w:val="4EE4E8CC"/>
    <w:lvl w:ilvl="0" w:tplc="4B38F09E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38" w15:restartNumberingAfterBreak="0">
    <w:nsid w:val="7A085A4D"/>
    <w:multiLevelType w:val="hybridMultilevel"/>
    <w:tmpl w:val="0464AC86"/>
    <w:lvl w:ilvl="0" w:tplc="A7B08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F7341"/>
    <w:multiLevelType w:val="hybridMultilevel"/>
    <w:tmpl w:val="933C0FA6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40" w15:restartNumberingAfterBreak="0">
    <w:nsid w:val="7F064AD1"/>
    <w:multiLevelType w:val="hybridMultilevel"/>
    <w:tmpl w:val="BA746850"/>
    <w:lvl w:ilvl="0" w:tplc="4B38F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36328BF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32"/>
  </w:num>
  <w:num w:numId="7">
    <w:abstractNumId w:val="0"/>
  </w:num>
  <w:num w:numId="8">
    <w:abstractNumId w:val="38"/>
  </w:num>
  <w:num w:numId="9">
    <w:abstractNumId w:val="5"/>
  </w:num>
  <w:num w:numId="10">
    <w:abstractNumId w:val="10"/>
  </w:num>
  <w:num w:numId="11">
    <w:abstractNumId w:val="40"/>
  </w:num>
  <w:num w:numId="12">
    <w:abstractNumId w:val="24"/>
  </w:num>
  <w:num w:numId="13">
    <w:abstractNumId w:val="16"/>
  </w:num>
  <w:num w:numId="14">
    <w:abstractNumId w:val="21"/>
  </w:num>
  <w:num w:numId="15">
    <w:abstractNumId w:val="1"/>
  </w:num>
  <w:num w:numId="16">
    <w:abstractNumId w:val="27"/>
  </w:num>
  <w:num w:numId="17">
    <w:abstractNumId w:val="33"/>
  </w:num>
  <w:num w:numId="18">
    <w:abstractNumId w:val="12"/>
  </w:num>
  <w:num w:numId="19">
    <w:abstractNumId w:val="23"/>
  </w:num>
  <w:num w:numId="20">
    <w:abstractNumId w:val="4"/>
  </w:num>
  <w:num w:numId="21">
    <w:abstractNumId w:val="25"/>
  </w:num>
  <w:num w:numId="22">
    <w:abstractNumId w:val="22"/>
  </w:num>
  <w:num w:numId="23">
    <w:abstractNumId w:val="9"/>
  </w:num>
  <w:num w:numId="24">
    <w:abstractNumId w:val="34"/>
  </w:num>
  <w:num w:numId="25">
    <w:abstractNumId w:val="14"/>
  </w:num>
  <w:num w:numId="26">
    <w:abstractNumId w:val="26"/>
  </w:num>
  <w:num w:numId="27">
    <w:abstractNumId w:val="36"/>
  </w:num>
  <w:num w:numId="28">
    <w:abstractNumId w:val="31"/>
  </w:num>
  <w:num w:numId="29">
    <w:abstractNumId w:val="19"/>
  </w:num>
  <w:num w:numId="30">
    <w:abstractNumId w:val="15"/>
  </w:num>
  <w:num w:numId="31">
    <w:abstractNumId w:val="2"/>
  </w:num>
  <w:num w:numId="32">
    <w:abstractNumId w:val="29"/>
  </w:num>
  <w:num w:numId="33">
    <w:abstractNumId w:val="39"/>
  </w:num>
  <w:num w:numId="34">
    <w:abstractNumId w:val="37"/>
  </w:num>
  <w:num w:numId="35">
    <w:abstractNumId w:val="30"/>
  </w:num>
  <w:num w:numId="36">
    <w:abstractNumId w:val="17"/>
  </w:num>
  <w:num w:numId="37">
    <w:abstractNumId w:val="20"/>
  </w:num>
  <w:num w:numId="38">
    <w:abstractNumId w:val="7"/>
  </w:num>
  <w:num w:numId="39">
    <w:abstractNumId w:val="13"/>
  </w:num>
  <w:num w:numId="40">
    <w:abstractNumId w:val="18"/>
  </w:num>
  <w:num w:numId="41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7A"/>
    <w:rsid w:val="00002552"/>
    <w:rsid w:val="0000737D"/>
    <w:rsid w:val="0002060B"/>
    <w:rsid w:val="00020C22"/>
    <w:rsid w:val="00022969"/>
    <w:rsid w:val="000236B2"/>
    <w:rsid w:val="00024CC9"/>
    <w:rsid w:val="00025EF9"/>
    <w:rsid w:val="000402D5"/>
    <w:rsid w:val="000520D8"/>
    <w:rsid w:val="00054872"/>
    <w:rsid w:val="0005498B"/>
    <w:rsid w:val="00061EE2"/>
    <w:rsid w:val="00067F0B"/>
    <w:rsid w:val="00070949"/>
    <w:rsid w:val="00077342"/>
    <w:rsid w:val="00077FC3"/>
    <w:rsid w:val="00083F41"/>
    <w:rsid w:val="00084090"/>
    <w:rsid w:val="00087D1B"/>
    <w:rsid w:val="00092977"/>
    <w:rsid w:val="000932B2"/>
    <w:rsid w:val="00095E26"/>
    <w:rsid w:val="00097261"/>
    <w:rsid w:val="000A09F7"/>
    <w:rsid w:val="000A2A6B"/>
    <w:rsid w:val="000B0B3B"/>
    <w:rsid w:val="000B1A24"/>
    <w:rsid w:val="000B30B5"/>
    <w:rsid w:val="000B3638"/>
    <w:rsid w:val="000B377B"/>
    <w:rsid w:val="000B43A0"/>
    <w:rsid w:val="000B4BF5"/>
    <w:rsid w:val="000C6E3D"/>
    <w:rsid w:val="000C74FC"/>
    <w:rsid w:val="000D342E"/>
    <w:rsid w:val="000D5062"/>
    <w:rsid w:val="000D6C8A"/>
    <w:rsid w:val="000E00FC"/>
    <w:rsid w:val="000E464E"/>
    <w:rsid w:val="000E6EBF"/>
    <w:rsid w:val="000E7661"/>
    <w:rsid w:val="000F427A"/>
    <w:rsid w:val="000F5E02"/>
    <w:rsid w:val="000F6442"/>
    <w:rsid w:val="00103A0E"/>
    <w:rsid w:val="00107194"/>
    <w:rsid w:val="00111A7B"/>
    <w:rsid w:val="00116BBD"/>
    <w:rsid w:val="001176B2"/>
    <w:rsid w:val="00122A80"/>
    <w:rsid w:val="00122F1A"/>
    <w:rsid w:val="00124834"/>
    <w:rsid w:val="001324A3"/>
    <w:rsid w:val="001410D5"/>
    <w:rsid w:val="00146E25"/>
    <w:rsid w:val="00151E46"/>
    <w:rsid w:val="00152E29"/>
    <w:rsid w:val="001542C2"/>
    <w:rsid w:val="00157DAF"/>
    <w:rsid w:val="001630E7"/>
    <w:rsid w:val="001654D6"/>
    <w:rsid w:val="00170636"/>
    <w:rsid w:val="001709F0"/>
    <w:rsid w:val="00172AC5"/>
    <w:rsid w:val="0017794B"/>
    <w:rsid w:val="00182D7F"/>
    <w:rsid w:val="00185D34"/>
    <w:rsid w:val="00193EFF"/>
    <w:rsid w:val="001947F9"/>
    <w:rsid w:val="001955FE"/>
    <w:rsid w:val="00197045"/>
    <w:rsid w:val="0019759E"/>
    <w:rsid w:val="001A3379"/>
    <w:rsid w:val="001A3523"/>
    <w:rsid w:val="001A447E"/>
    <w:rsid w:val="001A50D6"/>
    <w:rsid w:val="001B1A34"/>
    <w:rsid w:val="001B28D3"/>
    <w:rsid w:val="001B33B9"/>
    <w:rsid w:val="001B43A7"/>
    <w:rsid w:val="001D0848"/>
    <w:rsid w:val="001D134F"/>
    <w:rsid w:val="001D3902"/>
    <w:rsid w:val="001D4081"/>
    <w:rsid w:val="001E028F"/>
    <w:rsid w:val="001E4617"/>
    <w:rsid w:val="001E7970"/>
    <w:rsid w:val="001F101D"/>
    <w:rsid w:val="001F13F0"/>
    <w:rsid w:val="001F1FAA"/>
    <w:rsid w:val="001F751D"/>
    <w:rsid w:val="00204A2E"/>
    <w:rsid w:val="00204E0D"/>
    <w:rsid w:val="00210646"/>
    <w:rsid w:val="00211385"/>
    <w:rsid w:val="00211F10"/>
    <w:rsid w:val="002120E4"/>
    <w:rsid w:val="0023002F"/>
    <w:rsid w:val="00232AEC"/>
    <w:rsid w:val="00232F83"/>
    <w:rsid w:val="002424E0"/>
    <w:rsid w:val="0024311E"/>
    <w:rsid w:val="00250AB6"/>
    <w:rsid w:val="00255F66"/>
    <w:rsid w:val="00256DEC"/>
    <w:rsid w:val="0025782E"/>
    <w:rsid w:val="00257DCB"/>
    <w:rsid w:val="00267A33"/>
    <w:rsid w:val="002704DF"/>
    <w:rsid w:val="0028357B"/>
    <w:rsid w:val="00286A0A"/>
    <w:rsid w:val="00292958"/>
    <w:rsid w:val="002A0C54"/>
    <w:rsid w:val="002B3D6D"/>
    <w:rsid w:val="002B70BA"/>
    <w:rsid w:val="002C02AE"/>
    <w:rsid w:val="002C4A19"/>
    <w:rsid w:val="002D006B"/>
    <w:rsid w:val="002D3AC7"/>
    <w:rsid w:val="002D5BB8"/>
    <w:rsid w:val="002D6792"/>
    <w:rsid w:val="002D798A"/>
    <w:rsid w:val="002E0B28"/>
    <w:rsid w:val="002E3513"/>
    <w:rsid w:val="002E4A35"/>
    <w:rsid w:val="002E56FB"/>
    <w:rsid w:val="002F074A"/>
    <w:rsid w:val="002F4A90"/>
    <w:rsid w:val="002F793F"/>
    <w:rsid w:val="003006F1"/>
    <w:rsid w:val="00300808"/>
    <w:rsid w:val="00302AC2"/>
    <w:rsid w:val="00303CE4"/>
    <w:rsid w:val="00310668"/>
    <w:rsid w:val="003153BC"/>
    <w:rsid w:val="0031562F"/>
    <w:rsid w:val="00320BDA"/>
    <w:rsid w:val="0032395D"/>
    <w:rsid w:val="00331C4B"/>
    <w:rsid w:val="00332192"/>
    <w:rsid w:val="00336C72"/>
    <w:rsid w:val="003412D5"/>
    <w:rsid w:val="00350C56"/>
    <w:rsid w:val="00351F09"/>
    <w:rsid w:val="003527BA"/>
    <w:rsid w:val="00354390"/>
    <w:rsid w:val="00363DB0"/>
    <w:rsid w:val="003641E1"/>
    <w:rsid w:val="00374B9F"/>
    <w:rsid w:val="003811DA"/>
    <w:rsid w:val="00387978"/>
    <w:rsid w:val="003909FE"/>
    <w:rsid w:val="003914AA"/>
    <w:rsid w:val="003929B1"/>
    <w:rsid w:val="003973B8"/>
    <w:rsid w:val="003B5247"/>
    <w:rsid w:val="003C2DF0"/>
    <w:rsid w:val="003C335E"/>
    <w:rsid w:val="003C4CDE"/>
    <w:rsid w:val="003E05FF"/>
    <w:rsid w:val="003E7F70"/>
    <w:rsid w:val="003F0438"/>
    <w:rsid w:val="003F1A4B"/>
    <w:rsid w:val="003F1B97"/>
    <w:rsid w:val="003F6B94"/>
    <w:rsid w:val="0040125B"/>
    <w:rsid w:val="00414F95"/>
    <w:rsid w:val="00415EFA"/>
    <w:rsid w:val="004172C1"/>
    <w:rsid w:val="00420688"/>
    <w:rsid w:val="00420CD3"/>
    <w:rsid w:val="004310DB"/>
    <w:rsid w:val="00431C13"/>
    <w:rsid w:val="00433E64"/>
    <w:rsid w:val="0044323A"/>
    <w:rsid w:val="00444BD2"/>
    <w:rsid w:val="00451F0C"/>
    <w:rsid w:val="00460678"/>
    <w:rsid w:val="0046298C"/>
    <w:rsid w:val="00471791"/>
    <w:rsid w:val="004733BF"/>
    <w:rsid w:val="0047551A"/>
    <w:rsid w:val="00481BF8"/>
    <w:rsid w:val="00485A1E"/>
    <w:rsid w:val="0049204C"/>
    <w:rsid w:val="00493E15"/>
    <w:rsid w:val="004977BE"/>
    <w:rsid w:val="004A37B2"/>
    <w:rsid w:val="004B0225"/>
    <w:rsid w:val="004B0315"/>
    <w:rsid w:val="004B1615"/>
    <w:rsid w:val="004B5A06"/>
    <w:rsid w:val="004C58B5"/>
    <w:rsid w:val="004D338C"/>
    <w:rsid w:val="004D396A"/>
    <w:rsid w:val="004E0437"/>
    <w:rsid w:val="004E11D6"/>
    <w:rsid w:val="004E1A33"/>
    <w:rsid w:val="004E1EBA"/>
    <w:rsid w:val="004E69F8"/>
    <w:rsid w:val="00503EDB"/>
    <w:rsid w:val="00504043"/>
    <w:rsid w:val="0051159F"/>
    <w:rsid w:val="0051782C"/>
    <w:rsid w:val="005205B7"/>
    <w:rsid w:val="00530E75"/>
    <w:rsid w:val="00533434"/>
    <w:rsid w:val="00537075"/>
    <w:rsid w:val="00537930"/>
    <w:rsid w:val="00540753"/>
    <w:rsid w:val="00542DCE"/>
    <w:rsid w:val="00547DFE"/>
    <w:rsid w:val="00550BB4"/>
    <w:rsid w:val="00553E6E"/>
    <w:rsid w:val="00554819"/>
    <w:rsid w:val="00570A93"/>
    <w:rsid w:val="00580594"/>
    <w:rsid w:val="0058435D"/>
    <w:rsid w:val="005848DE"/>
    <w:rsid w:val="005A3B23"/>
    <w:rsid w:val="005B50DC"/>
    <w:rsid w:val="005B6FD7"/>
    <w:rsid w:val="005B79AA"/>
    <w:rsid w:val="005C0D5C"/>
    <w:rsid w:val="005C196C"/>
    <w:rsid w:val="005C36B4"/>
    <w:rsid w:val="005C4BD8"/>
    <w:rsid w:val="005C5D58"/>
    <w:rsid w:val="005C728A"/>
    <w:rsid w:val="005D2712"/>
    <w:rsid w:val="005D3F9D"/>
    <w:rsid w:val="005D4700"/>
    <w:rsid w:val="005D6AB8"/>
    <w:rsid w:val="005E3F1A"/>
    <w:rsid w:val="005E4305"/>
    <w:rsid w:val="005E4864"/>
    <w:rsid w:val="005E7226"/>
    <w:rsid w:val="005E778B"/>
    <w:rsid w:val="005F203F"/>
    <w:rsid w:val="005F7F7B"/>
    <w:rsid w:val="006016FE"/>
    <w:rsid w:val="006058D8"/>
    <w:rsid w:val="00606460"/>
    <w:rsid w:val="006121FC"/>
    <w:rsid w:val="006134F3"/>
    <w:rsid w:val="00614914"/>
    <w:rsid w:val="00614923"/>
    <w:rsid w:val="00614D8E"/>
    <w:rsid w:val="00622B2F"/>
    <w:rsid w:val="00623D3D"/>
    <w:rsid w:val="00630A6C"/>
    <w:rsid w:val="006371E7"/>
    <w:rsid w:val="00642684"/>
    <w:rsid w:val="00643D87"/>
    <w:rsid w:val="0064533D"/>
    <w:rsid w:val="006478DF"/>
    <w:rsid w:val="00657925"/>
    <w:rsid w:val="00665FC7"/>
    <w:rsid w:val="006706E5"/>
    <w:rsid w:val="006730C2"/>
    <w:rsid w:val="00674EF9"/>
    <w:rsid w:val="00682F2B"/>
    <w:rsid w:val="00687A99"/>
    <w:rsid w:val="00691703"/>
    <w:rsid w:val="00691B07"/>
    <w:rsid w:val="006A332C"/>
    <w:rsid w:val="006A7EED"/>
    <w:rsid w:val="006B3A98"/>
    <w:rsid w:val="006B5753"/>
    <w:rsid w:val="006C0FD7"/>
    <w:rsid w:val="006C4E01"/>
    <w:rsid w:val="006D4DCF"/>
    <w:rsid w:val="006E1128"/>
    <w:rsid w:val="006E1677"/>
    <w:rsid w:val="006E18A7"/>
    <w:rsid w:val="006E4ED9"/>
    <w:rsid w:val="006E5821"/>
    <w:rsid w:val="006E5B9F"/>
    <w:rsid w:val="006E72EC"/>
    <w:rsid w:val="00700E6A"/>
    <w:rsid w:val="0070463C"/>
    <w:rsid w:val="00717CAD"/>
    <w:rsid w:val="0072240C"/>
    <w:rsid w:val="00724AB1"/>
    <w:rsid w:val="00725075"/>
    <w:rsid w:val="00727413"/>
    <w:rsid w:val="00731DEE"/>
    <w:rsid w:val="007324C9"/>
    <w:rsid w:val="00733D17"/>
    <w:rsid w:val="00741C04"/>
    <w:rsid w:val="00746412"/>
    <w:rsid w:val="007761AB"/>
    <w:rsid w:val="00776EA1"/>
    <w:rsid w:val="00785BF1"/>
    <w:rsid w:val="00785F73"/>
    <w:rsid w:val="007869F3"/>
    <w:rsid w:val="0079147A"/>
    <w:rsid w:val="00794CEF"/>
    <w:rsid w:val="007A01DA"/>
    <w:rsid w:val="007B4A61"/>
    <w:rsid w:val="007B4E8D"/>
    <w:rsid w:val="007C63CE"/>
    <w:rsid w:val="007C79D4"/>
    <w:rsid w:val="007D1CD0"/>
    <w:rsid w:val="007D6C6C"/>
    <w:rsid w:val="007E0C24"/>
    <w:rsid w:val="007E37FA"/>
    <w:rsid w:val="007E640B"/>
    <w:rsid w:val="007E7F4D"/>
    <w:rsid w:val="007F2DB8"/>
    <w:rsid w:val="007F7018"/>
    <w:rsid w:val="00801699"/>
    <w:rsid w:val="008038CD"/>
    <w:rsid w:val="008051C5"/>
    <w:rsid w:val="0081228E"/>
    <w:rsid w:val="00814F22"/>
    <w:rsid w:val="00831FD5"/>
    <w:rsid w:val="0084007E"/>
    <w:rsid w:val="0084353F"/>
    <w:rsid w:val="00844089"/>
    <w:rsid w:val="0084427F"/>
    <w:rsid w:val="00844DE9"/>
    <w:rsid w:val="00854B1D"/>
    <w:rsid w:val="008553A5"/>
    <w:rsid w:val="00855970"/>
    <w:rsid w:val="00861325"/>
    <w:rsid w:val="008616E3"/>
    <w:rsid w:val="00865EE7"/>
    <w:rsid w:val="00866C7D"/>
    <w:rsid w:val="008670F1"/>
    <w:rsid w:val="00877180"/>
    <w:rsid w:val="00880FA0"/>
    <w:rsid w:val="008818B6"/>
    <w:rsid w:val="00881D8A"/>
    <w:rsid w:val="00891A77"/>
    <w:rsid w:val="008936F4"/>
    <w:rsid w:val="00895F0D"/>
    <w:rsid w:val="00897BC2"/>
    <w:rsid w:val="008B6BC7"/>
    <w:rsid w:val="008C08EB"/>
    <w:rsid w:val="008C1A07"/>
    <w:rsid w:val="008C580E"/>
    <w:rsid w:val="008C6751"/>
    <w:rsid w:val="008C7541"/>
    <w:rsid w:val="008D1CB9"/>
    <w:rsid w:val="008D32CC"/>
    <w:rsid w:val="008D3A07"/>
    <w:rsid w:val="008D6480"/>
    <w:rsid w:val="008E57BD"/>
    <w:rsid w:val="008F0863"/>
    <w:rsid w:val="008F2ACA"/>
    <w:rsid w:val="008F3107"/>
    <w:rsid w:val="008F64FC"/>
    <w:rsid w:val="008F7670"/>
    <w:rsid w:val="00900EE7"/>
    <w:rsid w:val="009012B3"/>
    <w:rsid w:val="00905685"/>
    <w:rsid w:val="00911277"/>
    <w:rsid w:val="00911F96"/>
    <w:rsid w:val="00912049"/>
    <w:rsid w:val="009123ED"/>
    <w:rsid w:val="00914CD1"/>
    <w:rsid w:val="0092550E"/>
    <w:rsid w:val="0092576B"/>
    <w:rsid w:val="00925F3C"/>
    <w:rsid w:val="00927D8C"/>
    <w:rsid w:val="0093174D"/>
    <w:rsid w:val="00937C26"/>
    <w:rsid w:val="00943BEF"/>
    <w:rsid w:val="00947805"/>
    <w:rsid w:val="00952340"/>
    <w:rsid w:val="00957049"/>
    <w:rsid w:val="00963F38"/>
    <w:rsid w:val="009700B5"/>
    <w:rsid w:val="00972896"/>
    <w:rsid w:val="00973B67"/>
    <w:rsid w:val="009778B3"/>
    <w:rsid w:val="009846EA"/>
    <w:rsid w:val="0098612A"/>
    <w:rsid w:val="00987A0D"/>
    <w:rsid w:val="00992503"/>
    <w:rsid w:val="009A03EA"/>
    <w:rsid w:val="009A08EC"/>
    <w:rsid w:val="009A1263"/>
    <w:rsid w:val="009A2541"/>
    <w:rsid w:val="009A503C"/>
    <w:rsid w:val="009A7291"/>
    <w:rsid w:val="009B526A"/>
    <w:rsid w:val="009C0DC8"/>
    <w:rsid w:val="009C3C00"/>
    <w:rsid w:val="009C60AF"/>
    <w:rsid w:val="009D1894"/>
    <w:rsid w:val="009D4A9B"/>
    <w:rsid w:val="009D5DFE"/>
    <w:rsid w:val="009D6323"/>
    <w:rsid w:val="009D77BB"/>
    <w:rsid w:val="009E0F72"/>
    <w:rsid w:val="009E1134"/>
    <w:rsid w:val="009E6342"/>
    <w:rsid w:val="009E65F3"/>
    <w:rsid w:val="009E7FC7"/>
    <w:rsid w:val="009F46E9"/>
    <w:rsid w:val="009F5529"/>
    <w:rsid w:val="009F722F"/>
    <w:rsid w:val="00A01597"/>
    <w:rsid w:val="00A04A65"/>
    <w:rsid w:val="00A131EF"/>
    <w:rsid w:val="00A13AB3"/>
    <w:rsid w:val="00A22D13"/>
    <w:rsid w:val="00A25FCC"/>
    <w:rsid w:val="00A35267"/>
    <w:rsid w:val="00A35AA9"/>
    <w:rsid w:val="00A5091E"/>
    <w:rsid w:val="00A612AA"/>
    <w:rsid w:val="00A64EAF"/>
    <w:rsid w:val="00A6575E"/>
    <w:rsid w:val="00A66EF7"/>
    <w:rsid w:val="00A72AF8"/>
    <w:rsid w:val="00A749FF"/>
    <w:rsid w:val="00A752B4"/>
    <w:rsid w:val="00A8439E"/>
    <w:rsid w:val="00A87DF5"/>
    <w:rsid w:val="00A87F08"/>
    <w:rsid w:val="00A96327"/>
    <w:rsid w:val="00AA1F85"/>
    <w:rsid w:val="00AA24CF"/>
    <w:rsid w:val="00AA7B2A"/>
    <w:rsid w:val="00AA7D6F"/>
    <w:rsid w:val="00AB32A5"/>
    <w:rsid w:val="00AB32C4"/>
    <w:rsid w:val="00AB6206"/>
    <w:rsid w:val="00AC3570"/>
    <w:rsid w:val="00AC580E"/>
    <w:rsid w:val="00AC753C"/>
    <w:rsid w:val="00AD5FEE"/>
    <w:rsid w:val="00AD70FC"/>
    <w:rsid w:val="00AE4681"/>
    <w:rsid w:val="00AE485D"/>
    <w:rsid w:val="00AF03A4"/>
    <w:rsid w:val="00AF7D54"/>
    <w:rsid w:val="00B06732"/>
    <w:rsid w:val="00B07787"/>
    <w:rsid w:val="00B1437E"/>
    <w:rsid w:val="00B21732"/>
    <w:rsid w:val="00B2264C"/>
    <w:rsid w:val="00B23FD4"/>
    <w:rsid w:val="00B25210"/>
    <w:rsid w:val="00B32469"/>
    <w:rsid w:val="00B3545E"/>
    <w:rsid w:val="00B42705"/>
    <w:rsid w:val="00B47E3F"/>
    <w:rsid w:val="00B51CB1"/>
    <w:rsid w:val="00B540E8"/>
    <w:rsid w:val="00B621F0"/>
    <w:rsid w:val="00B63B7E"/>
    <w:rsid w:val="00B64896"/>
    <w:rsid w:val="00B67031"/>
    <w:rsid w:val="00B671C9"/>
    <w:rsid w:val="00B7156D"/>
    <w:rsid w:val="00B765E0"/>
    <w:rsid w:val="00B7707D"/>
    <w:rsid w:val="00B83FAA"/>
    <w:rsid w:val="00B84839"/>
    <w:rsid w:val="00B938A0"/>
    <w:rsid w:val="00BA2622"/>
    <w:rsid w:val="00BA5133"/>
    <w:rsid w:val="00BA68F9"/>
    <w:rsid w:val="00BB46CE"/>
    <w:rsid w:val="00BC09D9"/>
    <w:rsid w:val="00BC24FF"/>
    <w:rsid w:val="00BC3A79"/>
    <w:rsid w:val="00BC650D"/>
    <w:rsid w:val="00BD2258"/>
    <w:rsid w:val="00BD644C"/>
    <w:rsid w:val="00BD7027"/>
    <w:rsid w:val="00BE0DDB"/>
    <w:rsid w:val="00BF08D9"/>
    <w:rsid w:val="00C0254C"/>
    <w:rsid w:val="00C03543"/>
    <w:rsid w:val="00C03A07"/>
    <w:rsid w:val="00C04C44"/>
    <w:rsid w:val="00C05852"/>
    <w:rsid w:val="00C10A55"/>
    <w:rsid w:val="00C11AA8"/>
    <w:rsid w:val="00C14D69"/>
    <w:rsid w:val="00C15DCA"/>
    <w:rsid w:val="00C1769D"/>
    <w:rsid w:val="00C20CA8"/>
    <w:rsid w:val="00C2465E"/>
    <w:rsid w:val="00C30BCA"/>
    <w:rsid w:val="00C345CA"/>
    <w:rsid w:val="00C4074C"/>
    <w:rsid w:val="00C42B63"/>
    <w:rsid w:val="00C50163"/>
    <w:rsid w:val="00C555CA"/>
    <w:rsid w:val="00C55BFE"/>
    <w:rsid w:val="00C62920"/>
    <w:rsid w:val="00C65A95"/>
    <w:rsid w:val="00C671BC"/>
    <w:rsid w:val="00C72378"/>
    <w:rsid w:val="00C7258A"/>
    <w:rsid w:val="00C75D3D"/>
    <w:rsid w:val="00C84554"/>
    <w:rsid w:val="00C872B8"/>
    <w:rsid w:val="00C875E5"/>
    <w:rsid w:val="00C87917"/>
    <w:rsid w:val="00C90936"/>
    <w:rsid w:val="00C919D0"/>
    <w:rsid w:val="00C927A2"/>
    <w:rsid w:val="00C92BC2"/>
    <w:rsid w:val="00C94B16"/>
    <w:rsid w:val="00CA03FC"/>
    <w:rsid w:val="00CA6663"/>
    <w:rsid w:val="00CA7265"/>
    <w:rsid w:val="00CB4034"/>
    <w:rsid w:val="00CB4B0F"/>
    <w:rsid w:val="00CB589C"/>
    <w:rsid w:val="00CC0476"/>
    <w:rsid w:val="00CC278E"/>
    <w:rsid w:val="00CC3FAB"/>
    <w:rsid w:val="00CC6023"/>
    <w:rsid w:val="00CD1D0C"/>
    <w:rsid w:val="00CE183E"/>
    <w:rsid w:val="00CF6153"/>
    <w:rsid w:val="00D02921"/>
    <w:rsid w:val="00D04C4F"/>
    <w:rsid w:val="00D11558"/>
    <w:rsid w:val="00D1471B"/>
    <w:rsid w:val="00D153BE"/>
    <w:rsid w:val="00D22CE6"/>
    <w:rsid w:val="00D23302"/>
    <w:rsid w:val="00D23DE8"/>
    <w:rsid w:val="00D319F5"/>
    <w:rsid w:val="00D4072D"/>
    <w:rsid w:val="00D52DDB"/>
    <w:rsid w:val="00D70072"/>
    <w:rsid w:val="00D75568"/>
    <w:rsid w:val="00D766ED"/>
    <w:rsid w:val="00D77776"/>
    <w:rsid w:val="00D77E18"/>
    <w:rsid w:val="00D862D7"/>
    <w:rsid w:val="00D872F7"/>
    <w:rsid w:val="00D87B58"/>
    <w:rsid w:val="00D903C6"/>
    <w:rsid w:val="00D90A67"/>
    <w:rsid w:val="00D92772"/>
    <w:rsid w:val="00D95F4A"/>
    <w:rsid w:val="00DA02C3"/>
    <w:rsid w:val="00DA56D3"/>
    <w:rsid w:val="00DB0A40"/>
    <w:rsid w:val="00DB38FB"/>
    <w:rsid w:val="00DB5389"/>
    <w:rsid w:val="00DC3517"/>
    <w:rsid w:val="00DC3553"/>
    <w:rsid w:val="00DD1436"/>
    <w:rsid w:val="00DD4646"/>
    <w:rsid w:val="00DD5106"/>
    <w:rsid w:val="00DD658A"/>
    <w:rsid w:val="00DE19B6"/>
    <w:rsid w:val="00DE2241"/>
    <w:rsid w:val="00DE72C7"/>
    <w:rsid w:val="00DF2574"/>
    <w:rsid w:val="00DF3FFA"/>
    <w:rsid w:val="00DF626F"/>
    <w:rsid w:val="00DF7655"/>
    <w:rsid w:val="00DF78C2"/>
    <w:rsid w:val="00E06E78"/>
    <w:rsid w:val="00E06E95"/>
    <w:rsid w:val="00E106DB"/>
    <w:rsid w:val="00E12BBF"/>
    <w:rsid w:val="00E138B6"/>
    <w:rsid w:val="00E13A40"/>
    <w:rsid w:val="00E215C8"/>
    <w:rsid w:val="00E217DB"/>
    <w:rsid w:val="00E24EE3"/>
    <w:rsid w:val="00E253C8"/>
    <w:rsid w:val="00E2725C"/>
    <w:rsid w:val="00E273CE"/>
    <w:rsid w:val="00E315C1"/>
    <w:rsid w:val="00E3185D"/>
    <w:rsid w:val="00E3270A"/>
    <w:rsid w:val="00E32C78"/>
    <w:rsid w:val="00E40913"/>
    <w:rsid w:val="00E41E32"/>
    <w:rsid w:val="00E43763"/>
    <w:rsid w:val="00E43841"/>
    <w:rsid w:val="00E43FBE"/>
    <w:rsid w:val="00E45792"/>
    <w:rsid w:val="00E47B8E"/>
    <w:rsid w:val="00E50E7E"/>
    <w:rsid w:val="00E543B5"/>
    <w:rsid w:val="00E55612"/>
    <w:rsid w:val="00E56EFD"/>
    <w:rsid w:val="00E571DE"/>
    <w:rsid w:val="00E64CAA"/>
    <w:rsid w:val="00E6532A"/>
    <w:rsid w:val="00E72C18"/>
    <w:rsid w:val="00E777E0"/>
    <w:rsid w:val="00EA3508"/>
    <w:rsid w:val="00EA6C18"/>
    <w:rsid w:val="00EA78A4"/>
    <w:rsid w:val="00EB187F"/>
    <w:rsid w:val="00EB4D3E"/>
    <w:rsid w:val="00EB728C"/>
    <w:rsid w:val="00EB7C09"/>
    <w:rsid w:val="00EC1A2E"/>
    <w:rsid w:val="00ED2C13"/>
    <w:rsid w:val="00ED6114"/>
    <w:rsid w:val="00ED657E"/>
    <w:rsid w:val="00EE161A"/>
    <w:rsid w:val="00EE51FE"/>
    <w:rsid w:val="00EF00CA"/>
    <w:rsid w:val="00EF26BA"/>
    <w:rsid w:val="00EF355F"/>
    <w:rsid w:val="00EF6647"/>
    <w:rsid w:val="00F00FDE"/>
    <w:rsid w:val="00F0267C"/>
    <w:rsid w:val="00F05A4B"/>
    <w:rsid w:val="00F06E72"/>
    <w:rsid w:val="00F1065D"/>
    <w:rsid w:val="00F14C59"/>
    <w:rsid w:val="00F23BFB"/>
    <w:rsid w:val="00F2429B"/>
    <w:rsid w:val="00F2555A"/>
    <w:rsid w:val="00F264E0"/>
    <w:rsid w:val="00F2670B"/>
    <w:rsid w:val="00F26C7D"/>
    <w:rsid w:val="00F32226"/>
    <w:rsid w:val="00F367E7"/>
    <w:rsid w:val="00F41F5D"/>
    <w:rsid w:val="00F51786"/>
    <w:rsid w:val="00F52B6C"/>
    <w:rsid w:val="00F56365"/>
    <w:rsid w:val="00F7136D"/>
    <w:rsid w:val="00F76D75"/>
    <w:rsid w:val="00F81780"/>
    <w:rsid w:val="00F827FB"/>
    <w:rsid w:val="00F82FF1"/>
    <w:rsid w:val="00F837DB"/>
    <w:rsid w:val="00F83F2A"/>
    <w:rsid w:val="00F87BF7"/>
    <w:rsid w:val="00F90206"/>
    <w:rsid w:val="00F903EF"/>
    <w:rsid w:val="00F913E4"/>
    <w:rsid w:val="00FA04C4"/>
    <w:rsid w:val="00FA1F56"/>
    <w:rsid w:val="00FA73AC"/>
    <w:rsid w:val="00FA7831"/>
    <w:rsid w:val="00FB034B"/>
    <w:rsid w:val="00FB4FFE"/>
    <w:rsid w:val="00FC7851"/>
    <w:rsid w:val="00FD3CB3"/>
    <w:rsid w:val="00FD6ABD"/>
    <w:rsid w:val="00FE6120"/>
    <w:rsid w:val="00FF1E80"/>
    <w:rsid w:val="00FF498E"/>
    <w:rsid w:val="00FF6C56"/>
    <w:rsid w:val="00FF7C97"/>
    <w:rsid w:val="0490887F"/>
    <w:rsid w:val="176C71AC"/>
    <w:rsid w:val="1D2DD0D0"/>
    <w:rsid w:val="1DC25428"/>
    <w:rsid w:val="205A8F69"/>
    <w:rsid w:val="28AB08BD"/>
    <w:rsid w:val="2F86214C"/>
    <w:rsid w:val="302E085C"/>
    <w:rsid w:val="30C3E42F"/>
    <w:rsid w:val="330BF806"/>
    <w:rsid w:val="3AE72F57"/>
    <w:rsid w:val="43696EF7"/>
    <w:rsid w:val="45AD62F1"/>
    <w:rsid w:val="4B5EDFF4"/>
    <w:rsid w:val="66611B0C"/>
    <w:rsid w:val="6DCDDF59"/>
    <w:rsid w:val="738B84E9"/>
    <w:rsid w:val="7BF467F8"/>
    <w:rsid w:val="7CA2F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A452E"/>
  <w15:docId w15:val="{AB7D493C-B62C-4A95-B20B-1EC7F1F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29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E48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1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A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79147A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1">
    <w:name w:val="Style1"/>
    <w:basedOn w:val="Normal"/>
    <w:autoRedefine/>
    <w:rsid w:val="00E43FBE"/>
    <w:pPr>
      <w:widowControl w:val="0"/>
      <w:ind w:left="-432" w:right="-331"/>
      <w:jc w:val="both"/>
    </w:pPr>
    <w:rPr>
      <w:rFonts w:eastAsiaTheme="minorBidi" w:cstheme="minorBidi"/>
      <w:sz w:val="24"/>
      <w:szCs w:val="22"/>
    </w:rPr>
  </w:style>
  <w:style w:type="paragraph" w:customStyle="1" w:styleId="section1">
    <w:name w:val="section1"/>
    <w:basedOn w:val="Normal"/>
    <w:rsid w:val="007914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DB538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3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53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3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53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5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E48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5E4864"/>
  </w:style>
  <w:style w:type="character" w:styleId="Hyperlink">
    <w:name w:val="Hyperlink"/>
    <w:basedOn w:val="DefaultParagraphFont"/>
    <w:uiPriority w:val="99"/>
    <w:unhideWhenUsed/>
    <w:rsid w:val="005E48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864"/>
    <w:rPr>
      <w:color w:val="800080" w:themeColor="followedHyperlink"/>
      <w:u w:val="single"/>
    </w:rPr>
  </w:style>
  <w:style w:type="paragraph" w:customStyle="1" w:styleId="Default">
    <w:name w:val="Default"/>
    <w:rsid w:val="00E253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D4A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D4A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A9B"/>
    <w:rPr>
      <w:b/>
      <w:bCs/>
    </w:rPr>
  </w:style>
  <w:style w:type="character" w:styleId="Emphasis">
    <w:name w:val="Emphasis"/>
    <w:basedOn w:val="DefaultParagraphFont"/>
    <w:uiPriority w:val="20"/>
    <w:qFormat/>
    <w:rsid w:val="009D4A9B"/>
    <w:rPr>
      <w:i/>
      <w:iCs/>
    </w:rPr>
  </w:style>
  <w:style w:type="character" w:customStyle="1" w:styleId="normaltextrun">
    <w:name w:val="normaltextrun"/>
    <w:basedOn w:val="DefaultParagraphFont"/>
    <w:rsid w:val="001B43A7"/>
  </w:style>
  <w:style w:type="character" w:customStyle="1" w:styleId="eop">
    <w:name w:val="eop"/>
    <w:basedOn w:val="DefaultParagraphFont"/>
    <w:rsid w:val="001B43A7"/>
  </w:style>
  <w:style w:type="paragraph" w:customStyle="1" w:styleId="paragraph">
    <w:name w:val="paragraph"/>
    <w:basedOn w:val="Normal"/>
    <w:rsid w:val="009F46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ED657E"/>
  </w:style>
  <w:style w:type="paragraph" w:styleId="FootnoteText">
    <w:name w:val="footnote text"/>
    <w:basedOn w:val="Normal"/>
    <w:link w:val="FootnoteTextChar"/>
    <w:uiPriority w:val="99"/>
    <w:semiHidden/>
    <w:unhideWhenUsed/>
    <w:rsid w:val="001A50D6"/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0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0D6"/>
    <w:rPr>
      <w:vertAlign w:val="superscript"/>
    </w:rPr>
  </w:style>
  <w:style w:type="table" w:styleId="TableGrid">
    <w:name w:val="Table Grid"/>
    <w:basedOn w:val="TableNormal"/>
    <w:uiPriority w:val="39"/>
    <w:rsid w:val="008C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80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D4646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4646"/>
    <w:rPr>
      <w:rFonts w:ascii="Calibri" w:hAnsi="Calibri"/>
      <w:szCs w:val="21"/>
    </w:rPr>
  </w:style>
  <w:style w:type="character" w:customStyle="1" w:styleId="colour">
    <w:name w:val="colour"/>
    <w:rsid w:val="00B621F0"/>
    <w:rPr>
      <w:color w:val="01D1AE"/>
    </w:rPr>
  </w:style>
  <w:style w:type="paragraph" w:customStyle="1" w:styleId="address">
    <w:name w:val="address"/>
    <w:rsid w:val="00B621F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Address0">
    <w:name w:val="Address"/>
    <w:rsid w:val="00B621F0"/>
    <w:pPr>
      <w:tabs>
        <w:tab w:val="left" w:pos="170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01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A01DA"/>
  </w:style>
  <w:style w:type="paragraph" w:styleId="TOC1">
    <w:name w:val="toc 1"/>
    <w:basedOn w:val="Normal"/>
    <w:next w:val="Normal"/>
    <w:autoRedefine/>
    <w:uiPriority w:val="39"/>
    <w:unhideWhenUsed/>
    <w:rsid w:val="007A01DA"/>
    <w:pPr>
      <w:tabs>
        <w:tab w:val="right" w:leader="dot" w:pos="8290"/>
      </w:tabs>
    </w:pPr>
    <w:rPr>
      <w:rFonts w:eastAsiaTheme="minorEastAsia" w:cstheme="minorBid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A01DA"/>
    <w:pPr>
      <w:ind w:left="240"/>
    </w:pPr>
    <w:rPr>
      <w:rFonts w:eastAsiaTheme="minorEastAsia" w:cstheme="minorBidi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A01DA"/>
    <w:pPr>
      <w:ind w:left="480"/>
    </w:pPr>
    <w:rPr>
      <w:rFonts w:eastAsiaTheme="minorEastAsia" w:cstheme="minorBidi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A01DA"/>
    <w:pPr>
      <w:ind w:left="720"/>
    </w:pPr>
    <w:rPr>
      <w:rFonts w:eastAsiaTheme="minorEastAsia" w:cstheme="minorBidi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A01DA"/>
    <w:pPr>
      <w:ind w:left="960"/>
    </w:pPr>
    <w:rPr>
      <w:rFonts w:eastAsiaTheme="minorEastAsia" w:cstheme="minorBidi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A01DA"/>
    <w:pPr>
      <w:ind w:left="1200"/>
    </w:pPr>
    <w:rPr>
      <w:rFonts w:eastAsiaTheme="minorEastAsia" w:cstheme="minorBidi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A01DA"/>
    <w:pPr>
      <w:ind w:left="1440"/>
    </w:pPr>
    <w:rPr>
      <w:rFonts w:eastAsiaTheme="minorEastAsia" w:cstheme="minorBidi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A01DA"/>
    <w:pPr>
      <w:ind w:left="1680"/>
    </w:pPr>
    <w:rPr>
      <w:rFonts w:eastAsiaTheme="minorEastAsia" w:cstheme="minorBidi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A01DA"/>
    <w:pPr>
      <w:ind w:left="1920"/>
    </w:pPr>
    <w:rPr>
      <w:rFonts w:eastAsiaTheme="minorEastAsia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DA"/>
    <w:rPr>
      <w:rFonts w:eastAsiaTheme="minorEastAsia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D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DA"/>
    <w:rPr>
      <w:rFonts w:eastAsiaTheme="minorEastAsia"/>
      <w:b/>
      <w:bCs/>
      <w:sz w:val="20"/>
      <w:szCs w:val="20"/>
    </w:rPr>
  </w:style>
  <w:style w:type="character" w:customStyle="1" w:styleId="st1">
    <w:name w:val="st1"/>
    <w:basedOn w:val="DefaultParagraphFont"/>
    <w:rsid w:val="00E43FBE"/>
  </w:style>
  <w:style w:type="character" w:customStyle="1" w:styleId="street-address">
    <w:name w:val="street-address"/>
    <w:basedOn w:val="DefaultParagraphFont"/>
    <w:rsid w:val="00E43FBE"/>
  </w:style>
  <w:style w:type="character" w:customStyle="1" w:styleId="locality">
    <w:name w:val="locality"/>
    <w:basedOn w:val="DefaultParagraphFont"/>
    <w:rsid w:val="00E43FBE"/>
  </w:style>
  <w:style w:type="character" w:customStyle="1" w:styleId="postal-code">
    <w:name w:val="postal-code"/>
    <w:basedOn w:val="DefaultParagraphFont"/>
    <w:rsid w:val="00E43FBE"/>
  </w:style>
  <w:style w:type="character" w:styleId="Mention">
    <w:name w:val="Mention"/>
    <w:basedOn w:val="DefaultParagraphFont"/>
    <w:uiPriority w:val="99"/>
    <w:semiHidden/>
    <w:unhideWhenUsed/>
    <w:rsid w:val="006016F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026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3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46900274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3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45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81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94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75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9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96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63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12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fa62ba51e3575a78e0a28c6473708b24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0cd73fa2d09bc78b90f56258958aaf37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ECD5-AF2E-445F-AEDD-27B864F9B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A9D66-5014-4108-B730-F49760FF5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76C21-F5A4-482B-BF21-F436E9C44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FDF77-04BF-42F1-8C2E-E875464C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 Daley</dc:creator>
  <cp:keywords/>
  <dc:description/>
  <cp:lastModifiedBy>Jack Cresswell</cp:lastModifiedBy>
  <cp:revision>30</cp:revision>
  <cp:lastPrinted>2018-09-10T14:32:00Z</cp:lastPrinted>
  <dcterms:created xsi:type="dcterms:W3CDTF">2019-02-18T11:23:00Z</dcterms:created>
  <dcterms:modified xsi:type="dcterms:W3CDTF">2019-04-02T08:10:00Z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