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6C9C" w14:textId="77777777" w:rsidR="005315BD" w:rsidRDefault="005315BD">
      <w:bookmarkStart w:id="0" w:name="_GoBack"/>
      <w:bookmarkEnd w:id="0"/>
    </w:p>
    <w:p w14:paraId="4C586C9D" w14:textId="77777777" w:rsidR="005315BD" w:rsidRDefault="005315BD" w:rsidP="005315BD">
      <w:pPr>
        <w:tabs>
          <w:tab w:val="left" w:pos="6458"/>
        </w:tabs>
      </w:pPr>
      <w:r>
        <w:tab/>
      </w:r>
    </w:p>
    <w:p w14:paraId="4C586C9E" w14:textId="77777777" w:rsidR="005315BD" w:rsidRDefault="005315BD"/>
    <w:p w14:paraId="4C586C9F" w14:textId="77777777" w:rsidR="005315BD" w:rsidRDefault="005315BD"/>
    <w:p w14:paraId="4C586CA0" w14:textId="73BE5267" w:rsidR="005315BD" w:rsidRDefault="005315BD"/>
    <w:p w14:paraId="676C24A3" w14:textId="2D2A44D3" w:rsidR="009F0B31" w:rsidRDefault="009F0B31"/>
    <w:p w14:paraId="499F1377" w14:textId="76BA9AA3" w:rsidR="009F0B31" w:rsidRDefault="009F0B31"/>
    <w:p w14:paraId="6FCB5A52" w14:textId="6754E669" w:rsidR="009F0B31" w:rsidRDefault="009F0B31"/>
    <w:p w14:paraId="3F183644" w14:textId="77777777" w:rsidR="009F0B31" w:rsidRDefault="009F0B31"/>
    <w:p w14:paraId="4C586CA1" w14:textId="77777777" w:rsidR="005315BD" w:rsidRDefault="005315BD"/>
    <w:p w14:paraId="4C586CA2" w14:textId="597863F1" w:rsidR="00CC5FAF" w:rsidRDefault="00D32C42" w:rsidP="00CC5FAF">
      <w:pPr>
        <w:pStyle w:val="Caption"/>
        <w:rPr>
          <w:b w:val="0"/>
        </w:rPr>
      </w:pPr>
      <w:bookmarkStart w:id="1" w:name="bmkADName"/>
      <w:bookmarkStart w:id="2" w:name="bmkADTitle"/>
      <w:bookmarkStart w:id="3" w:name="bmkADDepartment"/>
      <w:bookmarkStart w:id="4" w:name="bmkADEmail"/>
      <w:bookmarkStart w:id="5" w:name="_Ref526325123"/>
      <w:bookmarkEnd w:id="1"/>
      <w:bookmarkEnd w:id="2"/>
      <w:bookmarkEnd w:id="3"/>
      <w:bookmarkEnd w:id="4"/>
      <w:r>
        <w:rPr>
          <w:b w:val="0"/>
        </w:rPr>
        <w:t>Date</w:t>
      </w:r>
      <w:r w:rsidR="000B4305">
        <w:rPr>
          <w:b w:val="0"/>
        </w:rPr>
        <w:t xml:space="preserve"> </w:t>
      </w:r>
      <w:r w:rsidR="007A2111">
        <w:rPr>
          <w:b w:val="0"/>
        </w:rPr>
        <w:t>1</w:t>
      </w:r>
      <w:r w:rsidR="00FC4815">
        <w:rPr>
          <w:b w:val="0"/>
        </w:rPr>
        <w:t>4</w:t>
      </w:r>
      <w:r w:rsidR="007A2111" w:rsidRPr="007A2111">
        <w:rPr>
          <w:b w:val="0"/>
          <w:vertAlign w:val="superscript"/>
        </w:rPr>
        <w:t>th</w:t>
      </w:r>
      <w:r w:rsidR="007A2111">
        <w:rPr>
          <w:b w:val="0"/>
        </w:rPr>
        <w:t xml:space="preserve"> October 2019</w:t>
      </w:r>
    </w:p>
    <w:p w14:paraId="4C586CA4" w14:textId="0D1B6ECD" w:rsidR="00CC5FAF" w:rsidRDefault="00CC5FAF" w:rsidP="00CC5FAF">
      <w:pPr>
        <w:pStyle w:val="Caption"/>
        <w:rPr>
          <w:b w:val="0"/>
        </w:rPr>
      </w:pPr>
    </w:p>
    <w:p w14:paraId="7076567B" w14:textId="06E0ACBD" w:rsidR="009F0B31" w:rsidRDefault="009F0B31" w:rsidP="009F0B31">
      <w:pPr>
        <w:rPr>
          <w:lang w:eastAsia="en-US"/>
        </w:rPr>
      </w:pPr>
    </w:p>
    <w:p w14:paraId="744F9278" w14:textId="6F3B6A7C" w:rsidR="009F0B31" w:rsidRDefault="009F0B31" w:rsidP="009F0B31">
      <w:pPr>
        <w:rPr>
          <w:lang w:eastAsia="en-US"/>
        </w:rPr>
      </w:pPr>
    </w:p>
    <w:p w14:paraId="557108B6" w14:textId="77777777" w:rsidR="009F0B31" w:rsidRPr="009F0B31" w:rsidRDefault="009F0B31" w:rsidP="009F0B31">
      <w:pPr>
        <w:rPr>
          <w:lang w:eastAsia="en-US"/>
        </w:rPr>
      </w:pPr>
    </w:p>
    <w:bookmarkEnd w:id="5"/>
    <w:p w14:paraId="7D705104" w14:textId="127AC70F" w:rsidR="00B87F47" w:rsidRDefault="00B87F47" w:rsidP="00B87F47">
      <w:pPr>
        <w:keepNext/>
        <w:spacing w:before="240" w:after="120"/>
        <w:rPr>
          <w:bCs/>
          <w:szCs w:val="20"/>
          <w:lang w:eastAsia="en-US"/>
        </w:rPr>
      </w:pPr>
      <w:r w:rsidRPr="00B87F47">
        <w:rPr>
          <w:bCs/>
          <w:szCs w:val="20"/>
          <w:lang w:eastAsia="en-US"/>
        </w:rPr>
        <w:t>Dear Healthcare Professional</w:t>
      </w:r>
      <w:r w:rsidR="009F0B31">
        <w:rPr>
          <w:bCs/>
          <w:szCs w:val="20"/>
          <w:lang w:eastAsia="en-US"/>
        </w:rPr>
        <w:t>,</w:t>
      </w:r>
    </w:p>
    <w:p w14:paraId="58E0FF03" w14:textId="48515978" w:rsidR="00B87F47" w:rsidRDefault="00707895" w:rsidP="00B87F47">
      <w:pPr>
        <w:keepNext/>
        <w:spacing w:before="240" w:after="120"/>
        <w:rPr>
          <w:b/>
          <w:bCs/>
          <w:szCs w:val="20"/>
          <w:lang w:val="en" w:eastAsia="en-US"/>
        </w:rPr>
      </w:pPr>
      <w:bookmarkStart w:id="6" w:name="_Hlk527459628"/>
      <w:r>
        <w:rPr>
          <w:b/>
          <w:bCs/>
          <w:szCs w:val="20"/>
          <w:lang w:val="en" w:eastAsia="en-US"/>
        </w:rPr>
        <w:t xml:space="preserve">Supply of unlicensed Jext® </w:t>
      </w:r>
      <w:r w:rsidR="00761C5B">
        <w:rPr>
          <w:b/>
          <w:bCs/>
          <w:szCs w:val="20"/>
          <w:lang w:val="en" w:eastAsia="en-US"/>
        </w:rPr>
        <w:t xml:space="preserve">300mcg </w:t>
      </w:r>
      <w:r>
        <w:rPr>
          <w:b/>
          <w:bCs/>
          <w:szCs w:val="20"/>
          <w:lang w:val="en" w:eastAsia="en-US"/>
        </w:rPr>
        <w:t xml:space="preserve">in Austrian </w:t>
      </w:r>
      <w:r w:rsidR="003D469C">
        <w:rPr>
          <w:b/>
          <w:bCs/>
          <w:szCs w:val="20"/>
          <w:lang w:val="en" w:eastAsia="en-US"/>
        </w:rPr>
        <w:t>p</w:t>
      </w:r>
      <w:r>
        <w:rPr>
          <w:b/>
          <w:bCs/>
          <w:szCs w:val="20"/>
          <w:lang w:val="en" w:eastAsia="en-US"/>
        </w:rPr>
        <w:t>ackaging</w:t>
      </w:r>
    </w:p>
    <w:p w14:paraId="6934CF2A" w14:textId="047E2518" w:rsidR="002A3E1A" w:rsidRDefault="00D06682" w:rsidP="00B87F47">
      <w:pPr>
        <w:keepNext/>
        <w:spacing w:before="240" w:after="120"/>
        <w:rPr>
          <w:bCs/>
          <w:szCs w:val="20"/>
          <w:lang w:val="en" w:eastAsia="en-US"/>
        </w:rPr>
      </w:pPr>
      <w:bookmarkStart w:id="7" w:name="_Hlk527459676"/>
      <w:bookmarkEnd w:id="6"/>
      <w:r w:rsidRPr="00D06682">
        <w:rPr>
          <w:bCs/>
          <w:szCs w:val="20"/>
          <w:lang w:eastAsia="en-US"/>
        </w:rPr>
        <w:t>There are supply issues affecting some brands of adrenaline auto</w:t>
      </w:r>
      <w:r w:rsidR="003653FA">
        <w:rPr>
          <w:bCs/>
          <w:szCs w:val="20"/>
          <w:lang w:eastAsia="en-US"/>
        </w:rPr>
        <w:t>-</w:t>
      </w:r>
      <w:r w:rsidRPr="00D06682">
        <w:rPr>
          <w:bCs/>
          <w:szCs w:val="20"/>
          <w:lang w:eastAsia="en-US"/>
        </w:rPr>
        <w:t>injectors on the UK market. To support and maintain an overall adequate supply</w:t>
      </w:r>
      <w:r>
        <w:rPr>
          <w:bCs/>
          <w:szCs w:val="20"/>
          <w:lang w:eastAsia="en-US"/>
        </w:rPr>
        <w:t>,</w:t>
      </w:r>
      <w:r w:rsidR="00B87F47" w:rsidRPr="00B87F47">
        <w:rPr>
          <w:bCs/>
          <w:szCs w:val="20"/>
          <w:lang w:eastAsia="en-US"/>
        </w:rPr>
        <w:t xml:space="preserve"> ALK has obtained acceptance from the </w:t>
      </w:r>
      <w:r w:rsidR="00417118" w:rsidRPr="00417118">
        <w:rPr>
          <w:bCs/>
          <w:szCs w:val="20"/>
          <w:lang w:eastAsia="en-US"/>
        </w:rPr>
        <w:t>UK medicines regulator, Medicines and Healthcare Products Regulatory Agency (MHRA)</w:t>
      </w:r>
      <w:r w:rsidR="00417118">
        <w:rPr>
          <w:bCs/>
          <w:szCs w:val="20"/>
          <w:lang w:eastAsia="en-US"/>
        </w:rPr>
        <w:t xml:space="preserve"> </w:t>
      </w:r>
      <w:r w:rsidR="00B87F47" w:rsidRPr="00B87F47">
        <w:rPr>
          <w:bCs/>
          <w:szCs w:val="20"/>
          <w:lang w:val="en" w:eastAsia="en-US"/>
        </w:rPr>
        <w:t xml:space="preserve">to </w:t>
      </w:r>
      <w:bookmarkEnd w:id="7"/>
      <w:r w:rsidR="003D469C">
        <w:rPr>
          <w:bCs/>
          <w:szCs w:val="20"/>
          <w:lang w:val="en" w:eastAsia="en-US"/>
        </w:rPr>
        <w:t xml:space="preserve">import a quantity of </w:t>
      </w:r>
      <w:r w:rsidR="00183435">
        <w:rPr>
          <w:bCs/>
          <w:szCs w:val="20"/>
          <w:lang w:val="en" w:eastAsia="en-US"/>
        </w:rPr>
        <w:t>Jext® 300mcg from Austria.</w:t>
      </w:r>
      <w:r w:rsidR="00294928">
        <w:rPr>
          <w:bCs/>
          <w:szCs w:val="20"/>
          <w:lang w:val="en" w:eastAsia="en-US"/>
        </w:rPr>
        <w:t xml:space="preserve"> This stock has </w:t>
      </w:r>
      <w:r w:rsidR="00417118">
        <w:rPr>
          <w:bCs/>
          <w:szCs w:val="20"/>
          <w:lang w:val="en" w:eastAsia="en-US"/>
        </w:rPr>
        <w:t xml:space="preserve">an </w:t>
      </w:r>
      <w:r w:rsidR="00294928">
        <w:rPr>
          <w:bCs/>
          <w:szCs w:val="20"/>
          <w:lang w:val="en" w:eastAsia="en-US"/>
        </w:rPr>
        <w:t xml:space="preserve">Austrian German language </w:t>
      </w:r>
      <w:r w:rsidR="00FE459A">
        <w:rPr>
          <w:bCs/>
          <w:szCs w:val="20"/>
          <w:lang w:val="en" w:eastAsia="en-US"/>
        </w:rPr>
        <w:t>pack, label and patient information leaflet.</w:t>
      </w:r>
      <w:r w:rsidR="00183435">
        <w:rPr>
          <w:bCs/>
          <w:szCs w:val="20"/>
          <w:lang w:val="en" w:eastAsia="en-US"/>
        </w:rPr>
        <w:t xml:space="preserve"> </w:t>
      </w:r>
      <w:r w:rsidR="00185C00">
        <w:rPr>
          <w:bCs/>
          <w:szCs w:val="20"/>
          <w:lang w:val="en" w:eastAsia="en-US"/>
        </w:rPr>
        <w:t>Although not licensed in the UK, i</w:t>
      </w:r>
      <w:r w:rsidR="00417118">
        <w:rPr>
          <w:bCs/>
          <w:szCs w:val="20"/>
          <w:lang w:val="en" w:eastAsia="en-US"/>
        </w:rPr>
        <w:t xml:space="preserve">t is </w:t>
      </w:r>
      <w:r w:rsidR="00183435">
        <w:rPr>
          <w:bCs/>
          <w:szCs w:val="20"/>
          <w:lang w:val="en" w:eastAsia="en-US"/>
        </w:rPr>
        <w:t xml:space="preserve">equivalent to the UK licensed product </w:t>
      </w:r>
      <w:r w:rsidR="00FE459A">
        <w:rPr>
          <w:bCs/>
          <w:szCs w:val="20"/>
          <w:lang w:val="en" w:eastAsia="en-US"/>
        </w:rPr>
        <w:t>and is</w:t>
      </w:r>
      <w:r w:rsidR="002A3E1A">
        <w:rPr>
          <w:bCs/>
          <w:szCs w:val="20"/>
          <w:lang w:val="en" w:eastAsia="en-US"/>
        </w:rPr>
        <w:t xml:space="preserve"> licensed in Austria. </w:t>
      </w:r>
    </w:p>
    <w:p w14:paraId="53DD3343" w14:textId="4CEEB1FD" w:rsidR="00980FAE" w:rsidRDefault="000B5221" w:rsidP="00980FAE">
      <w:pPr>
        <w:rPr>
          <w:rFonts w:asciiTheme="minorHAnsi" w:eastAsia="Calibri" w:hAnsiTheme="minorHAnsi" w:cstheme="minorHAnsi"/>
          <w:szCs w:val="20"/>
          <w:lang w:eastAsia="en-US"/>
        </w:rPr>
      </w:pPr>
      <w:r>
        <w:rPr>
          <w:bCs/>
          <w:szCs w:val="20"/>
          <w:lang w:val="en" w:eastAsia="en-US"/>
        </w:rPr>
        <w:t>Each device will be supplied in a clear envelope which will also contain a UK Patient Information Le</w:t>
      </w:r>
      <w:r w:rsidR="00D73867">
        <w:rPr>
          <w:bCs/>
          <w:szCs w:val="20"/>
          <w:lang w:val="en" w:eastAsia="en-US"/>
        </w:rPr>
        <w:t xml:space="preserve">aflet. Patients can also be advised to visit </w:t>
      </w:r>
      <w:hyperlink r:id="rId11" w:history="1">
        <w:r w:rsidR="00980FAE" w:rsidRPr="00185C00">
          <w:rPr>
            <w:rFonts w:asciiTheme="minorHAnsi" w:eastAsia="Calibri" w:hAnsiTheme="minorHAnsi" w:cstheme="minorHAnsi"/>
            <w:color w:val="0050C2" w:themeColor="background2" w:themeTint="BF"/>
            <w:szCs w:val="20"/>
            <w:u w:val="single"/>
            <w:lang w:eastAsia="en-US"/>
          </w:rPr>
          <w:t>www.jext.co.uk</w:t>
        </w:r>
      </w:hyperlink>
      <w:r w:rsidR="00393896">
        <w:rPr>
          <w:rFonts w:asciiTheme="minorHAnsi" w:eastAsia="Calibri" w:hAnsiTheme="minorHAnsi" w:cstheme="minorHAnsi"/>
          <w:szCs w:val="20"/>
          <w:lang w:eastAsia="en-US"/>
        </w:rPr>
        <w:t xml:space="preserve"> </w:t>
      </w:r>
      <w:r w:rsidR="00185C00">
        <w:rPr>
          <w:rFonts w:asciiTheme="minorHAnsi" w:eastAsia="Calibri" w:hAnsiTheme="minorHAnsi" w:cstheme="minorHAnsi"/>
          <w:szCs w:val="20"/>
          <w:lang w:eastAsia="en-US"/>
        </w:rPr>
        <w:t>to</w:t>
      </w:r>
      <w:r w:rsidR="00393896">
        <w:rPr>
          <w:rFonts w:asciiTheme="minorHAnsi" w:eastAsia="Calibri" w:hAnsiTheme="minorHAnsi" w:cstheme="minorHAnsi"/>
          <w:szCs w:val="20"/>
          <w:lang w:eastAsia="en-US"/>
        </w:rPr>
        <w:t xml:space="preserve"> view training videos and </w:t>
      </w:r>
      <w:r w:rsidR="00220C8B">
        <w:rPr>
          <w:rFonts w:asciiTheme="minorHAnsi" w:eastAsia="Calibri" w:hAnsiTheme="minorHAnsi" w:cstheme="minorHAnsi"/>
          <w:szCs w:val="20"/>
          <w:lang w:eastAsia="en-US"/>
        </w:rPr>
        <w:t>further information as well as order</w:t>
      </w:r>
      <w:r w:rsidR="00417118">
        <w:rPr>
          <w:rFonts w:asciiTheme="minorHAnsi" w:eastAsia="Calibri" w:hAnsiTheme="minorHAnsi" w:cstheme="minorHAnsi"/>
          <w:szCs w:val="20"/>
          <w:lang w:eastAsia="en-US"/>
        </w:rPr>
        <w:t xml:space="preserve"> Jext® </w:t>
      </w:r>
      <w:r w:rsidR="00220C8B">
        <w:rPr>
          <w:rFonts w:asciiTheme="minorHAnsi" w:eastAsia="Calibri" w:hAnsiTheme="minorHAnsi" w:cstheme="minorHAnsi"/>
          <w:szCs w:val="20"/>
          <w:lang w:eastAsia="en-US"/>
        </w:rPr>
        <w:t xml:space="preserve">training devices. </w:t>
      </w:r>
      <w:r w:rsidR="00417118">
        <w:rPr>
          <w:rFonts w:asciiTheme="minorHAnsi" w:eastAsia="Calibri" w:hAnsiTheme="minorHAnsi" w:cstheme="minorHAnsi"/>
          <w:szCs w:val="20"/>
          <w:lang w:eastAsia="en-US"/>
        </w:rPr>
        <w:t>Additionally,</w:t>
      </w:r>
      <w:r w:rsidR="00220C8B">
        <w:rPr>
          <w:rFonts w:asciiTheme="minorHAnsi" w:eastAsia="Calibri" w:hAnsiTheme="minorHAnsi" w:cstheme="minorHAnsi"/>
          <w:szCs w:val="20"/>
          <w:lang w:eastAsia="en-US"/>
        </w:rPr>
        <w:t xml:space="preserve"> the Jext® app can be dow</w:t>
      </w:r>
      <w:r w:rsidR="00E42E50">
        <w:rPr>
          <w:rFonts w:asciiTheme="minorHAnsi" w:eastAsia="Calibri" w:hAnsiTheme="minorHAnsi" w:cstheme="minorHAnsi"/>
          <w:szCs w:val="20"/>
          <w:lang w:eastAsia="en-US"/>
        </w:rPr>
        <w:t>nloaded for iPhone and Android</w:t>
      </w:r>
      <w:r w:rsidR="00417118">
        <w:rPr>
          <w:rFonts w:asciiTheme="minorHAnsi" w:eastAsia="Calibri" w:hAnsiTheme="minorHAnsi" w:cstheme="minorHAnsi"/>
          <w:szCs w:val="20"/>
          <w:lang w:eastAsia="en-US"/>
        </w:rPr>
        <w:t xml:space="preserve"> which also contains information on how to use Jext</w:t>
      </w:r>
      <w:r w:rsidR="00E74474">
        <w:rPr>
          <w:rFonts w:asciiTheme="minorHAnsi" w:eastAsia="Calibri" w:hAnsiTheme="minorHAnsi" w:cstheme="minorHAnsi"/>
          <w:szCs w:val="20"/>
          <w:lang w:eastAsia="en-US"/>
        </w:rPr>
        <w:t>.</w:t>
      </w:r>
    </w:p>
    <w:p w14:paraId="464EDD8A" w14:textId="5A95CE46" w:rsidR="00417118" w:rsidRDefault="00417118" w:rsidP="00980FAE">
      <w:pPr>
        <w:rPr>
          <w:rFonts w:ascii="Calibri" w:eastAsia="Calibri" w:hAnsi="Calibri"/>
          <w:sz w:val="22"/>
          <w:szCs w:val="22"/>
          <w:lang w:eastAsia="en-US"/>
        </w:rPr>
      </w:pPr>
    </w:p>
    <w:p w14:paraId="401736C9" w14:textId="61FABB31" w:rsidR="00417118" w:rsidRDefault="00417118" w:rsidP="00980FAE">
      <w:pPr>
        <w:rPr>
          <w:rFonts w:asciiTheme="minorHAnsi" w:eastAsia="Calibri" w:hAnsiTheme="minorHAnsi" w:cstheme="minorHAnsi"/>
          <w:szCs w:val="20"/>
          <w:lang w:eastAsia="en-US"/>
        </w:rPr>
      </w:pPr>
      <w:r w:rsidRPr="00417118">
        <w:rPr>
          <w:rFonts w:asciiTheme="minorHAnsi" w:eastAsia="Calibri" w:hAnsiTheme="minorHAnsi" w:cstheme="minorHAnsi"/>
          <w:szCs w:val="20"/>
          <w:lang w:eastAsia="en-US"/>
        </w:rPr>
        <w:t xml:space="preserve">This </w:t>
      </w:r>
      <w:r>
        <w:rPr>
          <w:rFonts w:asciiTheme="minorHAnsi" w:eastAsia="Calibri" w:hAnsiTheme="minorHAnsi" w:cstheme="minorHAnsi"/>
          <w:szCs w:val="20"/>
          <w:lang w:eastAsia="en-US"/>
        </w:rPr>
        <w:t xml:space="preserve">notice </w:t>
      </w:r>
      <w:r w:rsidRPr="00417118">
        <w:rPr>
          <w:rFonts w:asciiTheme="minorHAnsi" w:eastAsia="Calibri" w:hAnsiTheme="minorHAnsi" w:cstheme="minorHAnsi"/>
          <w:szCs w:val="20"/>
          <w:lang w:eastAsia="en-US"/>
        </w:rPr>
        <w:t>only applies to Jext® 300mcg in the following batch numbers: B4509, B4587, B4813, B4722 and B4727</w:t>
      </w:r>
      <w:r>
        <w:rPr>
          <w:rFonts w:asciiTheme="minorHAnsi" w:eastAsia="Calibri" w:hAnsiTheme="minorHAnsi" w:cstheme="minorHAnsi"/>
          <w:szCs w:val="20"/>
          <w:lang w:eastAsia="en-US"/>
        </w:rPr>
        <w:t>.</w:t>
      </w:r>
    </w:p>
    <w:p w14:paraId="6AEC22F6" w14:textId="0006213F" w:rsidR="00417118" w:rsidRDefault="00417118" w:rsidP="00980FAE">
      <w:pPr>
        <w:rPr>
          <w:rFonts w:asciiTheme="minorHAnsi" w:eastAsia="Calibri" w:hAnsiTheme="minorHAnsi" w:cstheme="minorHAnsi"/>
          <w:szCs w:val="20"/>
          <w:lang w:eastAsia="en-US"/>
        </w:rPr>
      </w:pPr>
    </w:p>
    <w:p w14:paraId="1051559B" w14:textId="4F978825" w:rsidR="00B87F47" w:rsidRDefault="00B87F47" w:rsidP="00B87F47">
      <w:pPr>
        <w:autoSpaceDE w:val="0"/>
        <w:autoSpaceDN w:val="0"/>
        <w:adjustRightInd w:val="0"/>
        <w:rPr>
          <w:rFonts w:cs="TimesNewRomanPS-BoldMT"/>
          <w:b/>
          <w:bCs/>
          <w:szCs w:val="20"/>
          <w:u w:val="single"/>
          <w:lang w:eastAsia="en-US"/>
        </w:rPr>
      </w:pPr>
      <w:bookmarkStart w:id="8" w:name="_Hlk525723396"/>
      <w:r w:rsidRPr="00B87F47">
        <w:rPr>
          <w:rFonts w:cs="TimesNewRomanPS-BoldMT"/>
          <w:b/>
          <w:bCs/>
          <w:szCs w:val="20"/>
          <w:u w:val="single"/>
          <w:lang w:eastAsia="en-US"/>
        </w:rPr>
        <w:t>Further information</w:t>
      </w:r>
      <w:bookmarkEnd w:id="8"/>
      <w:r w:rsidRPr="00B87F47">
        <w:rPr>
          <w:rFonts w:cs="TimesNewRomanPS-BoldMT"/>
          <w:b/>
          <w:bCs/>
          <w:szCs w:val="20"/>
          <w:u w:val="single"/>
          <w:lang w:eastAsia="en-US"/>
        </w:rPr>
        <w:t xml:space="preserve"> </w:t>
      </w:r>
      <w:r w:rsidR="00417118">
        <w:rPr>
          <w:rFonts w:cs="TimesNewRomanPS-BoldMT"/>
          <w:b/>
          <w:bCs/>
          <w:szCs w:val="20"/>
          <w:u w:val="single"/>
          <w:lang w:eastAsia="en-US"/>
        </w:rPr>
        <w:t>for Pharmacists</w:t>
      </w:r>
    </w:p>
    <w:p w14:paraId="034ED35B" w14:textId="020EEA5B" w:rsidR="00417118" w:rsidRDefault="00417118" w:rsidP="00B87F47">
      <w:pPr>
        <w:autoSpaceDE w:val="0"/>
        <w:autoSpaceDN w:val="0"/>
        <w:adjustRightInd w:val="0"/>
        <w:rPr>
          <w:rFonts w:cs="Calibri-Bold"/>
          <w:b/>
          <w:bCs/>
          <w:szCs w:val="20"/>
          <w:u w:val="single"/>
          <w:lang w:eastAsia="en-US"/>
        </w:rPr>
      </w:pPr>
    </w:p>
    <w:p w14:paraId="0FFE1991" w14:textId="5FB6E32E" w:rsidR="00417118" w:rsidRDefault="00417118" w:rsidP="00417118">
      <w:pPr>
        <w:autoSpaceDE w:val="0"/>
        <w:autoSpaceDN w:val="0"/>
        <w:adjustRightInd w:val="0"/>
        <w:rPr>
          <w:rFonts w:cs="Calibri-Bold"/>
          <w:bCs/>
          <w:szCs w:val="20"/>
          <w:lang w:eastAsia="en-US"/>
        </w:rPr>
      </w:pPr>
      <w:r w:rsidRPr="00417118">
        <w:rPr>
          <w:rFonts w:cs="Calibri-Bold"/>
          <w:bCs/>
          <w:szCs w:val="20"/>
          <w:lang w:eastAsia="en-US"/>
        </w:rPr>
        <w:t>This product has a temporary PIP code which is linked to the original UK product PIP code</w:t>
      </w:r>
      <w:r w:rsidR="00185C00">
        <w:rPr>
          <w:rFonts w:cs="Calibri-Bold"/>
          <w:bCs/>
          <w:szCs w:val="20"/>
          <w:lang w:eastAsia="en-US"/>
        </w:rPr>
        <w:t>. If there is no stock of the UK version, you should be linked through to the Austrian stock and vi</w:t>
      </w:r>
      <w:r w:rsidR="00761C5B">
        <w:rPr>
          <w:rFonts w:cs="Calibri-Bold"/>
          <w:bCs/>
          <w:szCs w:val="20"/>
          <w:lang w:eastAsia="en-US"/>
        </w:rPr>
        <w:t>c</w:t>
      </w:r>
      <w:r w:rsidR="00185C00">
        <w:rPr>
          <w:rFonts w:cs="Calibri-Bold"/>
          <w:bCs/>
          <w:szCs w:val="20"/>
          <w:lang w:eastAsia="en-US"/>
        </w:rPr>
        <w:t>e versa. We anticipate that this stock will only be available for a few weeks.</w:t>
      </w:r>
    </w:p>
    <w:p w14:paraId="06364643" w14:textId="6B32370D" w:rsidR="00FC4815" w:rsidRDefault="00FC4815" w:rsidP="00417118">
      <w:pPr>
        <w:autoSpaceDE w:val="0"/>
        <w:autoSpaceDN w:val="0"/>
        <w:adjustRightInd w:val="0"/>
        <w:rPr>
          <w:rFonts w:cs="Calibri-Bold"/>
          <w:bCs/>
          <w:szCs w:val="20"/>
          <w:lang w:eastAsia="en-US"/>
        </w:rPr>
      </w:pPr>
    </w:p>
    <w:p w14:paraId="0076EF34" w14:textId="090EC9D8" w:rsidR="00FC4815" w:rsidRPr="00FC4815" w:rsidRDefault="00FC4815" w:rsidP="00417118">
      <w:pPr>
        <w:autoSpaceDE w:val="0"/>
        <w:autoSpaceDN w:val="0"/>
        <w:adjustRightInd w:val="0"/>
        <w:rPr>
          <w:rFonts w:cs="Calibri-Bold"/>
          <w:bCs/>
          <w:szCs w:val="20"/>
          <w:lang w:val="fr-FR" w:eastAsia="en-US"/>
        </w:rPr>
      </w:pPr>
      <w:r w:rsidRPr="00FC4815">
        <w:rPr>
          <w:rFonts w:cs="Calibri-Bold"/>
          <w:bCs/>
          <w:szCs w:val="20"/>
          <w:lang w:val="fr-FR" w:eastAsia="en-US"/>
        </w:rPr>
        <w:t xml:space="preserve">UK Jext® </w:t>
      </w:r>
      <w:r>
        <w:rPr>
          <w:rFonts w:cs="Calibri-Bold"/>
          <w:bCs/>
          <w:szCs w:val="20"/>
          <w:lang w:val="fr-FR" w:eastAsia="en-US"/>
        </w:rPr>
        <w:t xml:space="preserve">300mcg </w:t>
      </w:r>
      <w:r w:rsidRPr="00FC4815">
        <w:rPr>
          <w:rFonts w:cs="Calibri-Bold"/>
          <w:bCs/>
          <w:szCs w:val="20"/>
          <w:lang w:val="fr-FR" w:eastAsia="en-US"/>
        </w:rPr>
        <w:t>PIP Code</w:t>
      </w:r>
      <w:r>
        <w:rPr>
          <w:rFonts w:cs="Calibri-Bold"/>
          <w:bCs/>
          <w:szCs w:val="20"/>
          <w:lang w:val="fr-FR" w:eastAsia="en-US"/>
        </w:rPr>
        <w:t xml:space="preserve"> : </w:t>
      </w:r>
      <w:r w:rsidR="004E3B08">
        <w:rPr>
          <w:rFonts w:cs="Calibri-Bold"/>
          <w:bCs/>
          <w:szCs w:val="20"/>
          <w:lang w:val="fr-FR" w:eastAsia="en-US"/>
        </w:rPr>
        <w:t>358-7607</w:t>
      </w:r>
    </w:p>
    <w:p w14:paraId="6D0CCAE0" w14:textId="4402F90E" w:rsidR="00FC4815" w:rsidRDefault="00FC4815" w:rsidP="00417118">
      <w:pPr>
        <w:autoSpaceDE w:val="0"/>
        <w:autoSpaceDN w:val="0"/>
        <w:adjustRightInd w:val="0"/>
        <w:rPr>
          <w:lang w:val="fr-FR"/>
        </w:rPr>
      </w:pPr>
      <w:r w:rsidRPr="00FC4815">
        <w:rPr>
          <w:rFonts w:cs="Calibri-Bold"/>
          <w:bCs/>
          <w:szCs w:val="20"/>
          <w:lang w:val="fr-FR" w:eastAsia="en-US"/>
        </w:rPr>
        <w:t>Au</w:t>
      </w:r>
      <w:r>
        <w:rPr>
          <w:rFonts w:cs="Calibri-Bold"/>
          <w:bCs/>
          <w:szCs w:val="20"/>
          <w:lang w:val="fr-FR" w:eastAsia="en-US"/>
        </w:rPr>
        <w:t xml:space="preserve">strian Jext 300mcg PIP Code : </w:t>
      </w:r>
      <w:r w:rsidR="00AF3B19" w:rsidRPr="00AF3B19">
        <w:rPr>
          <w:lang w:val="fr-FR"/>
        </w:rPr>
        <w:t>801</w:t>
      </w:r>
      <w:r w:rsidR="00AF3B19">
        <w:rPr>
          <w:lang w:val="fr-FR"/>
        </w:rPr>
        <w:t>-</w:t>
      </w:r>
      <w:r w:rsidR="00AF3B19" w:rsidRPr="00AF3B19">
        <w:rPr>
          <w:lang w:val="fr-FR"/>
        </w:rPr>
        <w:t>6941</w:t>
      </w:r>
    </w:p>
    <w:p w14:paraId="41197842" w14:textId="09276495" w:rsidR="00B21B51" w:rsidRDefault="00B21B51" w:rsidP="00417118">
      <w:pPr>
        <w:autoSpaceDE w:val="0"/>
        <w:autoSpaceDN w:val="0"/>
        <w:adjustRightInd w:val="0"/>
        <w:rPr>
          <w:rFonts w:cs="Calibri-Bold"/>
          <w:bCs/>
          <w:szCs w:val="20"/>
          <w:lang w:val="fr-FR" w:eastAsia="en-US"/>
        </w:rPr>
      </w:pPr>
    </w:p>
    <w:p w14:paraId="474A4B1F" w14:textId="3F50C874" w:rsidR="00B21B51" w:rsidRPr="00B21B51" w:rsidRDefault="00B21B51" w:rsidP="00417118">
      <w:pPr>
        <w:autoSpaceDE w:val="0"/>
        <w:autoSpaceDN w:val="0"/>
        <w:adjustRightInd w:val="0"/>
        <w:rPr>
          <w:rFonts w:cs="Calibri-Bold"/>
          <w:bCs/>
          <w:szCs w:val="20"/>
          <w:lang w:eastAsia="en-US"/>
        </w:rPr>
      </w:pPr>
      <w:r>
        <w:rPr>
          <w:rFonts w:cs="Calibri-Bold"/>
          <w:bCs/>
          <w:szCs w:val="20"/>
          <w:lang w:eastAsia="en-US"/>
        </w:rPr>
        <w:t>Distribution will be handled by Alc</w:t>
      </w:r>
      <w:r w:rsidR="00B615A8">
        <w:rPr>
          <w:rFonts w:cs="Calibri-Bold"/>
          <w:bCs/>
          <w:szCs w:val="20"/>
          <w:lang w:eastAsia="en-US"/>
        </w:rPr>
        <w:t>u</w:t>
      </w:r>
      <w:r>
        <w:rPr>
          <w:rFonts w:cs="Calibri-Bold"/>
          <w:bCs/>
          <w:szCs w:val="20"/>
          <w:lang w:eastAsia="en-US"/>
        </w:rPr>
        <w:t>ra on behalf of Alliance Healthcare Ltd</w:t>
      </w:r>
      <w:r w:rsidR="00B7475A">
        <w:rPr>
          <w:rFonts w:cs="Calibri-Bold"/>
          <w:bCs/>
          <w:szCs w:val="20"/>
          <w:lang w:eastAsia="en-US"/>
        </w:rPr>
        <w:t xml:space="preserve">, the sole </w:t>
      </w:r>
      <w:r w:rsidR="001E316C">
        <w:rPr>
          <w:rFonts w:cs="Calibri-Bold"/>
          <w:bCs/>
          <w:szCs w:val="20"/>
          <w:lang w:eastAsia="en-US"/>
        </w:rPr>
        <w:t>distributors</w:t>
      </w:r>
      <w:r w:rsidR="00B7475A">
        <w:rPr>
          <w:rFonts w:cs="Calibri-Bold"/>
          <w:bCs/>
          <w:szCs w:val="20"/>
          <w:lang w:eastAsia="en-US"/>
        </w:rPr>
        <w:t xml:space="preserve"> of Jext® in the UK. </w:t>
      </w:r>
      <w:r w:rsidRPr="00B21B51">
        <w:rPr>
          <w:rFonts w:cs="Calibri-Bold"/>
          <w:bCs/>
          <w:szCs w:val="20"/>
          <w:lang w:eastAsia="en-US"/>
        </w:rPr>
        <w:t>A £20 handling fee will b</w:t>
      </w:r>
      <w:r>
        <w:rPr>
          <w:rFonts w:cs="Calibri-Bold"/>
          <w:bCs/>
          <w:szCs w:val="20"/>
          <w:lang w:eastAsia="en-US"/>
        </w:rPr>
        <w:t xml:space="preserve">e charged </w:t>
      </w:r>
      <w:r w:rsidR="001E316C">
        <w:rPr>
          <w:rFonts w:cs="Calibri-Bold"/>
          <w:bCs/>
          <w:szCs w:val="20"/>
          <w:lang w:eastAsia="en-US"/>
        </w:rPr>
        <w:t xml:space="preserve">per order </w:t>
      </w:r>
      <w:r w:rsidR="00B7475A">
        <w:rPr>
          <w:rFonts w:cs="Calibri-Bold"/>
          <w:bCs/>
          <w:szCs w:val="20"/>
          <w:lang w:eastAsia="en-US"/>
        </w:rPr>
        <w:t xml:space="preserve">for this unlicensed Austrian stock. This </w:t>
      </w:r>
      <w:r w:rsidR="00D93351">
        <w:rPr>
          <w:rFonts w:cs="Calibri-Bold"/>
          <w:bCs/>
          <w:szCs w:val="20"/>
          <w:lang w:eastAsia="en-US"/>
        </w:rPr>
        <w:t xml:space="preserve">fixed </w:t>
      </w:r>
      <w:r w:rsidR="00B7475A">
        <w:rPr>
          <w:rFonts w:cs="Calibri-Bold"/>
          <w:bCs/>
          <w:szCs w:val="20"/>
          <w:lang w:eastAsia="en-US"/>
        </w:rPr>
        <w:t xml:space="preserve">fee </w:t>
      </w:r>
      <w:r w:rsidR="00706910">
        <w:rPr>
          <w:rFonts w:cs="Calibri-Bold"/>
          <w:bCs/>
          <w:szCs w:val="20"/>
          <w:lang w:eastAsia="en-US"/>
        </w:rPr>
        <w:t>can be reclaimed in the usual way for</w:t>
      </w:r>
      <w:r w:rsidR="008A6ABF">
        <w:rPr>
          <w:rFonts w:cs="Calibri-Bold"/>
          <w:bCs/>
          <w:szCs w:val="20"/>
          <w:lang w:eastAsia="en-US"/>
        </w:rPr>
        <w:t xml:space="preserve"> unlicensed</w:t>
      </w:r>
      <w:r w:rsidR="00706910">
        <w:rPr>
          <w:rFonts w:cs="Calibri-Bold"/>
          <w:bCs/>
          <w:szCs w:val="20"/>
          <w:lang w:eastAsia="en-US"/>
        </w:rPr>
        <w:t xml:space="preserve"> specials</w:t>
      </w:r>
      <w:r w:rsidR="001361CF">
        <w:rPr>
          <w:rFonts w:cs="Calibri-Bold"/>
          <w:bCs/>
          <w:szCs w:val="20"/>
          <w:lang w:eastAsia="en-US"/>
        </w:rPr>
        <w:t>.</w:t>
      </w:r>
    </w:p>
    <w:p w14:paraId="1141638E" w14:textId="77777777" w:rsidR="00417118" w:rsidRPr="00B21B51" w:rsidRDefault="00417118" w:rsidP="00B87F47">
      <w:pPr>
        <w:autoSpaceDE w:val="0"/>
        <w:autoSpaceDN w:val="0"/>
        <w:adjustRightInd w:val="0"/>
        <w:rPr>
          <w:rFonts w:cs="Calibri-Bold"/>
          <w:b/>
          <w:bCs/>
          <w:szCs w:val="20"/>
          <w:u w:val="single"/>
          <w:lang w:eastAsia="en-US"/>
        </w:rPr>
      </w:pPr>
    </w:p>
    <w:p w14:paraId="1B4DCE1D" w14:textId="77777777" w:rsidR="00B87F47" w:rsidRPr="00B21B51" w:rsidRDefault="00B87F47" w:rsidP="00B87F47">
      <w:pPr>
        <w:autoSpaceDE w:val="0"/>
        <w:autoSpaceDN w:val="0"/>
        <w:adjustRightInd w:val="0"/>
        <w:rPr>
          <w:sz w:val="22"/>
          <w:lang w:eastAsia="en-US"/>
        </w:rPr>
      </w:pPr>
    </w:p>
    <w:p w14:paraId="751DF58B" w14:textId="77777777" w:rsidR="00B87F47" w:rsidRPr="00B87F47" w:rsidRDefault="00B87F47" w:rsidP="00B87F47">
      <w:pPr>
        <w:autoSpaceDE w:val="0"/>
        <w:autoSpaceDN w:val="0"/>
        <w:adjustRightInd w:val="0"/>
        <w:rPr>
          <w:rFonts w:cs="TimesNewRomanPS-BoldMT"/>
          <w:b/>
          <w:bCs/>
          <w:szCs w:val="20"/>
          <w:u w:val="single"/>
          <w:lang w:eastAsia="en-US"/>
        </w:rPr>
      </w:pPr>
      <w:r w:rsidRPr="00B87F47">
        <w:rPr>
          <w:rFonts w:cs="TimesNewRomanPS-BoldMT"/>
          <w:b/>
          <w:bCs/>
          <w:szCs w:val="20"/>
          <w:u w:val="single"/>
          <w:lang w:eastAsia="en-US"/>
        </w:rPr>
        <w:t>Further information on recommendations to healthcare professionals</w:t>
      </w:r>
    </w:p>
    <w:p w14:paraId="1961CD89" w14:textId="77777777" w:rsidR="00B87F47" w:rsidRPr="00B87F47" w:rsidRDefault="00B87F47" w:rsidP="00B87F47">
      <w:pPr>
        <w:autoSpaceDE w:val="0"/>
        <w:autoSpaceDN w:val="0"/>
        <w:adjustRightInd w:val="0"/>
        <w:rPr>
          <w:rFonts w:cs="Calibri"/>
          <w:sz w:val="22"/>
          <w:szCs w:val="22"/>
          <w:lang w:eastAsia="en-US"/>
        </w:rPr>
      </w:pPr>
    </w:p>
    <w:p w14:paraId="5816C22E" w14:textId="4FD390D0" w:rsidR="00B87F47" w:rsidRPr="00B87F47" w:rsidRDefault="00B87F47" w:rsidP="00B87F47">
      <w:pPr>
        <w:numPr>
          <w:ilvl w:val="0"/>
          <w:numId w:val="3"/>
        </w:numPr>
        <w:autoSpaceDE w:val="0"/>
        <w:autoSpaceDN w:val="0"/>
        <w:adjustRightInd w:val="0"/>
        <w:ind w:left="360"/>
        <w:rPr>
          <w:rFonts w:cs="Calibri"/>
          <w:szCs w:val="20"/>
          <w:lang w:eastAsia="en-US"/>
        </w:rPr>
      </w:pPr>
      <w:r w:rsidRPr="00B87F47">
        <w:rPr>
          <w:rFonts w:cs="Calibri"/>
          <w:szCs w:val="20"/>
          <w:lang w:eastAsia="en-US"/>
        </w:rPr>
        <w:t xml:space="preserve">Tell patients and caregivers </w:t>
      </w:r>
      <w:r w:rsidR="00417118">
        <w:rPr>
          <w:rFonts w:cs="Calibri"/>
          <w:szCs w:val="20"/>
          <w:lang w:eastAsia="en-US"/>
        </w:rPr>
        <w:t>that they should retain the UK Patient information supplied with the product.</w:t>
      </w:r>
      <w:r w:rsidRPr="00B87F47">
        <w:rPr>
          <w:rFonts w:cs="Calibri"/>
          <w:szCs w:val="20"/>
          <w:lang w:eastAsia="en-US"/>
        </w:rPr>
        <w:t xml:space="preserve"> </w:t>
      </w:r>
    </w:p>
    <w:p w14:paraId="7C244E80" w14:textId="77777777" w:rsidR="00B87F47" w:rsidRPr="00B87F47" w:rsidRDefault="00B87F47" w:rsidP="00B87F47">
      <w:pPr>
        <w:autoSpaceDE w:val="0"/>
        <w:autoSpaceDN w:val="0"/>
        <w:adjustRightInd w:val="0"/>
        <w:rPr>
          <w:rFonts w:cs="Calibri"/>
          <w:szCs w:val="20"/>
          <w:lang w:eastAsia="en-US"/>
        </w:rPr>
      </w:pPr>
    </w:p>
    <w:p w14:paraId="17E48501" w14:textId="3889F695" w:rsidR="00B87F47" w:rsidRPr="00B87F47" w:rsidRDefault="00417118" w:rsidP="00B87F47">
      <w:pPr>
        <w:numPr>
          <w:ilvl w:val="0"/>
          <w:numId w:val="3"/>
        </w:numPr>
        <w:autoSpaceDE w:val="0"/>
        <w:autoSpaceDN w:val="0"/>
        <w:adjustRightInd w:val="0"/>
        <w:ind w:left="360"/>
        <w:rPr>
          <w:rFonts w:cs="Calibri"/>
          <w:szCs w:val="20"/>
          <w:lang w:eastAsia="en-US"/>
        </w:rPr>
      </w:pPr>
      <w:r>
        <w:rPr>
          <w:rFonts w:cs="Calibri"/>
          <w:szCs w:val="20"/>
          <w:lang w:eastAsia="en-US"/>
        </w:rPr>
        <w:t>Tell</w:t>
      </w:r>
      <w:r w:rsidR="00B87F47" w:rsidRPr="00B87F47">
        <w:rPr>
          <w:rFonts w:cs="Calibri"/>
          <w:szCs w:val="20"/>
          <w:lang w:eastAsia="en-US"/>
        </w:rPr>
        <w:t xml:space="preserve"> patients and caregivers </w:t>
      </w:r>
      <w:r>
        <w:rPr>
          <w:rFonts w:cs="Calibri"/>
          <w:szCs w:val="20"/>
          <w:lang w:eastAsia="en-US"/>
        </w:rPr>
        <w:t>that they can find additional information on how to use Jext® and orde</w:t>
      </w:r>
      <w:r w:rsidR="00185C00">
        <w:rPr>
          <w:rFonts w:cs="Calibri"/>
          <w:szCs w:val="20"/>
          <w:lang w:eastAsia="en-US"/>
        </w:rPr>
        <w:t xml:space="preserve">r training devices on </w:t>
      </w:r>
      <w:hyperlink r:id="rId12" w:history="1">
        <w:r w:rsidR="00185C00" w:rsidRPr="00185C00">
          <w:rPr>
            <w:bCs/>
            <w:color w:val="0050C2" w:themeColor="background2" w:themeTint="BF"/>
            <w:szCs w:val="20"/>
            <w:u w:val="single"/>
            <w:lang w:val="en" w:eastAsia="en-US"/>
          </w:rPr>
          <w:t>www.jext.co.uk</w:t>
        </w:r>
      </w:hyperlink>
      <w:r w:rsidR="00185C00" w:rsidRPr="00185C00">
        <w:rPr>
          <w:rFonts w:cs="Calibri"/>
          <w:color w:val="0050C2" w:themeColor="background2" w:themeTint="BF"/>
          <w:szCs w:val="20"/>
          <w:lang w:eastAsia="en-US"/>
        </w:rPr>
        <w:t xml:space="preserve">. </w:t>
      </w:r>
    </w:p>
    <w:p w14:paraId="34CF3E9F" w14:textId="77777777" w:rsidR="00B87F47" w:rsidRPr="00B87F47" w:rsidRDefault="00B87F47" w:rsidP="00B87F47">
      <w:pPr>
        <w:autoSpaceDE w:val="0"/>
        <w:autoSpaceDN w:val="0"/>
        <w:adjustRightInd w:val="0"/>
        <w:rPr>
          <w:rFonts w:cs="Calibri"/>
          <w:szCs w:val="20"/>
          <w:lang w:eastAsia="en-US"/>
        </w:rPr>
      </w:pPr>
    </w:p>
    <w:p w14:paraId="0DA229A4" w14:textId="62FF2563" w:rsidR="00B87F47" w:rsidRPr="00B87F47" w:rsidRDefault="00B87F47" w:rsidP="00B87F47">
      <w:pPr>
        <w:numPr>
          <w:ilvl w:val="0"/>
          <w:numId w:val="3"/>
        </w:numPr>
        <w:autoSpaceDE w:val="0"/>
        <w:autoSpaceDN w:val="0"/>
        <w:adjustRightInd w:val="0"/>
        <w:ind w:left="360"/>
        <w:rPr>
          <w:rFonts w:cs="Calibri"/>
          <w:szCs w:val="20"/>
          <w:lang w:eastAsia="en-US"/>
        </w:rPr>
      </w:pPr>
      <w:r w:rsidRPr="00B87F47">
        <w:rPr>
          <w:rFonts w:cs="Calibri"/>
          <w:szCs w:val="20"/>
          <w:lang w:eastAsia="en-US"/>
        </w:rPr>
        <w:lastRenderedPageBreak/>
        <w:t xml:space="preserve">Reassure patients and caregivers that their device </w:t>
      </w:r>
      <w:bookmarkStart w:id="9" w:name="_Hlk527412185"/>
      <w:r w:rsidR="00185C00">
        <w:rPr>
          <w:rFonts w:cs="Calibri"/>
          <w:szCs w:val="20"/>
          <w:lang w:eastAsia="en-US"/>
        </w:rPr>
        <w:t>is equivalent to the UK product and will work in exactly the same way.</w:t>
      </w:r>
    </w:p>
    <w:bookmarkEnd w:id="9"/>
    <w:p w14:paraId="098F66E7" w14:textId="0A75A974" w:rsidR="009F0B31" w:rsidRDefault="009F0B31" w:rsidP="00B87F47">
      <w:pPr>
        <w:autoSpaceDE w:val="0"/>
        <w:autoSpaceDN w:val="0"/>
        <w:adjustRightInd w:val="0"/>
        <w:rPr>
          <w:rFonts w:cs="Calibri"/>
          <w:szCs w:val="20"/>
          <w:lang w:eastAsia="en-US"/>
        </w:rPr>
      </w:pPr>
    </w:p>
    <w:p w14:paraId="0198BF55" w14:textId="5E250B84" w:rsidR="00B87F47" w:rsidRPr="00B87F47" w:rsidRDefault="00B87F47" w:rsidP="00B87F47">
      <w:pPr>
        <w:numPr>
          <w:ilvl w:val="0"/>
          <w:numId w:val="3"/>
        </w:numPr>
        <w:autoSpaceDE w:val="0"/>
        <w:autoSpaceDN w:val="0"/>
        <w:adjustRightInd w:val="0"/>
        <w:ind w:left="360"/>
        <w:rPr>
          <w:rFonts w:cs="Calibri"/>
          <w:szCs w:val="20"/>
          <w:lang w:eastAsia="en-US"/>
        </w:rPr>
      </w:pPr>
      <w:r w:rsidRPr="00B87F47">
        <w:rPr>
          <w:rFonts w:cs="Calibri"/>
          <w:szCs w:val="20"/>
          <w:lang w:eastAsia="en-US"/>
        </w:rPr>
        <w:t xml:space="preserve">Remind patients and caregivers that they should obtain a new device near the end of the </w:t>
      </w:r>
      <w:r w:rsidR="008C2759">
        <w:rPr>
          <w:rFonts w:cs="Calibri"/>
          <w:szCs w:val="20"/>
          <w:lang w:eastAsia="en-US"/>
        </w:rPr>
        <w:t>month of expiry marked on the box and device. E</w:t>
      </w:r>
      <w:r w:rsidR="008C2759" w:rsidRPr="00B87F47">
        <w:rPr>
          <w:rFonts w:cs="Calibri"/>
          <w:szCs w:val="20"/>
          <w:lang w:eastAsia="en-US"/>
        </w:rPr>
        <w:t>ncourage them to sign up for the Expiry Alert Service.</w:t>
      </w:r>
    </w:p>
    <w:p w14:paraId="5BF0E2A3" w14:textId="77777777" w:rsidR="00B87F47" w:rsidRPr="00B87F47" w:rsidRDefault="00B87F47" w:rsidP="00B87F47">
      <w:pPr>
        <w:rPr>
          <w:rFonts w:cs="Calibri"/>
          <w:szCs w:val="20"/>
          <w:lang w:eastAsia="en-US"/>
        </w:rPr>
      </w:pPr>
    </w:p>
    <w:p w14:paraId="43338159" w14:textId="77777777" w:rsidR="00B87F47" w:rsidRPr="00B87F47" w:rsidRDefault="00B87F47" w:rsidP="00B87F47">
      <w:pPr>
        <w:numPr>
          <w:ilvl w:val="0"/>
          <w:numId w:val="3"/>
        </w:numPr>
        <w:autoSpaceDE w:val="0"/>
        <w:autoSpaceDN w:val="0"/>
        <w:adjustRightInd w:val="0"/>
        <w:ind w:left="360"/>
        <w:rPr>
          <w:rFonts w:ascii="Calibri" w:hAnsi="Calibri" w:cs="Calibri"/>
          <w:szCs w:val="20"/>
          <w:lang w:eastAsia="en-US"/>
        </w:rPr>
      </w:pPr>
      <w:r w:rsidRPr="00B87F47">
        <w:rPr>
          <w:rFonts w:cs="Calibri"/>
          <w:szCs w:val="20"/>
          <w:lang w:eastAsia="en-US"/>
        </w:rPr>
        <w:t xml:space="preserve">Advise patients to continue to check periodically the viewing window in the label of their device to ensure the liquid inside is clear and colourless.  </w:t>
      </w:r>
      <w:bookmarkStart w:id="10" w:name="_Hlk527412423"/>
      <w:r w:rsidRPr="00B87F47">
        <w:rPr>
          <w:rFonts w:cs="Calibri"/>
          <w:szCs w:val="20"/>
          <w:lang w:eastAsia="en-US"/>
        </w:rPr>
        <w:t xml:space="preserve">Do not use the device if the liquid is discoloured. </w:t>
      </w:r>
      <w:bookmarkEnd w:id="10"/>
    </w:p>
    <w:p w14:paraId="29F61B7C" w14:textId="77777777" w:rsidR="00B87F47" w:rsidRPr="00B87F47" w:rsidRDefault="00B87F47" w:rsidP="00B87F47">
      <w:pPr>
        <w:autoSpaceDE w:val="0"/>
        <w:autoSpaceDN w:val="0"/>
        <w:adjustRightInd w:val="0"/>
        <w:rPr>
          <w:rFonts w:ascii="Calibri" w:hAnsi="Calibri" w:cs="Calibri"/>
          <w:sz w:val="22"/>
          <w:szCs w:val="22"/>
          <w:lang w:eastAsia="en-US"/>
        </w:rPr>
      </w:pPr>
    </w:p>
    <w:p w14:paraId="4C586D8F" w14:textId="0F611693" w:rsidR="00F349FF" w:rsidRDefault="00B87F47" w:rsidP="00B87F47">
      <w:pPr>
        <w:pStyle w:val="Normal-Useranddocinfor"/>
        <w:rPr>
          <w:bCs/>
          <w:sz w:val="20"/>
          <w:szCs w:val="20"/>
          <w:lang w:val="en" w:eastAsia="en-US"/>
        </w:rPr>
      </w:pPr>
      <w:r w:rsidRPr="00B87F47">
        <w:rPr>
          <w:bCs/>
          <w:sz w:val="20"/>
          <w:szCs w:val="20"/>
          <w:lang w:val="en" w:eastAsia="en-US"/>
        </w:rPr>
        <w:t xml:space="preserve">If you require additional information or have any questions, please contact ALK Customer Services: </w:t>
      </w:r>
      <w:r w:rsidRPr="00B87F47">
        <w:rPr>
          <w:b/>
          <w:bCs/>
          <w:sz w:val="20"/>
          <w:szCs w:val="20"/>
          <w:lang w:val="en" w:eastAsia="en-US"/>
        </w:rPr>
        <w:t>0118 903 7940</w:t>
      </w:r>
      <w:r w:rsidRPr="00B87F47">
        <w:rPr>
          <w:bCs/>
          <w:sz w:val="20"/>
          <w:szCs w:val="20"/>
          <w:lang w:val="en" w:eastAsia="en-US"/>
        </w:rPr>
        <w:t>.</w:t>
      </w:r>
    </w:p>
    <w:p w14:paraId="1AABBE93" w14:textId="49BAD795" w:rsidR="00185C00" w:rsidRDefault="00185C00" w:rsidP="00B87F47">
      <w:pPr>
        <w:pStyle w:val="Normal-Useranddocinfor"/>
        <w:rPr>
          <w:bCs/>
          <w:sz w:val="20"/>
          <w:szCs w:val="20"/>
          <w:lang w:val="en" w:eastAsia="en-US"/>
        </w:rPr>
      </w:pPr>
    </w:p>
    <w:p w14:paraId="1FED423A" w14:textId="77777777" w:rsidR="00185C00" w:rsidRDefault="00185C00" w:rsidP="00B87F47">
      <w:pPr>
        <w:pStyle w:val="Normal-Useranddocinfor"/>
        <w:rPr>
          <w:bCs/>
          <w:sz w:val="20"/>
          <w:szCs w:val="20"/>
          <w:lang w:val="en" w:eastAsia="en-US"/>
        </w:rPr>
      </w:pPr>
    </w:p>
    <w:p w14:paraId="0C1C493E" w14:textId="34328865" w:rsidR="00B87F47" w:rsidRDefault="00B87F47" w:rsidP="00B87F47">
      <w:pPr>
        <w:pStyle w:val="Normal-Useranddocinfor"/>
        <w:rPr>
          <w:lang w:val="en"/>
        </w:rPr>
      </w:pPr>
    </w:p>
    <w:p w14:paraId="4C586D90" w14:textId="77777777" w:rsidR="00D90F82" w:rsidRDefault="003B6A4C" w:rsidP="00CC5FAF">
      <w:pPr>
        <w:pStyle w:val="Normal-Useranddocinfor"/>
        <w:rPr>
          <w:sz w:val="20"/>
          <w:szCs w:val="20"/>
          <w:lang w:val="en"/>
        </w:rPr>
      </w:pPr>
      <w:r w:rsidRPr="003B6A4C">
        <w:rPr>
          <w:rFonts w:ascii="Calibri" w:eastAsia="Calibri" w:hAnsi="Calibri"/>
          <w:noProof/>
          <w:sz w:val="22"/>
          <w:szCs w:val="22"/>
          <w:lang w:eastAsia="en-GB"/>
        </w:rPr>
        <w:drawing>
          <wp:anchor distT="0" distB="0" distL="114300" distR="114300" simplePos="0" relativeHeight="251658240" behindDoc="0" locked="0" layoutInCell="1" allowOverlap="1" wp14:anchorId="4C586D99" wp14:editId="4C586D9A">
            <wp:simplePos x="0" y="0"/>
            <wp:positionH relativeFrom="column">
              <wp:posOffset>76200</wp:posOffset>
            </wp:positionH>
            <wp:positionV relativeFrom="paragraph">
              <wp:posOffset>137795</wp:posOffset>
            </wp:positionV>
            <wp:extent cx="1691640" cy="6248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640" cy="624840"/>
                    </a:xfrm>
                    <a:prstGeom prst="rect">
                      <a:avLst/>
                    </a:prstGeom>
                  </pic:spPr>
                </pic:pic>
              </a:graphicData>
            </a:graphic>
            <wp14:sizeRelH relativeFrom="page">
              <wp14:pctWidth>0</wp14:pctWidth>
            </wp14:sizeRelH>
            <wp14:sizeRelV relativeFrom="page">
              <wp14:pctHeight>0</wp14:pctHeight>
            </wp14:sizeRelV>
          </wp:anchor>
        </w:drawing>
      </w:r>
      <w:r w:rsidR="00D90F82" w:rsidRPr="00D90F82">
        <w:rPr>
          <w:sz w:val="20"/>
          <w:szCs w:val="20"/>
          <w:lang w:val="en"/>
        </w:rPr>
        <w:t>Yours sincerely</w:t>
      </w:r>
    </w:p>
    <w:p w14:paraId="4C586D91" w14:textId="77777777" w:rsidR="00D90F82" w:rsidRDefault="00D90F82" w:rsidP="00CC5FAF">
      <w:pPr>
        <w:pStyle w:val="Normal-Useranddocinfor"/>
        <w:rPr>
          <w:sz w:val="20"/>
          <w:szCs w:val="20"/>
          <w:lang w:val="en"/>
        </w:rPr>
      </w:pPr>
    </w:p>
    <w:p w14:paraId="4C586D92" w14:textId="77777777" w:rsidR="00D90F82" w:rsidRDefault="00D90F82" w:rsidP="00CC5FAF">
      <w:pPr>
        <w:pStyle w:val="Normal-Useranddocinfor"/>
        <w:rPr>
          <w:sz w:val="20"/>
          <w:szCs w:val="20"/>
          <w:lang w:val="en"/>
        </w:rPr>
      </w:pPr>
    </w:p>
    <w:p w14:paraId="4C586D93" w14:textId="77777777" w:rsidR="00D90F82" w:rsidRDefault="00D90F82" w:rsidP="00CC5FAF">
      <w:pPr>
        <w:pStyle w:val="Normal-Useranddocinfor"/>
        <w:rPr>
          <w:sz w:val="20"/>
          <w:szCs w:val="20"/>
          <w:lang w:val="en"/>
        </w:rPr>
      </w:pPr>
    </w:p>
    <w:p w14:paraId="4C586D94" w14:textId="77777777" w:rsidR="00173215" w:rsidRDefault="00173215" w:rsidP="00CC5FAF">
      <w:pPr>
        <w:pStyle w:val="Normal-Useranddocinfor"/>
        <w:rPr>
          <w:sz w:val="20"/>
          <w:szCs w:val="20"/>
          <w:lang w:val="en"/>
        </w:rPr>
      </w:pPr>
    </w:p>
    <w:p w14:paraId="4C586D95" w14:textId="77777777" w:rsidR="00D90F82" w:rsidRDefault="00D90F82" w:rsidP="00CC5FAF">
      <w:pPr>
        <w:pStyle w:val="Normal-Useranddocinfor"/>
        <w:rPr>
          <w:sz w:val="20"/>
          <w:szCs w:val="20"/>
          <w:lang w:val="en"/>
        </w:rPr>
      </w:pPr>
      <w:r>
        <w:rPr>
          <w:sz w:val="20"/>
          <w:szCs w:val="20"/>
          <w:lang w:val="en"/>
        </w:rPr>
        <w:t>Sean Connor</w:t>
      </w:r>
    </w:p>
    <w:p w14:paraId="4C586D96" w14:textId="77777777" w:rsidR="00D90F82" w:rsidRDefault="00D90F82" w:rsidP="00CC5FAF">
      <w:pPr>
        <w:pStyle w:val="Normal-Useranddocinfor"/>
        <w:rPr>
          <w:sz w:val="20"/>
          <w:szCs w:val="20"/>
          <w:lang w:val="en"/>
        </w:rPr>
      </w:pPr>
      <w:r>
        <w:rPr>
          <w:sz w:val="20"/>
          <w:szCs w:val="20"/>
          <w:lang w:val="en"/>
        </w:rPr>
        <w:t>General Manager</w:t>
      </w:r>
    </w:p>
    <w:p w14:paraId="4C586D97" w14:textId="77777777" w:rsidR="00D90F82" w:rsidRDefault="00D90F82" w:rsidP="00CC5FAF">
      <w:pPr>
        <w:pStyle w:val="Normal-Useranddocinfor"/>
        <w:rPr>
          <w:sz w:val="20"/>
          <w:szCs w:val="20"/>
          <w:lang w:val="en"/>
        </w:rPr>
      </w:pPr>
      <w:r>
        <w:rPr>
          <w:sz w:val="20"/>
          <w:szCs w:val="20"/>
          <w:lang w:val="en"/>
        </w:rPr>
        <w:t>UK, Ireland and Benelux</w:t>
      </w:r>
    </w:p>
    <w:p w14:paraId="4C586D98" w14:textId="54F0DB2B" w:rsidR="00173215" w:rsidRDefault="00173215" w:rsidP="00173215">
      <w:pPr>
        <w:rPr>
          <w:szCs w:val="20"/>
          <w:lang w:val="en"/>
        </w:rPr>
      </w:pPr>
    </w:p>
    <w:p w14:paraId="3714DA3C" w14:textId="6F4EE57D" w:rsidR="0047328C" w:rsidRDefault="0047328C" w:rsidP="00173215">
      <w:pPr>
        <w:rPr>
          <w:szCs w:val="20"/>
        </w:rPr>
      </w:pPr>
    </w:p>
    <w:p w14:paraId="40C6E5DF" w14:textId="296D606C" w:rsidR="00BD2E13" w:rsidRDefault="00BD2E13" w:rsidP="00173215">
      <w:pPr>
        <w:rPr>
          <w:szCs w:val="20"/>
        </w:rPr>
      </w:pPr>
    </w:p>
    <w:p w14:paraId="6418E2DA" w14:textId="29C3BA4F" w:rsidR="00BD2E13" w:rsidRDefault="00BD2E13" w:rsidP="00173215">
      <w:pPr>
        <w:rPr>
          <w:szCs w:val="20"/>
        </w:rPr>
      </w:pPr>
    </w:p>
    <w:p w14:paraId="54CF3EDE" w14:textId="2DABA025" w:rsidR="00BD2E13" w:rsidRDefault="00BD2E13" w:rsidP="00173215">
      <w:pPr>
        <w:rPr>
          <w:szCs w:val="20"/>
        </w:rPr>
      </w:pPr>
    </w:p>
    <w:p w14:paraId="2C2B6896" w14:textId="1857FE5D" w:rsidR="00BD2E13" w:rsidRDefault="00BD2E13" w:rsidP="00173215">
      <w:pPr>
        <w:rPr>
          <w:szCs w:val="20"/>
        </w:rPr>
      </w:pPr>
    </w:p>
    <w:p w14:paraId="02C5EE49" w14:textId="7E531858" w:rsidR="00BD2E13" w:rsidRDefault="00BD2E13" w:rsidP="00173215">
      <w:pPr>
        <w:rPr>
          <w:szCs w:val="20"/>
        </w:rPr>
      </w:pPr>
    </w:p>
    <w:p w14:paraId="54D9E028" w14:textId="65DFC151" w:rsidR="00BD2E13" w:rsidRDefault="00BD2E13" w:rsidP="00173215">
      <w:pPr>
        <w:rPr>
          <w:szCs w:val="20"/>
        </w:rPr>
      </w:pPr>
    </w:p>
    <w:p w14:paraId="05A68131" w14:textId="77777777" w:rsidR="00FC4815" w:rsidRDefault="00BD2E13" w:rsidP="00BD2E13">
      <w:pPr>
        <w:pStyle w:val="Body"/>
        <w:rPr>
          <w:rFonts w:ascii="Arial" w:hAnsi="Arial"/>
          <w:b/>
          <w:bCs/>
          <w:sz w:val="20"/>
          <w:szCs w:val="20"/>
        </w:rPr>
      </w:pPr>
      <w:r>
        <w:rPr>
          <w:rFonts w:ascii="Arial" w:hAnsi="Arial"/>
          <w:b/>
          <w:bCs/>
          <w:sz w:val="20"/>
          <w:szCs w:val="20"/>
        </w:rPr>
        <w:t>Jext</w:t>
      </w:r>
      <w:r>
        <w:rPr>
          <w:rFonts w:ascii="Arial" w:hAnsi="Arial"/>
          <w:b/>
          <w:bCs/>
          <w:sz w:val="20"/>
          <w:szCs w:val="20"/>
          <w:vertAlign w:val="superscript"/>
          <w:lang w:val="en-US"/>
        </w:rPr>
        <w:t>®</w:t>
      </w:r>
      <w:r>
        <w:rPr>
          <w:rFonts w:ascii="Arial" w:hAnsi="Arial"/>
          <w:b/>
          <w:bCs/>
          <w:sz w:val="20"/>
          <w:szCs w:val="20"/>
          <w:lang w:val="en-US"/>
        </w:rPr>
        <w:t xml:space="preserve"> Abbreviated Prescribing Information </w:t>
      </w:r>
      <w:r>
        <w:rPr>
          <w:rFonts w:ascii="Arial" w:hAnsi="Arial"/>
          <w:sz w:val="20"/>
          <w:szCs w:val="20"/>
          <w:lang w:val="en-US"/>
        </w:rPr>
        <w:t xml:space="preserve">Please refer to the Summary of Product Characteristics before prescribing. </w:t>
      </w:r>
      <w:r>
        <w:rPr>
          <w:rFonts w:ascii="Arial" w:hAnsi="Arial"/>
          <w:b/>
          <w:bCs/>
          <w:sz w:val="20"/>
          <w:szCs w:val="20"/>
          <w:lang w:val="de-DE"/>
        </w:rPr>
        <w:t xml:space="preserve">Name </w:t>
      </w:r>
      <w:r>
        <w:rPr>
          <w:rFonts w:ascii="Arial" w:hAnsi="Arial"/>
          <w:sz w:val="20"/>
          <w:szCs w:val="20"/>
          <w:lang w:val="en-US"/>
        </w:rPr>
        <w:t>Jext 150 micrograms solution for injection in pre-filled pen</w:t>
      </w:r>
      <w:r>
        <w:rPr>
          <w:rFonts w:ascii="Arial" w:hAnsi="Arial"/>
          <w:b/>
          <w:bCs/>
          <w:sz w:val="20"/>
          <w:szCs w:val="20"/>
        </w:rPr>
        <w:t xml:space="preserve"> </w:t>
      </w:r>
      <w:r>
        <w:rPr>
          <w:rFonts w:ascii="Arial" w:hAnsi="Arial"/>
          <w:sz w:val="20"/>
          <w:szCs w:val="20"/>
          <w:lang w:val="en-US"/>
        </w:rPr>
        <w:t>Jext 300 micrograms solution for injection in pre-filled pen</w:t>
      </w:r>
      <w:r>
        <w:rPr>
          <w:rFonts w:ascii="Arial" w:hAnsi="Arial"/>
          <w:b/>
          <w:bCs/>
          <w:sz w:val="20"/>
          <w:szCs w:val="20"/>
          <w:lang w:val="en-US"/>
        </w:rPr>
        <w:t xml:space="preserve"> Active Ingredients </w:t>
      </w:r>
      <w:r>
        <w:rPr>
          <w:rFonts w:ascii="Arial" w:hAnsi="Arial"/>
          <w:sz w:val="20"/>
          <w:szCs w:val="20"/>
          <w:lang w:val="en-US"/>
        </w:rPr>
        <w:t>Jext 150 micrograms: One pre-filled pen delivers one dose of 0.15ml solution for injection containing 150 micrograms of adrenaline (as tartrate). Jext 300 micrograms: One pre-filled pen delivers one dose of 0.30ml solution for injection containing 300 micrograms of adrenaline (as tartrate).</w:t>
      </w:r>
      <w:r w:rsidRPr="00A94B2E">
        <w:rPr>
          <w:rFonts w:ascii="Arial" w:hAnsi="Arial"/>
          <w:b/>
          <w:bCs/>
          <w:sz w:val="20"/>
          <w:szCs w:val="20"/>
        </w:rPr>
        <w:t xml:space="preserve"> Indication </w:t>
      </w:r>
      <w:r>
        <w:rPr>
          <w:rFonts w:ascii="Arial" w:hAnsi="Arial"/>
          <w:sz w:val="20"/>
          <w:szCs w:val="20"/>
          <w:lang w:val="en-US"/>
        </w:rPr>
        <w:t xml:space="preserve">Jext is indicated in the emergency treatment of severe acute allergic reactions (anaphylaxis) to insect stings or bites, foods, drugs and other allergens as well as idiopathic or exercise induced anaphylaxis. </w:t>
      </w:r>
      <w:r>
        <w:rPr>
          <w:rFonts w:ascii="Arial" w:hAnsi="Arial"/>
          <w:b/>
          <w:bCs/>
          <w:sz w:val="20"/>
          <w:szCs w:val="20"/>
        </w:rPr>
        <w:t xml:space="preserve">Dose </w:t>
      </w:r>
      <w:r>
        <w:rPr>
          <w:rFonts w:ascii="Arial" w:hAnsi="Arial"/>
          <w:sz w:val="20"/>
          <w:szCs w:val="20"/>
          <w:lang w:val="en-US"/>
        </w:rPr>
        <w:t>Patients between 15 kg and 30 kg in weight – The usual dose is 150 micrograms. Patients over 30 kg in weight – The usual dose is 300 micrograms.</w:t>
      </w:r>
      <w:r>
        <w:rPr>
          <w:rFonts w:ascii="Arial" w:hAnsi="Arial"/>
          <w:b/>
          <w:bCs/>
          <w:sz w:val="20"/>
          <w:szCs w:val="20"/>
          <w:lang w:val="pt-PT"/>
        </w:rPr>
        <w:t xml:space="preserve"> Administration</w:t>
      </w:r>
      <w:r>
        <w:rPr>
          <w:rFonts w:ascii="Arial" w:hAnsi="Arial"/>
          <w:sz w:val="20"/>
          <w:szCs w:val="20"/>
          <w:lang w:val="en-US"/>
        </w:rPr>
        <w:t>For single use.</w:t>
      </w:r>
      <w:r>
        <w:rPr>
          <w:rFonts w:ascii="Arial" w:hAnsi="Arial"/>
          <w:b/>
          <w:bCs/>
          <w:sz w:val="20"/>
          <w:szCs w:val="20"/>
        </w:rPr>
        <w:t xml:space="preserve"> </w:t>
      </w:r>
      <w:r>
        <w:rPr>
          <w:rFonts w:ascii="Arial" w:hAnsi="Arial"/>
          <w:sz w:val="20"/>
          <w:szCs w:val="20"/>
          <w:lang w:val="en-US"/>
        </w:rPr>
        <w:t>Jext is for intramuscular administration into the anterolateral thigh. It is designed to inject through clothing or directly through the skin.</w:t>
      </w:r>
      <w:r>
        <w:rPr>
          <w:rFonts w:ascii="Arial" w:hAnsi="Arial"/>
          <w:b/>
          <w:bCs/>
          <w:sz w:val="20"/>
          <w:szCs w:val="20"/>
        </w:rPr>
        <w:t xml:space="preserve"> </w:t>
      </w:r>
      <w:r>
        <w:rPr>
          <w:rFonts w:ascii="Arial" w:hAnsi="Arial"/>
          <w:sz w:val="20"/>
          <w:szCs w:val="20"/>
          <w:lang w:val="en-US"/>
        </w:rPr>
        <w:t>Massage around the injection area is advised to accelerate absorption.</w:t>
      </w:r>
      <w:r>
        <w:rPr>
          <w:rFonts w:ascii="Arial" w:hAnsi="Arial"/>
          <w:b/>
          <w:bCs/>
          <w:sz w:val="20"/>
          <w:szCs w:val="20"/>
        </w:rPr>
        <w:t xml:space="preserve"> </w:t>
      </w:r>
      <w:r>
        <w:rPr>
          <w:rFonts w:ascii="Arial" w:hAnsi="Arial"/>
          <w:sz w:val="20"/>
          <w:szCs w:val="20"/>
          <w:lang w:val="en-US"/>
        </w:rPr>
        <w:t>Please refer to the Summary of Product Characteristics for detailed instructions for use.</w:t>
      </w:r>
      <w:r>
        <w:rPr>
          <w:rFonts w:ascii="Arial" w:hAnsi="Arial"/>
          <w:b/>
          <w:bCs/>
          <w:sz w:val="20"/>
          <w:szCs w:val="20"/>
        </w:rPr>
        <w:t xml:space="preserve"> </w:t>
      </w:r>
      <w:r>
        <w:rPr>
          <w:rFonts w:ascii="Arial" w:hAnsi="Arial"/>
          <w:sz w:val="20"/>
          <w:szCs w:val="20"/>
          <w:lang w:val="en-US"/>
        </w:rPr>
        <w:t>In the absence of clinical improvement or if deterioration occurs, a second injection with an additional Jext may be administered 5 – 15 minutes after the first injection. It is recommended that patients should carry two Jext pens which they should carry at all times The patient should seek emergency medical assistance immediately after administering Jext for monitoring of the anaphylactic episode and further treatment as required.</w:t>
      </w:r>
      <w:r w:rsidRPr="00A94B2E">
        <w:rPr>
          <w:rFonts w:ascii="Arial" w:hAnsi="Arial"/>
          <w:b/>
          <w:bCs/>
          <w:sz w:val="20"/>
          <w:szCs w:val="20"/>
        </w:rPr>
        <w:t xml:space="preserve"> </w:t>
      </w:r>
    </w:p>
    <w:p w14:paraId="3993004B" w14:textId="7621B194" w:rsidR="00BD2E13" w:rsidRPr="00BD2E13" w:rsidRDefault="00BD2E13" w:rsidP="00BD2E13">
      <w:pPr>
        <w:pStyle w:val="Body"/>
        <w:rPr>
          <w:rFonts w:ascii="Arial" w:hAnsi="Arial"/>
          <w:sz w:val="20"/>
          <w:szCs w:val="20"/>
        </w:rPr>
      </w:pPr>
      <w:r w:rsidRPr="00A94B2E">
        <w:rPr>
          <w:rFonts w:ascii="Arial" w:hAnsi="Arial"/>
          <w:b/>
          <w:bCs/>
          <w:sz w:val="20"/>
          <w:szCs w:val="20"/>
        </w:rPr>
        <w:t xml:space="preserve">Contraindications </w:t>
      </w:r>
      <w:r>
        <w:rPr>
          <w:rFonts w:ascii="Arial" w:hAnsi="Arial"/>
          <w:sz w:val="20"/>
          <w:szCs w:val="20"/>
          <w:lang w:val="en-US"/>
        </w:rPr>
        <w:t>There are no absolute contraindications to the use of Jext during an allergic emergency</w:t>
      </w:r>
      <w:r>
        <w:rPr>
          <w:rFonts w:ascii="Arial" w:hAnsi="Arial"/>
          <w:b/>
          <w:bCs/>
          <w:sz w:val="20"/>
          <w:szCs w:val="20"/>
          <w:lang w:val="en-US"/>
        </w:rPr>
        <w:t xml:space="preserve"> Undesirable Effects </w:t>
      </w:r>
      <w:r>
        <w:rPr>
          <w:rFonts w:ascii="Arial" w:hAnsi="Arial"/>
          <w:sz w:val="20"/>
          <w:szCs w:val="20"/>
          <w:lang w:val="en-US"/>
        </w:rPr>
        <w:t>The alpha and beta receptor activity of adrenaline may cause undesirable effects on the cardiovascular system, central nervous system and other organ systems including hyperglycaemia, hypokalaemia, metabolic acidosis, anxiety, hallucination, headache, dizziness, tremor, syncope, tachycardia, arrhythmia, palpitations, angina pectoris, stress                                                                                         cardiomyopathy, hypertension, vasoconstriction, peripheral ischaemia, bronchospasm, nausea, vomiting, hyperhidrosis or asthenia.Please consult the Summary of Product Characteristics in relation to side-effects.</w:t>
      </w:r>
      <w:r>
        <w:rPr>
          <w:rFonts w:ascii="Arial" w:hAnsi="Arial"/>
          <w:b/>
          <w:bCs/>
          <w:sz w:val="20"/>
          <w:szCs w:val="20"/>
          <w:lang w:val="en-US"/>
        </w:rPr>
        <w:t xml:space="preserve"> Warnings</w:t>
      </w:r>
      <w:r>
        <w:rPr>
          <w:rFonts w:ascii="Arial" w:hAnsi="Arial"/>
          <w:sz w:val="20"/>
          <w:szCs w:val="20"/>
          <w:lang w:val="en-US"/>
        </w:rPr>
        <w:t xml:space="preserve">Do not inject Jext into the buttocks. Accidental injection into hands or feet may </w:t>
      </w:r>
      <w:r>
        <w:rPr>
          <w:rFonts w:ascii="Arial" w:hAnsi="Arial"/>
          <w:sz w:val="20"/>
          <w:szCs w:val="20"/>
          <w:lang w:val="en-US"/>
        </w:rPr>
        <w:lastRenderedPageBreak/>
        <w:t>cause peripheral ischaemia due to vasoconstriction.</w:t>
      </w:r>
      <w:r>
        <w:rPr>
          <w:rFonts w:ascii="Arial" w:hAnsi="Arial"/>
          <w:b/>
          <w:bCs/>
          <w:sz w:val="20"/>
          <w:szCs w:val="20"/>
        </w:rPr>
        <w:t xml:space="preserve"> </w:t>
      </w:r>
      <w:r>
        <w:rPr>
          <w:rFonts w:ascii="Arial" w:hAnsi="Arial"/>
          <w:sz w:val="20"/>
          <w:szCs w:val="20"/>
          <w:lang w:val="en-US"/>
        </w:rPr>
        <w:t>In patients with thick subcutaneous fat layer, there is a risk of the adrenaline not reaching the muscle tissue resulting in a suboptimal effect.</w:t>
      </w:r>
      <w:r>
        <w:rPr>
          <w:rFonts w:ascii="Arial" w:hAnsi="Arial"/>
          <w:b/>
          <w:bCs/>
          <w:sz w:val="20"/>
          <w:szCs w:val="20"/>
          <w:lang w:val="en-US"/>
        </w:rPr>
        <w:t xml:space="preserve"> Precautions </w:t>
      </w:r>
      <w:r>
        <w:rPr>
          <w:rFonts w:ascii="Arial" w:hAnsi="Arial"/>
          <w:sz w:val="20"/>
          <w:szCs w:val="20"/>
          <w:lang w:val="en-US"/>
        </w:rPr>
        <w:t>Special caution should be taken in patients with cardiovascular diseases, hyperthyroidism, phaeochromocytoma, narrow angle glaucoma, severe renal impairment, prostatic adenoma leading to residual urine, hypercalcaemia, hypokalaemia and diabetes.Caution is indicated in patients receiving drugs that may sensitise the heart to arrhythmias, including digitalis and quinidine.</w:t>
      </w:r>
      <w:r>
        <w:rPr>
          <w:lang w:val="en-US"/>
        </w:rPr>
        <w:t xml:space="preserve"> </w:t>
      </w:r>
      <w:r>
        <w:rPr>
          <w:rFonts w:ascii="Arial" w:hAnsi="Arial"/>
          <w:sz w:val="20"/>
          <w:szCs w:val="20"/>
          <w:lang w:val="en-US"/>
        </w:rPr>
        <w:t>The effects of adrenaline may be potentiated by tricyclic antidepressants, monoamine oxidase inhibitors (MAO-inhibitors) and catechol-O-methyl transferase inhibitors (COMT inhibitors),</w:t>
      </w:r>
      <w:r>
        <w:rPr>
          <w:lang w:val="en-US"/>
        </w:rPr>
        <w:t xml:space="preserve"> </w:t>
      </w:r>
      <w:r>
        <w:rPr>
          <w:rFonts w:ascii="Arial" w:hAnsi="Arial"/>
          <w:sz w:val="20"/>
          <w:szCs w:val="20"/>
          <w:lang w:val="en-US"/>
        </w:rPr>
        <w:t>thyroid hormones, theophylline, oxytocin, parasympatholytics, certain antihistamines (diphenhydramine, chlorpheniramine), levodopa and alcohol. Caution should also be taken in elderly and pregnant patients.</w:t>
      </w:r>
      <w:r>
        <w:rPr>
          <w:rFonts w:ascii="Arial" w:hAnsi="Arial"/>
          <w:b/>
          <w:bCs/>
          <w:sz w:val="20"/>
          <w:szCs w:val="20"/>
          <w:lang w:val="en-US"/>
        </w:rPr>
        <w:t xml:space="preserve"> </w:t>
      </w:r>
      <w:r>
        <w:rPr>
          <w:rFonts w:ascii="Arial" w:hAnsi="Arial"/>
          <w:sz w:val="20"/>
          <w:szCs w:val="20"/>
          <w:lang w:val="en-US"/>
        </w:rPr>
        <w:t>Jext contains sodium metabisulphite which may rarely cause severe hypersensitivity reactions in susceptible people. Susceptible people must be carefully instructed in regard to the circumstances under which Jext should be used.</w:t>
      </w:r>
      <w:r>
        <w:rPr>
          <w:rFonts w:ascii="Arial" w:hAnsi="Arial"/>
          <w:b/>
          <w:bCs/>
          <w:sz w:val="20"/>
          <w:szCs w:val="20"/>
        </w:rPr>
        <w:t xml:space="preserve"> </w:t>
      </w:r>
      <w:r>
        <w:rPr>
          <w:rFonts w:ascii="Arial" w:hAnsi="Arial"/>
          <w:sz w:val="20"/>
          <w:szCs w:val="20"/>
          <w:lang w:val="en-US"/>
        </w:rPr>
        <w:t>All patients who are prescribed Jext should be thoroughly instructed to understand the indications for use and the correct method of administration. It is strongly advised also to educate the patient’s immediate associates (e.g. parents, caregivers, and teachers) for the correct usage of Jext® in case support is needed in the emergency situation.Patients should be advised to regularly check Jext and ensure it is replaced within the expiry period.</w:t>
      </w:r>
      <w:r>
        <w:rPr>
          <w:rFonts w:ascii="Arial" w:hAnsi="Arial"/>
          <w:b/>
          <w:bCs/>
          <w:sz w:val="20"/>
          <w:szCs w:val="20"/>
          <w:lang w:val="en-US"/>
        </w:rPr>
        <w:t xml:space="preserve"> Legal Category</w:t>
      </w:r>
      <w:r>
        <w:rPr>
          <w:rFonts w:ascii="Arial" w:hAnsi="Arial"/>
          <w:sz w:val="20"/>
          <w:szCs w:val="20"/>
        </w:rPr>
        <w:t xml:space="preserve">: POM </w:t>
      </w:r>
      <w:r>
        <w:rPr>
          <w:rFonts w:ascii="Arial" w:hAnsi="Arial"/>
          <w:b/>
          <w:bCs/>
          <w:sz w:val="20"/>
          <w:szCs w:val="20"/>
          <w:lang w:val="en-US"/>
        </w:rPr>
        <w:t>Basic NHS Cost</w:t>
      </w:r>
      <w:r>
        <w:rPr>
          <w:rFonts w:ascii="Arial" w:hAnsi="Arial"/>
          <w:sz w:val="20"/>
          <w:szCs w:val="20"/>
          <w:lang w:val="en-US"/>
        </w:rPr>
        <w:t>: Jext 150 and Jext 300 are available as single unit doses at £23.99 each or as a twin pack of two injectors at £</w:t>
      </w:r>
      <w:r>
        <w:rPr>
          <w:rFonts w:ascii="Arial" w:hAnsi="Arial"/>
          <w:sz w:val="20"/>
          <w:szCs w:val="20"/>
        </w:rPr>
        <w:t xml:space="preserve">47.98. </w:t>
      </w:r>
      <w:r>
        <w:rPr>
          <w:rFonts w:ascii="Arial" w:hAnsi="Arial"/>
          <w:b/>
          <w:bCs/>
          <w:sz w:val="20"/>
          <w:szCs w:val="20"/>
          <w:lang w:val="en-US"/>
        </w:rPr>
        <w:t>Marketing Authorisation Numbers</w:t>
      </w:r>
      <w:r>
        <w:rPr>
          <w:rFonts w:ascii="Arial" w:hAnsi="Arial"/>
          <w:sz w:val="20"/>
          <w:szCs w:val="20"/>
        </w:rPr>
        <w:t xml:space="preserve">: PL 10085/0052, PL 10085/0053 </w:t>
      </w:r>
      <w:r>
        <w:rPr>
          <w:rFonts w:ascii="Arial" w:hAnsi="Arial"/>
          <w:b/>
          <w:bCs/>
          <w:sz w:val="20"/>
          <w:szCs w:val="20"/>
          <w:lang w:val="en-US"/>
        </w:rPr>
        <w:t>Marketing Authorisation holder</w:t>
      </w:r>
      <w:r>
        <w:rPr>
          <w:rFonts w:ascii="Arial" w:hAnsi="Arial"/>
          <w:sz w:val="20"/>
          <w:szCs w:val="20"/>
          <w:lang w:val="de-DE"/>
        </w:rPr>
        <w:t>: ALK Abell</w:t>
      </w:r>
      <w:r>
        <w:rPr>
          <w:rFonts w:ascii="Arial" w:hAnsi="Arial"/>
          <w:sz w:val="20"/>
          <w:szCs w:val="20"/>
          <w:lang w:val="en-US"/>
        </w:rPr>
        <w:t xml:space="preserve">ó </w:t>
      </w:r>
      <w:r>
        <w:rPr>
          <w:rFonts w:ascii="Arial" w:hAnsi="Arial"/>
          <w:sz w:val="20"/>
          <w:szCs w:val="20"/>
        </w:rPr>
        <w:t>A/S, B</w:t>
      </w:r>
      <w:r>
        <w:rPr>
          <w:rFonts w:ascii="Arial" w:hAnsi="Arial"/>
          <w:sz w:val="20"/>
          <w:szCs w:val="20"/>
          <w:lang w:val="en-US"/>
        </w:rPr>
        <w:t>ø</w:t>
      </w:r>
      <w:r>
        <w:rPr>
          <w:rFonts w:ascii="Arial" w:hAnsi="Arial"/>
          <w:sz w:val="20"/>
          <w:szCs w:val="20"/>
        </w:rPr>
        <w:t>ge Alle 6-8, DK-2970 H</w:t>
      </w:r>
      <w:r>
        <w:rPr>
          <w:rFonts w:ascii="Arial" w:hAnsi="Arial"/>
          <w:sz w:val="20"/>
          <w:szCs w:val="20"/>
          <w:lang w:val="en-US"/>
        </w:rPr>
        <w:t>ø</w:t>
      </w:r>
      <w:r>
        <w:rPr>
          <w:rFonts w:ascii="Arial" w:hAnsi="Arial"/>
          <w:sz w:val="20"/>
          <w:szCs w:val="20"/>
        </w:rPr>
        <w:t>rsholm.</w:t>
      </w:r>
      <w:r>
        <w:rPr>
          <w:rFonts w:ascii="Arial" w:hAnsi="Arial"/>
          <w:b/>
          <w:bCs/>
          <w:sz w:val="20"/>
          <w:szCs w:val="20"/>
          <w:lang w:val="en-US"/>
        </w:rPr>
        <w:t xml:space="preserve"> Date of last revision</w:t>
      </w:r>
      <w:r>
        <w:rPr>
          <w:rFonts w:ascii="Arial" w:hAnsi="Arial"/>
          <w:sz w:val="20"/>
          <w:szCs w:val="20"/>
          <w:lang w:val="en-US"/>
        </w:rPr>
        <w:t>: June 2018</w:t>
      </w:r>
      <w:r>
        <w:rPr>
          <w:rFonts w:ascii="Arial" w:hAnsi="Arial"/>
          <w:b/>
          <w:bCs/>
          <w:sz w:val="20"/>
          <w:szCs w:val="20"/>
        </w:rPr>
        <w:t xml:space="preserve"> </w:t>
      </w:r>
      <w:r>
        <w:rPr>
          <w:rFonts w:ascii="Arial" w:hAnsi="Arial"/>
          <w:sz w:val="20"/>
          <w:szCs w:val="20"/>
        </w:rPr>
        <w:t>1238AD</w:t>
      </w:r>
    </w:p>
    <w:p w14:paraId="577F0F84" w14:textId="77777777" w:rsidR="00BD2E13" w:rsidRDefault="00BD2E13" w:rsidP="00BD2E13">
      <w:pPr>
        <w:pStyle w:val="Body"/>
        <w:spacing w:after="0" w:line="240" w:lineRule="auto"/>
        <w:rPr>
          <w:b/>
          <w:bCs/>
          <w:sz w:val="20"/>
          <w:szCs w:val="20"/>
        </w:rPr>
      </w:pPr>
      <w:r>
        <w:rPr>
          <w:b/>
          <w:bCs/>
          <w:sz w:val="20"/>
          <w:szCs w:val="20"/>
          <w:lang w:val="en-US"/>
        </w:rPr>
        <w:t>Adverse events should be reported. Reporting forms and information can be found at www.mhra.gov.</w:t>
      </w:r>
    </w:p>
    <w:p w14:paraId="408325BA" w14:textId="77777777" w:rsidR="00BD2E13" w:rsidRDefault="00BD2E13" w:rsidP="00BD2E13">
      <w:pPr>
        <w:pStyle w:val="Body"/>
        <w:spacing w:after="0" w:line="240" w:lineRule="auto"/>
        <w:rPr>
          <w:b/>
          <w:bCs/>
          <w:sz w:val="24"/>
          <w:szCs w:val="24"/>
        </w:rPr>
      </w:pPr>
      <w:r>
        <w:rPr>
          <w:b/>
          <w:bCs/>
          <w:sz w:val="20"/>
          <w:szCs w:val="20"/>
          <w:lang w:val="en-US"/>
        </w:rPr>
        <w:t>uk/yellowcard. Adverse events should also be reported to ALK-Abelló Ltd.</w:t>
      </w:r>
    </w:p>
    <w:p w14:paraId="024B2432" w14:textId="77777777" w:rsidR="00BD2E13" w:rsidRDefault="00BD2E13" w:rsidP="00BD2E13">
      <w:pPr>
        <w:pStyle w:val="Body"/>
      </w:pPr>
    </w:p>
    <w:p w14:paraId="17B83A8E" w14:textId="35B5021C" w:rsidR="00BD2E13" w:rsidRDefault="00BD2E13" w:rsidP="00BD2E13">
      <w:pPr>
        <w:pStyle w:val="Body"/>
      </w:pPr>
    </w:p>
    <w:sectPr w:rsidR="00BD2E13" w:rsidSect="00BD2E13">
      <w:headerReference w:type="default" r:id="rId14"/>
      <w:footerReference w:type="default" r:id="rId15"/>
      <w:headerReference w:type="first" r:id="rId16"/>
      <w:footerReference w:type="first" r:id="rId17"/>
      <w:pgSz w:w="11906" w:h="16838" w:code="9"/>
      <w:pgMar w:top="1440" w:right="1440" w:bottom="1440" w:left="1440" w:header="680"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1100" w14:textId="77777777" w:rsidR="00A44142" w:rsidRDefault="00A44142">
      <w:r>
        <w:separator/>
      </w:r>
    </w:p>
  </w:endnote>
  <w:endnote w:type="continuationSeparator" w:id="0">
    <w:p w14:paraId="76928DC2" w14:textId="77777777" w:rsidR="00A44142" w:rsidRDefault="00A4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o Tech Pro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5316" w14:textId="77777777" w:rsidR="007A2111" w:rsidRDefault="007A2111" w:rsidP="007A2111">
    <w:pPr>
      <w:pStyle w:val="Footer"/>
      <w:tabs>
        <w:tab w:val="clear" w:pos="4819"/>
        <w:tab w:val="clear" w:pos="9638"/>
        <w:tab w:val="right" w:pos="17010"/>
      </w:tabs>
    </w:pPr>
    <w:r>
      <w:rPr>
        <w:noProof/>
        <w:lang w:eastAsia="en-GB"/>
      </w:rPr>
      <w:drawing>
        <wp:anchor distT="0" distB="0" distL="0" distR="0" simplePos="0" relativeHeight="251662336" behindDoc="0" locked="0" layoutInCell="1" allowOverlap="1" wp14:anchorId="362A54D9" wp14:editId="1105EB37">
          <wp:simplePos x="0" y="0"/>
          <wp:positionH relativeFrom="page">
            <wp:posOffset>4833620</wp:posOffset>
          </wp:positionH>
          <wp:positionV relativeFrom="page">
            <wp:posOffset>10104120</wp:posOffset>
          </wp:positionV>
          <wp:extent cx="3139135" cy="391363"/>
          <wp:effectExtent l="0" t="0" r="0" b="0"/>
          <wp:wrapNone/>
          <wp:docPr id="2" name="cv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9135" cy="391363"/>
                  </a:xfrm>
                  <a:prstGeom prst="rect">
                    <a:avLst/>
                  </a:prstGeom>
                </pic:spPr>
              </pic:pic>
            </a:graphicData>
          </a:graphic>
        </wp:anchor>
      </w:drawing>
    </w:r>
    <w:r>
      <w:t>1395AD Date of preparation 14</w:t>
    </w:r>
    <w:r w:rsidRPr="00B5631C">
      <w:rPr>
        <w:vertAlign w:val="superscript"/>
      </w:rPr>
      <w:t>th</w:t>
    </w:r>
    <w:r>
      <w:t xml:space="preserve"> October 2019</w:t>
    </w:r>
  </w:p>
  <w:p w14:paraId="0E686448" w14:textId="77777777" w:rsidR="007A2111" w:rsidRDefault="007A2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6DAB" w14:textId="6F9145A6" w:rsidR="00B452DA" w:rsidRDefault="00173215" w:rsidP="00B452DA">
    <w:pPr>
      <w:pStyle w:val="Footer"/>
      <w:tabs>
        <w:tab w:val="clear" w:pos="4819"/>
        <w:tab w:val="clear" w:pos="9638"/>
        <w:tab w:val="right" w:pos="17010"/>
      </w:tabs>
    </w:pPr>
    <w:bookmarkStart w:id="11" w:name="_Hlk21929041"/>
    <w:bookmarkStart w:id="12" w:name="_Hlk21929042"/>
    <w:r>
      <w:rPr>
        <w:noProof/>
        <w:lang w:eastAsia="en-GB"/>
      </w:rPr>
      <w:drawing>
        <wp:anchor distT="0" distB="0" distL="0" distR="0" simplePos="0" relativeHeight="251655168" behindDoc="0" locked="0" layoutInCell="1" allowOverlap="1" wp14:anchorId="4C586DB2" wp14:editId="4C586DB3">
          <wp:simplePos x="0" y="0"/>
          <wp:positionH relativeFrom="page">
            <wp:posOffset>4833620</wp:posOffset>
          </wp:positionH>
          <wp:positionV relativeFrom="page">
            <wp:posOffset>10104120</wp:posOffset>
          </wp:positionV>
          <wp:extent cx="3139135" cy="391363"/>
          <wp:effectExtent l="0" t="0" r="0" b="0"/>
          <wp:wrapNone/>
          <wp:docPr id="5" name="cv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9135" cy="391363"/>
                  </a:xfrm>
                  <a:prstGeom prst="rect">
                    <a:avLst/>
                  </a:prstGeom>
                </pic:spPr>
              </pic:pic>
            </a:graphicData>
          </a:graphic>
        </wp:anchor>
      </w:drawing>
    </w:r>
    <w:r w:rsidR="00B5631C">
      <w:t>1395AD Date of preparation 14</w:t>
    </w:r>
    <w:r w:rsidR="00B5631C" w:rsidRPr="00B5631C">
      <w:rPr>
        <w:vertAlign w:val="superscript"/>
      </w:rPr>
      <w:t>th</w:t>
    </w:r>
    <w:r w:rsidR="00B5631C">
      <w:t xml:space="preserve"> October 2019</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4269E" w14:textId="77777777" w:rsidR="00A44142" w:rsidRDefault="00A44142">
      <w:r>
        <w:separator/>
      </w:r>
    </w:p>
  </w:footnote>
  <w:footnote w:type="continuationSeparator" w:id="0">
    <w:p w14:paraId="2A2CA933" w14:textId="77777777" w:rsidR="00A44142" w:rsidRDefault="00A4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6D9F" w14:textId="77777777" w:rsidR="00DB1256" w:rsidRDefault="00F349FF">
    <w:pPr>
      <w:pStyle w:val="Header"/>
    </w:pPr>
    <w:r>
      <w:rPr>
        <w:noProof/>
        <w:lang w:eastAsia="en-GB"/>
      </w:rPr>
      <w:drawing>
        <wp:anchor distT="0" distB="0" distL="114300" distR="114300" simplePos="0" relativeHeight="251660288" behindDoc="0" locked="0" layoutInCell="1" allowOverlap="1" wp14:anchorId="4C586DAC" wp14:editId="4C586DAD">
          <wp:simplePos x="0" y="0"/>
          <wp:positionH relativeFrom="page">
            <wp:posOffset>5624195</wp:posOffset>
          </wp:positionH>
          <wp:positionV relativeFrom="page">
            <wp:posOffset>558165</wp:posOffset>
          </wp:positionV>
          <wp:extent cx="1562400" cy="619200"/>
          <wp:effectExtent l="0" t="0" r="0" b="0"/>
          <wp:wrapNone/>
          <wp:docPr id="3" name="Logo_Blue_Hid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400" cy="619200"/>
                  </a:xfrm>
                  <a:prstGeom prst="rect">
                    <a:avLst/>
                  </a:prstGeom>
                </pic:spPr>
              </pic:pic>
            </a:graphicData>
          </a:graphic>
          <wp14:sizeRelH relativeFrom="margin">
            <wp14:pctWidth>0</wp14:pctWidth>
          </wp14:sizeRelH>
          <wp14:sizeRelV relativeFrom="margin">
            <wp14:pctHeight>0</wp14:pctHeight>
          </wp14:sizeRelV>
        </wp:anchor>
      </w:drawing>
    </w:r>
  </w:p>
  <w:p w14:paraId="4C586DA0" w14:textId="77777777" w:rsidR="00DB1256" w:rsidRDefault="00DB1256">
    <w:pPr>
      <w:pStyle w:val="Header"/>
    </w:pPr>
  </w:p>
  <w:p w14:paraId="4C586DA1" w14:textId="77777777" w:rsidR="00DB1256" w:rsidRDefault="00DB1256">
    <w:pPr>
      <w:pStyle w:val="Header"/>
    </w:pPr>
  </w:p>
  <w:p w14:paraId="4C586DA2" w14:textId="77777777" w:rsidR="00DB1256" w:rsidRDefault="00DB1256">
    <w:pPr>
      <w:pStyle w:val="Header"/>
    </w:pPr>
  </w:p>
  <w:p w14:paraId="4C586DA3" w14:textId="77777777" w:rsidR="00DB1256" w:rsidRDefault="00DB1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6DA8" w14:textId="77777777" w:rsidR="00DB1256" w:rsidRDefault="005315BD">
    <w:pPr>
      <w:pStyle w:val="Header"/>
    </w:pPr>
    <w:r>
      <w:rPr>
        <w:noProof/>
        <w:lang w:eastAsia="en-GB"/>
      </w:rPr>
      <w:drawing>
        <wp:anchor distT="0" distB="0" distL="0" distR="0" simplePos="0" relativeHeight="251657216" behindDoc="0" locked="0" layoutInCell="1" allowOverlap="1" wp14:anchorId="4C586DAE" wp14:editId="4C586DAF">
          <wp:simplePos x="0" y="0"/>
          <wp:positionH relativeFrom="page">
            <wp:posOffset>4499610</wp:posOffset>
          </wp:positionH>
          <wp:positionV relativeFrom="page">
            <wp:posOffset>1504315</wp:posOffset>
          </wp:positionV>
          <wp:extent cx="2560320" cy="1375258"/>
          <wp:effectExtent l="0" t="0" r="0" b="0"/>
          <wp:wrapNone/>
          <wp:docPr id="4" name="Addre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1375258"/>
                  </a:xfrm>
                  <a:prstGeom prst="rect">
                    <a:avLst/>
                  </a:prstGeom>
                </pic:spPr>
              </pic:pic>
            </a:graphicData>
          </a:graphic>
        </wp:anchor>
      </w:drawing>
    </w:r>
    <w:r w:rsidR="00F349FF">
      <w:rPr>
        <w:noProof/>
        <w:lang w:eastAsia="en-GB"/>
      </w:rPr>
      <w:drawing>
        <wp:anchor distT="0" distB="0" distL="114300" distR="114300" simplePos="0" relativeHeight="251658240" behindDoc="0" locked="0" layoutInCell="1" allowOverlap="1" wp14:anchorId="4C586DB0" wp14:editId="4C586DB1">
          <wp:simplePos x="0" y="0"/>
          <wp:positionH relativeFrom="page">
            <wp:posOffset>5624195</wp:posOffset>
          </wp:positionH>
          <wp:positionV relativeFrom="page">
            <wp:posOffset>558165</wp:posOffset>
          </wp:positionV>
          <wp:extent cx="1562400" cy="619200"/>
          <wp:effectExtent l="0" t="0" r="0" b="0"/>
          <wp:wrapNone/>
          <wp:docPr id="26" name="Logo_Blue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400" cy="619200"/>
                  </a:xfrm>
                  <a:prstGeom prst="rect">
                    <a:avLst/>
                  </a:prstGeom>
                </pic:spPr>
              </pic:pic>
            </a:graphicData>
          </a:graphic>
          <wp14:sizeRelH relativeFrom="margin">
            <wp14:pctWidth>0</wp14:pctWidth>
          </wp14:sizeRelH>
          <wp14:sizeRelV relativeFrom="margin">
            <wp14:pctHeight>0</wp14:pctHeight>
          </wp14:sizeRelV>
        </wp:anchor>
      </w:drawing>
    </w:r>
  </w:p>
  <w:p w14:paraId="4C586DA9" w14:textId="77777777" w:rsidR="00DB1256" w:rsidRDefault="00DB1256">
    <w:pPr>
      <w:pStyle w:val="Header"/>
    </w:pPr>
  </w:p>
  <w:p w14:paraId="4C586DAA" w14:textId="77777777" w:rsidR="00DB1256" w:rsidRDefault="00DB1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3EA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E3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D06B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38C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C05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06AE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0E3F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088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93317B6"/>
    <w:multiLevelType w:val="hybridMultilevel"/>
    <w:tmpl w:val="BCD85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C500083"/>
    <w:multiLevelType w:val="hybridMultilevel"/>
    <w:tmpl w:val="872E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E3B27"/>
    <w:multiLevelType w:val="multilevel"/>
    <w:tmpl w:val="C8F870D2"/>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15:restartNumberingAfterBreak="0">
    <w:nsid w:val="67131B00"/>
    <w:multiLevelType w:val="multilevel"/>
    <w:tmpl w:val="E3EEE450"/>
    <w:lvl w:ilvl="0">
      <w:start w:val="1"/>
      <w:numFmt w:val="decimal"/>
      <w:pStyle w:val="ListNumber"/>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4"/>
        </w:tabs>
        <w:ind w:left="1814" w:hanging="850"/>
      </w:pPr>
      <w:rPr>
        <w:rFonts w:hint="default"/>
      </w:rPr>
    </w:lvl>
    <w:lvl w:ilvl="3">
      <w:start w:val="1"/>
      <w:numFmt w:val="decimal"/>
      <w:lvlText w:val="%1.%2.%3.%4."/>
      <w:lvlJc w:val="left"/>
      <w:pPr>
        <w:tabs>
          <w:tab w:val="num" w:pos="2835"/>
        </w:tabs>
        <w:ind w:left="2835" w:hanging="1021"/>
      </w:pPr>
      <w:rPr>
        <w:rFonts w:hint="default"/>
      </w:rPr>
    </w:lvl>
    <w:lvl w:ilvl="4">
      <w:start w:val="1"/>
      <w:numFmt w:val="decimal"/>
      <w:lvlText w:val="%1.%2.%3.%4.%5."/>
      <w:lvlJc w:val="left"/>
      <w:pPr>
        <w:tabs>
          <w:tab w:val="num" w:pos="3119"/>
        </w:tabs>
        <w:ind w:left="3119" w:hanging="1305"/>
      </w:pPr>
      <w:rPr>
        <w:rFonts w:hint="default"/>
      </w:rPr>
    </w:lvl>
    <w:lvl w:ilvl="5">
      <w:start w:val="1"/>
      <w:numFmt w:val="decimal"/>
      <w:lvlText w:val="%1.%2.%3.%4.%5.%6."/>
      <w:lvlJc w:val="left"/>
      <w:pPr>
        <w:tabs>
          <w:tab w:val="num" w:pos="3402"/>
        </w:tabs>
        <w:ind w:left="3402" w:hanging="1588"/>
      </w:pPr>
      <w:rPr>
        <w:rFonts w:hint="default"/>
      </w:rPr>
    </w:lvl>
    <w:lvl w:ilvl="6">
      <w:start w:val="1"/>
      <w:numFmt w:val="decimal"/>
      <w:lvlText w:val="%1.%2.%3.%4.%5.%6.%7."/>
      <w:lvlJc w:val="left"/>
      <w:pPr>
        <w:tabs>
          <w:tab w:val="num" w:pos="3686"/>
        </w:tabs>
        <w:ind w:left="3686" w:hanging="1872"/>
      </w:pPr>
      <w:rPr>
        <w:rFonts w:hint="default"/>
      </w:rPr>
    </w:lvl>
    <w:lvl w:ilvl="7">
      <w:start w:val="1"/>
      <w:numFmt w:val="decimal"/>
      <w:lvlText w:val="%1.%2.%3.%4.%5.%6.%7.%8."/>
      <w:lvlJc w:val="left"/>
      <w:pPr>
        <w:tabs>
          <w:tab w:val="num" w:pos="3969"/>
        </w:tabs>
        <w:ind w:left="3969" w:hanging="2155"/>
      </w:pPr>
      <w:rPr>
        <w:rFonts w:hint="default"/>
      </w:rPr>
    </w:lvl>
    <w:lvl w:ilvl="8">
      <w:start w:val="1"/>
      <w:numFmt w:val="decimal"/>
      <w:lvlText w:val="%1.%2.%3.%4.%5.%6.%7.%8.%9."/>
      <w:lvlJc w:val="left"/>
      <w:pPr>
        <w:tabs>
          <w:tab w:val="num" w:pos="4253"/>
        </w:tabs>
        <w:ind w:left="4253" w:hanging="2439"/>
      </w:pPr>
      <w:rPr>
        <w:rFonts w:hint="default"/>
      </w:rPr>
    </w:lvl>
  </w:abstractNum>
  <w:abstractNum w:abstractNumId="12" w15:restartNumberingAfterBreak="0">
    <w:nsid w:val="6D8A0991"/>
    <w:multiLevelType w:val="hybridMultilevel"/>
    <w:tmpl w:val="7846B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1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BD"/>
    <w:rsid w:val="00010F12"/>
    <w:rsid w:val="0001434D"/>
    <w:rsid w:val="000164A8"/>
    <w:rsid w:val="0002474D"/>
    <w:rsid w:val="00061A4F"/>
    <w:rsid w:val="000637F3"/>
    <w:rsid w:val="000710FC"/>
    <w:rsid w:val="00072383"/>
    <w:rsid w:val="0007409D"/>
    <w:rsid w:val="000A49A5"/>
    <w:rsid w:val="000B4305"/>
    <w:rsid w:val="000B5221"/>
    <w:rsid w:val="000C3510"/>
    <w:rsid w:val="000F05C6"/>
    <w:rsid w:val="000F13E3"/>
    <w:rsid w:val="000F5D88"/>
    <w:rsid w:val="000F76D6"/>
    <w:rsid w:val="001011E9"/>
    <w:rsid w:val="0011076E"/>
    <w:rsid w:val="00113B7A"/>
    <w:rsid w:val="001361CF"/>
    <w:rsid w:val="001636E4"/>
    <w:rsid w:val="0017223D"/>
    <w:rsid w:val="00173215"/>
    <w:rsid w:val="001814A4"/>
    <w:rsid w:val="00183435"/>
    <w:rsid w:val="00185C00"/>
    <w:rsid w:val="001952EA"/>
    <w:rsid w:val="001A59EB"/>
    <w:rsid w:val="001A6989"/>
    <w:rsid w:val="001B737F"/>
    <w:rsid w:val="001C0026"/>
    <w:rsid w:val="001D017B"/>
    <w:rsid w:val="001E316C"/>
    <w:rsid w:val="001E7EA7"/>
    <w:rsid w:val="002169A6"/>
    <w:rsid w:val="002205C6"/>
    <w:rsid w:val="00220C8B"/>
    <w:rsid w:val="00224071"/>
    <w:rsid w:val="00225B3B"/>
    <w:rsid w:val="00227E8B"/>
    <w:rsid w:val="002568A1"/>
    <w:rsid w:val="00261221"/>
    <w:rsid w:val="002917FB"/>
    <w:rsid w:val="00294928"/>
    <w:rsid w:val="00296BEC"/>
    <w:rsid w:val="002A3129"/>
    <w:rsid w:val="002A3E1A"/>
    <w:rsid w:val="002B4B40"/>
    <w:rsid w:val="002D6922"/>
    <w:rsid w:val="00300FA8"/>
    <w:rsid w:val="00324110"/>
    <w:rsid w:val="0033697C"/>
    <w:rsid w:val="00357A48"/>
    <w:rsid w:val="003653FA"/>
    <w:rsid w:val="00365710"/>
    <w:rsid w:val="00393896"/>
    <w:rsid w:val="003A0C34"/>
    <w:rsid w:val="003A2DAB"/>
    <w:rsid w:val="003B4199"/>
    <w:rsid w:val="003B6A4C"/>
    <w:rsid w:val="003C3A22"/>
    <w:rsid w:val="003D469C"/>
    <w:rsid w:val="003E108D"/>
    <w:rsid w:val="003E78DF"/>
    <w:rsid w:val="003F2197"/>
    <w:rsid w:val="00411BC3"/>
    <w:rsid w:val="004145E9"/>
    <w:rsid w:val="00417118"/>
    <w:rsid w:val="00417B88"/>
    <w:rsid w:val="00443FCF"/>
    <w:rsid w:val="004644D9"/>
    <w:rsid w:val="0047328C"/>
    <w:rsid w:val="004A0928"/>
    <w:rsid w:val="004A5449"/>
    <w:rsid w:val="004B00CB"/>
    <w:rsid w:val="004B7203"/>
    <w:rsid w:val="004C48AC"/>
    <w:rsid w:val="004D29CE"/>
    <w:rsid w:val="004D57AC"/>
    <w:rsid w:val="004E3B08"/>
    <w:rsid w:val="004F7979"/>
    <w:rsid w:val="00506990"/>
    <w:rsid w:val="00521FD6"/>
    <w:rsid w:val="005315BD"/>
    <w:rsid w:val="00564CB1"/>
    <w:rsid w:val="00566F25"/>
    <w:rsid w:val="00567062"/>
    <w:rsid w:val="005859C3"/>
    <w:rsid w:val="005A069A"/>
    <w:rsid w:val="005A329A"/>
    <w:rsid w:val="005B1859"/>
    <w:rsid w:val="005B3B82"/>
    <w:rsid w:val="005F37DF"/>
    <w:rsid w:val="005F5FE6"/>
    <w:rsid w:val="006070F0"/>
    <w:rsid w:val="006416A7"/>
    <w:rsid w:val="00665A0F"/>
    <w:rsid w:val="00673D2A"/>
    <w:rsid w:val="006A7A54"/>
    <w:rsid w:val="006B169F"/>
    <w:rsid w:val="006B64CC"/>
    <w:rsid w:val="006C5B4C"/>
    <w:rsid w:val="006D73DA"/>
    <w:rsid w:val="006E5DCE"/>
    <w:rsid w:val="00706910"/>
    <w:rsid w:val="00707895"/>
    <w:rsid w:val="0071171C"/>
    <w:rsid w:val="00727A2B"/>
    <w:rsid w:val="00742944"/>
    <w:rsid w:val="00761C5B"/>
    <w:rsid w:val="00776BFB"/>
    <w:rsid w:val="00782CD7"/>
    <w:rsid w:val="007914EE"/>
    <w:rsid w:val="0079573D"/>
    <w:rsid w:val="007A2111"/>
    <w:rsid w:val="007B75D3"/>
    <w:rsid w:val="007C6A29"/>
    <w:rsid w:val="007D10BF"/>
    <w:rsid w:val="007D635B"/>
    <w:rsid w:val="007E76C2"/>
    <w:rsid w:val="007F0FA1"/>
    <w:rsid w:val="007F2D47"/>
    <w:rsid w:val="007F75D5"/>
    <w:rsid w:val="0081481E"/>
    <w:rsid w:val="00847633"/>
    <w:rsid w:val="008858C0"/>
    <w:rsid w:val="008A6ABF"/>
    <w:rsid w:val="008B591B"/>
    <w:rsid w:val="008C2759"/>
    <w:rsid w:val="008F552B"/>
    <w:rsid w:val="008F6B45"/>
    <w:rsid w:val="00902C9B"/>
    <w:rsid w:val="00915F47"/>
    <w:rsid w:val="00925C05"/>
    <w:rsid w:val="00926EBE"/>
    <w:rsid w:val="00940250"/>
    <w:rsid w:val="00965101"/>
    <w:rsid w:val="009715F4"/>
    <w:rsid w:val="00980FAE"/>
    <w:rsid w:val="00993F86"/>
    <w:rsid w:val="009D4CBF"/>
    <w:rsid w:val="009E3222"/>
    <w:rsid w:val="009F0B31"/>
    <w:rsid w:val="00A105F1"/>
    <w:rsid w:val="00A12E41"/>
    <w:rsid w:val="00A348A2"/>
    <w:rsid w:val="00A400B6"/>
    <w:rsid w:val="00A44142"/>
    <w:rsid w:val="00A62B25"/>
    <w:rsid w:val="00A8266F"/>
    <w:rsid w:val="00AE393A"/>
    <w:rsid w:val="00AE5CCD"/>
    <w:rsid w:val="00AF3B19"/>
    <w:rsid w:val="00AF4C0C"/>
    <w:rsid w:val="00B13889"/>
    <w:rsid w:val="00B14609"/>
    <w:rsid w:val="00B209B3"/>
    <w:rsid w:val="00B2172E"/>
    <w:rsid w:val="00B21B51"/>
    <w:rsid w:val="00B42A68"/>
    <w:rsid w:val="00B452DA"/>
    <w:rsid w:val="00B53DB1"/>
    <w:rsid w:val="00B5631C"/>
    <w:rsid w:val="00B60673"/>
    <w:rsid w:val="00B615A8"/>
    <w:rsid w:val="00B619D5"/>
    <w:rsid w:val="00B7475A"/>
    <w:rsid w:val="00B7514F"/>
    <w:rsid w:val="00B87F47"/>
    <w:rsid w:val="00BA15F5"/>
    <w:rsid w:val="00BA1849"/>
    <w:rsid w:val="00BC46D5"/>
    <w:rsid w:val="00BD2E13"/>
    <w:rsid w:val="00BD36C0"/>
    <w:rsid w:val="00BD6185"/>
    <w:rsid w:val="00BE21F6"/>
    <w:rsid w:val="00BE23B0"/>
    <w:rsid w:val="00C248A1"/>
    <w:rsid w:val="00C56EC9"/>
    <w:rsid w:val="00C57054"/>
    <w:rsid w:val="00C57BE3"/>
    <w:rsid w:val="00C64DF2"/>
    <w:rsid w:val="00C65751"/>
    <w:rsid w:val="00C7010D"/>
    <w:rsid w:val="00C737FF"/>
    <w:rsid w:val="00C90C8D"/>
    <w:rsid w:val="00C960FC"/>
    <w:rsid w:val="00C966C9"/>
    <w:rsid w:val="00CB16E1"/>
    <w:rsid w:val="00CB1829"/>
    <w:rsid w:val="00CB582E"/>
    <w:rsid w:val="00CC4A78"/>
    <w:rsid w:val="00CC5FAF"/>
    <w:rsid w:val="00CD25D9"/>
    <w:rsid w:val="00CF0480"/>
    <w:rsid w:val="00D00B3B"/>
    <w:rsid w:val="00D02C7B"/>
    <w:rsid w:val="00D06682"/>
    <w:rsid w:val="00D14B34"/>
    <w:rsid w:val="00D32C42"/>
    <w:rsid w:val="00D34258"/>
    <w:rsid w:val="00D473CC"/>
    <w:rsid w:val="00D509EB"/>
    <w:rsid w:val="00D7376F"/>
    <w:rsid w:val="00D73867"/>
    <w:rsid w:val="00D807F6"/>
    <w:rsid w:val="00D80D3C"/>
    <w:rsid w:val="00D86CCD"/>
    <w:rsid w:val="00D87EDB"/>
    <w:rsid w:val="00D90F82"/>
    <w:rsid w:val="00D93351"/>
    <w:rsid w:val="00DB08DD"/>
    <w:rsid w:val="00DB1256"/>
    <w:rsid w:val="00DB2ACC"/>
    <w:rsid w:val="00DD62C0"/>
    <w:rsid w:val="00E045CC"/>
    <w:rsid w:val="00E13CC5"/>
    <w:rsid w:val="00E20669"/>
    <w:rsid w:val="00E34E5E"/>
    <w:rsid w:val="00E37379"/>
    <w:rsid w:val="00E40BA5"/>
    <w:rsid w:val="00E42E50"/>
    <w:rsid w:val="00E4323C"/>
    <w:rsid w:val="00E46004"/>
    <w:rsid w:val="00E54D56"/>
    <w:rsid w:val="00E56AA0"/>
    <w:rsid w:val="00E65597"/>
    <w:rsid w:val="00E65641"/>
    <w:rsid w:val="00E67EC6"/>
    <w:rsid w:val="00E71965"/>
    <w:rsid w:val="00E74474"/>
    <w:rsid w:val="00E77013"/>
    <w:rsid w:val="00E83C40"/>
    <w:rsid w:val="00E95BD1"/>
    <w:rsid w:val="00EB0327"/>
    <w:rsid w:val="00EB25EC"/>
    <w:rsid w:val="00EB58B6"/>
    <w:rsid w:val="00EC2D07"/>
    <w:rsid w:val="00EC4501"/>
    <w:rsid w:val="00EC6034"/>
    <w:rsid w:val="00ED2C57"/>
    <w:rsid w:val="00ED60FD"/>
    <w:rsid w:val="00F03562"/>
    <w:rsid w:val="00F2386B"/>
    <w:rsid w:val="00F27442"/>
    <w:rsid w:val="00F349FF"/>
    <w:rsid w:val="00F3572E"/>
    <w:rsid w:val="00F3583C"/>
    <w:rsid w:val="00F3794B"/>
    <w:rsid w:val="00F47847"/>
    <w:rsid w:val="00F51BC5"/>
    <w:rsid w:val="00F6168C"/>
    <w:rsid w:val="00F77AC4"/>
    <w:rsid w:val="00F87ED6"/>
    <w:rsid w:val="00F90801"/>
    <w:rsid w:val="00F93192"/>
    <w:rsid w:val="00F95299"/>
    <w:rsid w:val="00FA19D2"/>
    <w:rsid w:val="00FB7DA4"/>
    <w:rsid w:val="00FC4815"/>
    <w:rsid w:val="00FE0E1C"/>
    <w:rsid w:val="00FE2AB6"/>
    <w:rsid w:val="00FE394F"/>
    <w:rsid w:val="00FE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86C9C"/>
  <w15:docId w15:val="{D1FD40D4-1FFC-4F3D-9B99-3C8A19B0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5" w:unhideWhenUsed="1"/>
    <w:lsdException w:name="index 2" w:semiHidden="1" w:uiPriority="5" w:unhideWhenUsed="1"/>
    <w:lsdException w:name="index 3" w:semiHidden="1" w:uiPriority="5" w:unhideWhenUsed="1"/>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iPriority="3" w:unhideWhenUsed="1"/>
    <w:lsdException w:name="footnote text" w:semiHidden="1" w:uiPriority="3" w:unhideWhenUsed="1"/>
    <w:lsdException w:name="annotation text" w:semiHidden="1" w:uiPriority="3" w:unhideWhenUsed="1"/>
    <w:lsdException w:name="header" w:semiHidden="1" w:unhideWhenUsed="1"/>
    <w:lsdException w:name="footer" w:semiHidden="1" w:unhideWhenUsed="1"/>
    <w:lsdException w:name="index heading" w:semiHidden="1" w:uiPriority="5" w:unhideWhenUsed="1"/>
    <w:lsdException w:name="caption" w:semiHidden="1" w:uiPriority="35" w:unhideWhenUsed="1" w:qFormat="1"/>
    <w:lsdException w:name="table of figures" w:semiHidden="1" w:uiPriority="3" w:unhideWhenUsed="1"/>
    <w:lsdException w:name="envelope address" w:semiHidden="1" w:uiPriority="3" w:unhideWhenUsed="1"/>
    <w:lsdException w:name="envelope return" w:semiHidden="1" w:uiPriority="3" w:unhideWhenUsed="1"/>
    <w:lsdException w:name="footnote reference" w:semiHidden="1" w:uiPriority="3" w:unhideWhenUsed="1"/>
    <w:lsdException w:name="annotation reference" w:semiHidden="1" w:uiPriority="3" w:unhideWhenUsed="1"/>
    <w:lsdException w:name="line number" w:semiHidden="1" w:uiPriority="5"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iPriority="3" w:unhideWhenUsed="1"/>
    <w:lsdException w:name="macro" w:semiHidden="1" w:uiPriority="2" w:unhideWhenUsed="1"/>
    <w:lsdException w:name="toa heading" w:semiHidden="1" w:uiPriority="3" w:unhideWhenUsed="1"/>
    <w:lsdException w:name="List" w:semiHidden="1" w:uiPriority="5" w:unhideWhenUsed="1"/>
    <w:lsdException w:name="List Bullet" w:semiHidden="1" w:uiPriority="2" w:unhideWhenUsed="1" w:qFormat="1"/>
    <w:lsdException w:name="List Number" w:uiPriority="2" w:qFormat="1"/>
    <w:lsdException w:name="List 2" w:semiHidden="1" w:uiPriority="5" w:unhideWhenUsed="1"/>
    <w:lsdException w:name="List 3" w:semiHidden="1" w:uiPriority="5" w:unhideWhenUsed="1"/>
    <w:lsdException w:name="List 4" w:semiHidden="1" w:uiPriority="5"/>
    <w:lsdException w:name="List 5" w:semiHidden="1" w:uiPriority="5"/>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semiHidden="1" w:uiPriority="3" w:qFormat="1"/>
    <w:lsdException w:name="Closing" w:semiHidden="1" w:uiPriority="3" w:unhideWhenUsed="1"/>
    <w:lsdException w:name="Signature" w:semiHidden="1" w:uiPriority="3" w:unhideWhenUsed="1"/>
    <w:lsdException w:name="Default Paragraph Font" w:semiHidden="1" w:unhideWhenUsed="1"/>
    <w:lsdException w:name="Body Text" w:semiHidden="1" w:unhideWhenUsed="1"/>
    <w:lsdException w:name="Body Text Indent" w:semiHidden="1" w:uiPriority="3"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uiPriority="2" w:unhideWhenUsed="1"/>
    <w:lsdException w:name="Subtitle" w:semiHidden="1" w:uiPriority="3" w:qFormat="1"/>
    <w:lsdException w:name="Salutation" w:semiHidden="1" w:uiPriority="3"/>
    <w:lsdException w:name="Date" w:semiHidden="1" w:uiPriority="3"/>
    <w:lsdException w:name="Body Text First Indent" w:semiHidden="1" w:uiPriority="3"/>
    <w:lsdException w:name="Body Text First Indent 2" w:semiHidden="1" w:uiPriority="3" w:unhideWhenUsed="1"/>
    <w:lsdException w:name="Note Heading" w:semiHidden="1" w:uiPriority="3"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iPriority="3" w:unhideWhenUsed="1"/>
    <w:lsdException w:name="Hyperlink" w:semiHidden="1" w:uiPriority="99" w:unhideWhenUsed="1"/>
    <w:lsdException w:name="FollowedHyperlink" w:semiHidden="1" w:unhideWhenUsed="1"/>
    <w:lsdException w:name="Strong" w:semiHidden="1" w:uiPriority="3" w:qFormat="1"/>
    <w:lsdException w:name="Emphasis" w:semiHidden="1" w:uiPriority="3" w:qFormat="1"/>
    <w:lsdException w:name="Document Map" w:semiHidden="1" w:uiPriority="3" w:unhideWhenUsed="1"/>
    <w:lsdException w:name="Plain Text" w:semiHidden="1" w:uiPriority="3" w:unhideWhenUsed="1"/>
    <w:lsdException w:name="E-mail Signature" w:semiHidden="1" w:uiPriority="3" w:unhideWhenUsed="1"/>
    <w:lsdException w:name="HTML Top of Form" w:semiHidden="1" w:unhideWhenUsed="1"/>
    <w:lsdException w:name="HTML Bottom of Form" w:semiHidden="1" w:unhideWhenUsed="1"/>
    <w:lsdException w:name="Normal (Web)" w:semiHidden="1" w:uiPriority="3"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annotation subject" w:semiHidden="1" w:uiPriority="3"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3" w:unhideWhenUsed="1"/>
    <w:lsdException w:name="Table Grid" w:uiPriority="39"/>
    <w:lsdException w:name="Placeholder Text" w:semiHidden="1" w:uiPriority="99"/>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60FC"/>
    <w:rPr>
      <w:rFonts w:ascii="Arial" w:hAnsi="Arial"/>
      <w:szCs w:val="24"/>
      <w:lang w:val="en-GB" w:eastAsia="da-DK"/>
    </w:rPr>
  </w:style>
  <w:style w:type="paragraph" w:styleId="Heading1">
    <w:name w:val="heading 1"/>
    <w:basedOn w:val="Normal"/>
    <w:next w:val="Normal"/>
    <w:uiPriority w:val="1"/>
    <w:qFormat/>
    <w:rsid w:val="00BC46D5"/>
    <w:pPr>
      <w:keepNext/>
      <w:spacing w:before="280"/>
      <w:outlineLvl w:val="0"/>
    </w:pPr>
    <w:rPr>
      <w:rFonts w:cs="Arial"/>
      <w:bCs/>
      <w:sz w:val="24"/>
      <w:szCs w:val="32"/>
    </w:rPr>
  </w:style>
  <w:style w:type="paragraph" w:styleId="Heading2">
    <w:name w:val="heading 2"/>
    <w:basedOn w:val="Normal"/>
    <w:next w:val="Normal"/>
    <w:uiPriority w:val="1"/>
    <w:qFormat/>
    <w:rsid w:val="00BC46D5"/>
    <w:pPr>
      <w:keepNext/>
      <w:spacing w:before="280"/>
      <w:outlineLvl w:val="1"/>
    </w:pPr>
    <w:rPr>
      <w:rFonts w:cs="Arial"/>
      <w:b/>
      <w:bCs/>
      <w:iCs/>
      <w:szCs w:val="28"/>
    </w:rPr>
  </w:style>
  <w:style w:type="paragraph" w:styleId="Heading3">
    <w:name w:val="heading 3"/>
    <w:basedOn w:val="Normal"/>
    <w:next w:val="Normal"/>
    <w:uiPriority w:val="1"/>
    <w:qFormat/>
    <w:rsid w:val="00BC46D5"/>
    <w:pPr>
      <w:keepNext/>
      <w:spacing w:before="2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37DF"/>
    <w:rPr>
      <w:rFonts w:ascii="Times New Roman" w:hAnsi="Times New Roman"/>
      <w:color w:val="auto"/>
      <w:u w:val="none"/>
    </w:rPr>
  </w:style>
  <w:style w:type="character" w:styleId="FollowedHyperlink">
    <w:name w:val="FollowedHyperlink"/>
    <w:basedOn w:val="DefaultParagraphFont"/>
    <w:uiPriority w:val="3"/>
    <w:semiHidden/>
    <w:rsid w:val="005F37DF"/>
    <w:rPr>
      <w:rFonts w:ascii="Verdana" w:hAnsi="Verdana"/>
      <w:color w:val="auto"/>
      <w:u w:val="none"/>
    </w:rPr>
  </w:style>
  <w:style w:type="paragraph" w:customStyle="1" w:styleId="Normal-UserandDocinfo">
    <w:name w:val="Normal - User and Doc info"/>
    <w:basedOn w:val="Normal"/>
    <w:uiPriority w:val="2"/>
    <w:semiHidden/>
    <w:rsid w:val="00D86CCD"/>
    <w:pPr>
      <w:tabs>
        <w:tab w:val="left" w:pos="284"/>
      </w:tabs>
      <w:spacing w:line="200" w:lineRule="atLeast"/>
    </w:pPr>
    <w:rPr>
      <w:sz w:val="17"/>
    </w:rPr>
  </w:style>
  <w:style w:type="paragraph" w:customStyle="1" w:styleId="Normal-Name">
    <w:name w:val="Normal - Name"/>
    <w:basedOn w:val="Normal"/>
    <w:uiPriority w:val="2"/>
    <w:semiHidden/>
    <w:rsid w:val="00D86CCD"/>
    <w:pPr>
      <w:spacing w:line="200" w:lineRule="atLeast"/>
    </w:pPr>
    <w:rPr>
      <w:b/>
      <w:sz w:val="17"/>
    </w:rPr>
  </w:style>
  <w:style w:type="paragraph" w:styleId="Header">
    <w:name w:val="header"/>
    <w:basedOn w:val="Normal"/>
    <w:uiPriority w:val="3"/>
    <w:semiHidden/>
    <w:rsid w:val="00CB16E1"/>
    <w:pPr>
      <w:tabs>
        <w:tab w:val="center" w:pos="4819"/>
        <w:tab w:val="right" w:pos="9638"/>
      </w:tabs>
    </w:pPr>
  </w:style>
  <w:style w:type="paragraph" w:styleId="Footer">
    <w:name w:val="footer"/>
    <w:basedOn w:val="Normal"/>
    <w:uiPriority w:val="3"/>
    <w:semiHidden/>
    <w:rsid w:val="00CB16E1"/>
    <w:pPr>
      <w:tabs>
        <w:tab w:val="center" w:pos="4819"/>
        <w:tab w:val="right" w:pos="9638"/>
      </w:tabs>
    </w:pPr>
  </w:style>
  <w:style w:type="table" w:styleId="TableGrid">
    <w:name w:val="Table Grid"/>
    <w:basedOn w:val="TableNormal"/>
    <w:uiPriority w:val="39"/>
    <w:rsid w:val="00CB16E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cHeading">
    <w:name w:val="Normal - Doc Heading"/>
    <w:basedOn w:val="Normal"/>
    <w:uiPriority w:val="2"/>
    <w:semiHidden/>
    <w:rsid w:val="00CB16E1"/>
    <w:rPr>
      <w:b/>
    </w:rPr>
  </w:style>
  <w:style w:type="character" w:styleId="PageNumber">
    <w:name w:val="page number"/>
    <w:basedOn w:val="DefaultParagraphFont"/>
    <w:uiPriority w:val="3"/>
    <w:semiHidden/>
    <w:rsid w:val="00D86CCD"/>
    <w:rPr>
      <w:rFonts w:ascii="Arial" w:hAnsi="Arial"/>
      <w:sz w:val="17"/>
    </w:rPr>
  </w:style>
  <w:style w:type="paragraph" w:customStyle="1" w:styleId="Normal-City">
    <w:name w:val="Normal - City"/>
    <w:basedOn w:val="Normal-UserandDocinfo"/>
    <w:uiPriority w:val="2"/>
    <w:semiHidden/>
    <w:rsid w:val="00782CD7"/>
    <w:pPr>
      <w:spacing w:line="248" w:lineRule="atLeast"/>
    </w:pPr>
  </w:style>
  <w:style w:type="paragraph" w:customStyle="1" w:styleId="Normal-Useranddocinfor">
    <w:name w:val="Normal - User and doc infor"/>
    <w:basedOn w:val="Normal"/>
    <w:uiPriority w:val="2"/>
    <w:semiHidden/>
    <w:rsid w:val="004644D9"/>
    <w:pPr>
      <w:tabs>
        <w:tab w:val="left" w:pos="284"/>
      </w:tabs>
      <w:spacing w:line="240" w:lineRule="atLeast"/>
    </w:pPr>
    <w:rPr>
      <w:sz w:val="18"/>
    </w:rPr>
  </w:style>
  <w:style w:type="paragraph" w:styleId="ListBullet">
    <w:name w:val="List Bullet"/>
    <w:basedOn w:val="Normal"/>
    <w:uiPriority w:val="2"/>
    <w:qFormat/>
    <w:rsid w:val="00673D2A"/>
    <w:pPr>
      <w:numPr>
        <w:numId w:val="1"/>
      </w:numPr>
      <w:contextualSpacing/>
    </w:pPr>
  </w:style>
  <w:style w:type="paragraph" w:styleId="ListNumber">
    <w:name w:val="List Number"/>
    <w:basedOn w:val="Normal"/>
    <w:uiPriority w:val="2"/>
    <w:qFormat/>
    <w:rsid w:val="00673D2A"/>
    <w:pPr>
      <w:numPr>
        <w:numId w:val="2"/>
      </w:numPr>
      <w:contextualSpacing/>
    </w:pPr>
  </w:style>
  <w:style w:type="paragraph" w:styleId="BodyText">
    <w:name w:val="Body Text"/>
    <w:basedOn w:val="Normal"/>
    <w:link w:val="BodyTextChar"/>
    <w:rsid w:val="00CC5FAF"/>
    <w:pPr>
      <w:spacing w:after="120"/>
    </w:pPr>
    <w:rPr>
      <w:sz w:val="22"/>
      <w:lang w:eastAsia="en-US"/>
    </w:rPr>
  </w:style>
  <w:style w:type="character" w:customStyle="1" w:styleId="BodyTextChar">
    <w:name w:val="Body Text Char"/>
    <w:basedOn w:val="DefaultParagraphFont"/>
    <w:link w:val="BodyText"/>
    <w:rsid w:val="00CC5FAF"/>
    <w:rPr>
      <w:rFonts w:ascii="Arial" w:hAnsi="Arial"/>
      <w:sz w:val="22"/>
      <w:szCs w:val="24"/>
      <w:lang w:val="en-GB"/>
    </w:rPr>
  </w:style>
  <w:style w:type="paragraph" w:styleId="Caption">
    <w:name w:val="caption"/>
    <w:basedOn w:val="Normal"/>
    <w:next w:val="Normal"/>
    <w:uiPriority w:val="35"/>
    <w:qFormat/>
    <w:rsid w:val="00CC5FAF"/>
    <w:pPr>
      <w:keepNext/>
      <w:spacing w:before="240" w:after="120"/>
    </w:pPr>
    <w:rPr>
      <w:b/>
      <w:bCs/>
      <w:szCs w:val="20"/>
      <w:lang w:eastAsia="en-US"/>
    </w:rPr>
  </w:style>
  <w:style w:type="paragraph" w:customStyle="1" w:styleId="Pa3">
    <w:name w:val="Pa3"/>
    <w:basedOn w:val="Normal"/>
    <w:next w:val="Normal"/>
    <w:uiPriority w:val="99"/>
    <w:rsid w:val="00173215"/>
    <w:pPr>
      <w:autoSpaceDE w:val="0"/>
      <w:autoSpaceDN w:val="0"/>
      <w:adjustRightInd w:val="0"/>
      <w:spacing w:line="201" w:lineRule="atLeast"/>
    </w:pPr>
    <w:rPr>
      <w:rFonts w:ascii="Neo Tech Pro Medium" w:eastAsiaTheme="minorHAnsi" w:hAnsi="Neo Tech Pro Medium" w:cstheme="minorBidi"/>
      <w:sz w:val="24"/>
      <w:lang w:eastAsia="en-US"/>
    </w:rPr>
  </w:style>
  <w:style w:type="character" w:customStyle="1" w:styleId="A3">
    <w:name w:val="A3"/>
    <w:uiPriority w:val="99"/>
    <w:rsid w:val="00173215"/>
    <w:rPr>
      <w:rFonts w:cs="Neo Tech Pro Medium"/>
      <w:color w:val="000000"/>
      <w:sz w:val="17"/>
      <w:szCs w:val="17"/>
    </w:rPr>
  </w:style>
  <w:style w:type="paragraph" w:customStyle="1" w:styleId="TableText1">
    <w:name w:val="TableText1"/>
    <w:basedOn w:val="Normal"/>
    <w:qFormat/>
    <w:rsid w:val="00B87F47"/>
    <w:rPr>
      <w:lang w:eastAsia="en-US"/>
    </w:rPr>
  </w:style>
  <w:style w:type="table" w:customStyle="1" w:styleId="TableGrid1">
    <w:name w:val="Table Grid1"/>
    <w:basedOn w:val="TableNormal"/>
    <w:next w:val="TableGrid"/>
    <w:uiPriority w:val="39"/>
    <w:rsid w:val="00B87F47"/>
    <w:rPr>
      <w:rFonts w:ascii="Arial" w:hAnsi="Arial"/>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Pr>
  </w:style>
  <w:style w:type="paragraph" w:customStyle="1" w:styleId="Body">
    <w:name w:val="Body"/>
    <w:rsid w:val="00BD2E1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eastAsia="en-GB"/>
    </w:rPr>
  </w:style>
  <w:style w:type="character" w:styleId="UnresolvedMention">
    <w:name w:val="Unresolved Mention"/>
    <w:basedOn w:val="DefaultParagraphFont"/>
    <w:uiPriority w:val="99"/>
    <w:semiHidden/>
    <w:unhideWhenUsed/>
    <w:rsid w:val="002A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x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luk\AppData\Local\Microsoft\Windows\INetCache\Content.Outlook\QV8ISOJH\www.jex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uk\AppData\Roaming\Microsoft\Templates\1%20Letter_SD.dotm" TargetMode="External"/></Relationships>
</file>

<file path=word/theme/theme1.xml><?xml version="1.0" encoding="utf-8"?>
<a:theme xmlns:a="http://schemas.openxmlformats.org/drawingml/2006/main" name="ALK-Abelló">
  <a:themeElements>
    <a:clrScheme name="Alk-Abello Corporate">
      <a:dk1>
        <a:srgbClr val="000000"/>
      </a:dk1>
      <a:lt1>
        <a:srgbClr val="FFFFFF"/>
      </a:lt1>
      <a:dk2>
        <a:srgbClr val="8C8C8C"/>
      </a:dk2>
      <a:lt2>
        <a:srgbClr val="002559"/>
      </a:lt2>
      <a:accent1>
        <a:srgbClr val="FF3317"/>
      </a:accent1>
      <a:accent2>
        <a:srgbClr val="BFBFBF"/>
      </a:accent2>
      <a:accent3>
        <a:srgbClr val="DFD6BC"/>
      </a:accent3>
      <a:accent4>
        <a:srgbClr val="B8C6B6"/>
      </a:accent4>
      <a:accent5>
        <a:srgbClr val="002559"/>
      </a:accent5>
      <a:accent6>
        <a:srgbClr val="8C8C8C"/>
      </a:accent6>
      <a:hlink>
        <a:srgbClr val="DFD6BC"/>
      </a:hlink>
      <a:folHlink>
        <a:srgbClr val="B8C6B6"/>
      </a:folHlink>
    </a:clrScheme>
    <a:fontScheme name="Alk Abell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24B702C95074897FA404D2D40F2B7" ma:contentTypeVersion="11" ma:contentTypeDescription="Create a new document." ma:contentTypeScope="" ma:versionID="a6624f87f9634c83352977ebf8553951">
  <xsd:schema xmlns:xsd="http://www.w3.org/2001/XMLSchema" xmlns:xs="http://www.w3.org/2001/XMLSchema" xmlns:p="http://schemas.microsoft.com/office/2006/metadata/properties" xmlns:ns3="ffc48772-40bf-46c7-9c86-01012ad59d50" xmlns:ns4="165bbb21-1e91-4bd6-b224-cd6dfa7e965f" targetNamespace="http://schemas.microsoft.com/office/2006/metadata/properties" ma:root="true" ma:fieldsID="413939f411c343028de1727dc0baa37c" ns3:_="" ns4:_="">
    <xsd:import namespace="ffc48772-40bf-46c7-9c86-01012ad59d50"/>
    <xsd:import namespace="165bbb21-1e91-4bd6-b224-cd6dfa7e96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48772-40bf-46c7-9c86-01012ad59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bbb21-1e91-4bd6-b224-cd6dfa7e96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67DD0-E655-4D66-BD0A-2EA8EF0D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48772-40bf-46c7-9c86-01012ad59d50"/>
    <ds:schemaRef ds:uri="165bbb21-1e91-4bd6-b224-cd6dfa7e9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3650C-D79F-4D32-B6DE-27E5631FB63B}">
  <ds:schemaRefs>
    <ds:schemaRef ds:uri="http://schemas.microsoft.com/sharepoint/v3/contenttype/forms"/>
  </ds:schemaRefs>
</ds:datastoreItem>
</file>

<file path=customXml/itemProps3.xml><?xml version="1.0" encoding="utf-8"?>
<ds:datastoreItem xmlns:ds="http://schemas.openxmlformats.org/officeDocument/2006/customXml" ds:itemID="{9DEB474E-60DB-4DCE-926F-837FF176C2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717B2F-3DBA-4AE1-9306-98B0CCC7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Letter_SD</Template>
  <TotalTime>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ALK-Abelló</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Kneen (MAKUK)</dc:creator>
  <cp:keywords/>
  <dc:description/>
  <cp:lastModifiedBy>Sarah Welbourne</cp:lastModifiedBy>
  <cp:revision>2</cp:revision>
  <cp:lastPrinted>2019-09-20T11:26:00Z</cp:lastPrinted>
  <dcterms:created xsi:type="dcterms:W3CDTF">2019-11-01T15:19:00Z</dcterms:created>
  <dcterms:modified xsi:type="dcterms:W3CDTF">2019-11-01T15:19:00Z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Language">
    <vt:lpwstr>English</vt:lpwstr>
  </property>
  <property fmtid="{D5CDD505-2E9C-101B-9397-08002B2CF9AE}" pid="3" name="CurrentUser">
    <vt:lpwstr>MHK2</vt:lpwstr>
  </property>
  <property fmtid="{D5CDD505-2E9C-101B-9397-08002B2CF9AE}" pid="4" name="CurrentOffice">
    <vt:lpwstr>Reading United Kingdom</vt:lpwstr>
  </property>
  <property fmtid="{D5CDD505-2E9C-101B-9397-08002B2CF9AE}" pid="5" name="CurrentPayOff">
    <vt:lpwstr/>
  </property>
  <property fmtid="{D5CDD505-2E9C-101B-9397-08002B2CF9AE}" pid="6" name="CurrentVisitingAddress">
    <vt:lpwstr>None</vt:lpwstr>
  </property>
  <property fmtid="{D5CDD505-2E9C-101B-9397-08002B2CF9AE}" pid="7" name="ContentTypeId">
    <vt:lpwstr>0x010100A7424B702C95074897FA404D2D40F2B7</vt:lpwstr>
  </property>
</Properties>
</file>