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AF87" w14:textId="09B8BED5" w:rsidR="003F6BA6" w:rsidRPr="005C38E9" w:rsidRDefault="00DE60EF" w:rsidP="38231052">
      <w:pPr>
        <w:spacing w:line="240" w:lineRule="auto"/>
        <w:rPr>
          <w:rFonts w:asciiTheme="minorHAnsi" w:hAnsiTheme="minorHAnsi"/>
          <w:b/>
          <w:bCs/>
          <w:color w:val="5B518E"/>
          <w:sz w:val="36"/>
          <w:szCs w:val="36"/>
        </w:rPr>
      </w:pPr>
      <w:r w:rsidRPr="38231052">
        <w:rPr>
          <w:rFonts w:asciiTheme="minorHAnsi" w:hAnsiTheme="minorHAnsi"/>
          <w:b/>
          <w:bCs/>
          <w:color w:val="5B518E"/>
          <w:sz w:val="36"/>
          <w:szCs w:val="36"/>
          <w:u w:val="single"/>
        </w:rPr>
        <w:t>Key</w:t>
      </w:r>
      <w:r w:rsidR="005C38E9" w:rsidRPr="38231052">
        <w:rPr>
          <w:rFonts w:asciiTheme="minorHAnsi" w:hAnsiTheme="minorHAnsi"/>
          <w:b/>
          <w:bCs/>
          <w:color w:val="5B518E"/>
          <w:sz w:val="36"/>
          <w:szCs w:val="36"/>
          <w:u w:val="single"/>
        </w:rPr>
        <w:t xml:space="preserve"> News and </w:t>
      </w:r>
      <w:r w:rsidR="71D23318" w:rsidRPr="38231052">
        <w:rPr>
          <w:rFonts w:asciiTheme="minorHAnsi" w:hAnsiTheme="minorHAnsi"/>
          <w:b/>
          <w:bCs/>
          <w:color w:val="5B518E"/>
          <w:sz w:val="36"/>
          <w:szCs w:val="36"/>
          <w:u w:val="single"/>
        </w:rPr>
        <w:t>Guidance for LPCs: COVID-19</w:t>
      </w:r>
      <w:r w:rsidR="71D23318" w:rsidRPr="38231052">
        <w:rPr>
          <w:rFonts w:asciiTheme="minorHAnsi" w:hAnsiTheme="minorHAnsi"/>
          <w:b/>
          <w:bCs/>
          <w:color w:val="5B518E"/>
          <w:sz w:val="36"/>
          <w:szCs w:val="36"/>
        </w:rPr>
        <w:t xml:space="preserve"> </w:t>
      </w:r>
      <w:r w:rsidR="005C38E9" w:rsidRPr="38231052">
        <w:rPr>
          <w:rFonts w:asciiTheme="minorHAnsi" w:hAnsiTheme="minorHAnsi"/>
          <w:b/>
          <w:bCs/>
          <w:color w:val="5B518E"/>
          <w:sz w:val="36"/>
          <w:szCs w:val="36"/>
        </w:rPr>
        <w:t xml:space="preserve"> </w:t>
      </w:r>
    </w:p>
    <w:p w14:paraId="7EF8291B" w14:textId="00308D8A" w:rsidR="0091158C" w:rsidRDefault="59E17E46" w:rsidP="38231052">
      <w:pPr>
        <w:spacing w:line="240" w:lineRule="auto"/>
        <w:ind w:left="7920"/>
        <w:jc w:val="both"/>
        <w:rPr>
          <w:rFonts w:asciiTheme="minorHAnsi" w:hAnsiTheme="minorHAnsi"/>
          <w:i/>
          <w:iCs/>
        </w:rPr>
      </w:pPr>
      <w:r w:rsidRPr="38231052">
        <w:rPr>
          <w:rFonts w:asciiTheme="minorHAnsi" w:hAnsiTheme="minorHAnsi"/>
          <w:i/>
          <w:iCs/>
        </w:rPr>
        <w:t xml:space="preserve">           Week ending 20</w:t>
      </w:r>
      <w:r w:rsidRPr="38231052">
        <w:rPr>
          <w:rFonts w:asciiTheme="minorHAnsi" w:hAnsiTheme="minorHAnsi"/>
          <w:i/>
          <w:iCs/>
          <w:vertAlign w:val="superscript"/>
        </w:rPr>
        <w:t>th</w:t>
      </w:r>
      <w:r w:rsidRPr="38231052">
        <w:rPr>
          <w:rFonts w:asciiTheme="minorHAnsi" w:hAnsiTheme="minorHAnsi"/>
          <w:i/>
          <w:iCs/>
        </w:rPr>
        <w:t xml:space="preserve"> March</w:t>
      </w:r>
    </w:p>
    <w:p w14:paraId="0C2A487D" w14:textId="77777777" w:rsidR="0091158C" w:rsidRPr="004C174F" w:rsidRDefault="0091158C" w:rsidP="146B1571">
      <w:pPr>
        <w:spacing w:line="240" w:lineRule="auto"/>
        <w:rPr>
          <w:rFonts w:asciiTheme="minorHAnsi" w:hAnsiTheme="minorHAnsi"/>
        </w:rPr>
      </w:pPr>
    </w:p>
    <w:p w14:paraId="64DEEE42" w14:textId="5B89F8D0" w:rsidR="4D0F10AE" w:rsidRDefault="4D0F10AE" w:rsidP="38231052">
      <w:pPr>
        <w:spacing w:line="240" w:lineRule="auto"/>
        <w:jc w:val="both"/>
        <w:rPr>
          <w:rFonts w:asciiTheme="minorHAnsi" w:hAnsiTheme="minorHAnsi"/>
          <w:b/>
          <w:bCs/>
          <w:color w:val="5B518E"/>
          <w:sz w:val="28"/>
          <w:szCs w:val="28"/>
        </w:rPr>
      </w:pPr>
      <w:r w:rsidRPr="38231052">
        <w:rPr>
          <w:rFonts w:asciiTheme="minorHAnsi" w:hAnsiTheme="minorHAnsi"/>
          <w:b/>
          <w:bCs/>
          <w:color w:val="5B518E"/>
          <w:sz w:val="28"/>
          <w:szCs w:val="28"/>
        </w:rPr>
        <w:t xml:space="preserve">COVID-19 </w:t>
      </w:r>
      <w:r w:rsidR="586F1398" w:rsidRPr="38231052">
        <w:rPr>
          <w:rFonts w:asciiTheme="minorHAnsi" w:hAnsiTheme="minorHAnsi"/>
          <w:b/>
          <w:bCs/>
          <w:color w:val="5B518E"/>
          <w:sz w:val="28"/>
          <w:szCs w:val="28"/>
        </w:rPr>
        <w:t xml:space="preserve"> </w:t>
      </w:r>
    </w:p>
    <w:p w14:paraId="05CAB7EF" w14:textId="03E8C4DA" w:rsidR="120F2CAF" w:rsidRDefault="120F2CAF" w:rsidP="38231052">
      <w:pPr>
        <w:spacing w:line="240" w:lineRule="auto"/>
        <w:jc w:val="both"/>
        <w:rPr>
          <w:rFonts w:ascii="Calibri" w:hAnsi="Calibri" w:cs="Calibri"/>
          <w:b/>
          <w:bCs/>
          <w:u w:val="single"/>
        </w:rPr>
      </w:pPr>
      <w:r w:rsidRPr="245DC633">
        <w:rPr>
          <w:rFonts w:ascii="Calibri" w:hAnsi="Calibri" w:cs="Calibri"/>
          <w:b/>
          <w:bCs/>
          <w:u w:val="single"/>
        </w:rPr>
        <w:t>COVID-19 update: PQS, pharmacy services and payments</w:t>
      </w:r>
    </w:p>
    <w:p w14:paraId="39168E52" w14:textId="70A47C6B" w:rsidR="120F2CAF" w:rsidRDefault="120F2CAF" w:rsidP="245DC633">
      <w:pPr>
        <w:spacing w:line="240" w:lineRule="auto"/>
        <w:jc w:val="both"/>
        <w:rPr>
          <w:color w:val="7030A0"/>
        </w:rPr>
      </w:pPr>
      <w:r w:rsidRPr="245DC633">
        <w:rPr>
          <w:rFonts w:ascii="Calibri" w:hAnsi="Calibri" w:cs="Calibri"/>
        </w:rPr>
        <w:t xml:space="preserve">This PSNC update sets out a number of new measures (including the postponement of the Pharmacy Quality Scheme (PQS)) that have been agreed to support community pharmacies as they respond to the COVID-19 pandemic, as well as the new services that are under discussion and the support that PSNC is asking the Government for. This is available at: </w:t>
      </w:r>
      <w:hyperlink r:id="rId11">
        <w:r w:rsidRPr="245DC633">
          <w:rPr>
            <w:rStyle w:val="Hyperlink"/>
            <w:rFonts w:ascii="Calibri" w:hAnsi="Calibri" w:cs="Calibri"/>
            <w:color w:val="7030A0"/>
          </w:rPr>
          <w:t>https://psnc.org.uk/our-news/covid-19-update-pqs-pharmacy-services-and-payments/</w:t>
        </w:r>
      </w:hyperlink>
    </w:p>
    <w:p w14:paraId="33088B55" w14:textId="6A43E136" w:rsidR="38231052" w:rsidRDefault="38231052" w:rsidP="38231052">
      <w:pPr>
        <w:spacing w:line="240" w:lineRule="auto"/>
        <w:jc w:val="both"/>
        <w:rPr>
          <w:rFonts w:ascii="Calibri" w:hAnsi="Calibri" w:cs="Calibri"/>
          <w:b/>
          <w:bCs/>
          <w:u w:val="single"/>
        </w:rPr>
      </w:pPr>
    </w:p>
    <w:p w14:paraId="1C807FAF" w14:textId="1470CC69" w:rsidR="29250B2B" w:rsidRDefault="29250B2B" w:rsidP="38231052">
      <w:pPr>
        <w:spacing w:line="240" w:lineRule="auto"/>
        <w:jc w:val="both"/>
        <w:rPr>
          <w:rFonts w:ascii="Calibri" w:hAnsi="Calibri" w:cs="Calibri"/>
          <w:b/>
          <w:bCs/>
          <w:u w:val="single"/>
        </w:rPr>
      </w:pPr>
      <w:r w:rsidRPr="245DC633">
        <w:rPr>
          <w:rFonts w:ascii="Calibri" w:hAnsi="Calibri" w:cs="Calibri"/>
          <w:b/>
          <w:bCs/>
          <w:u w:val="single"/>
        </w:rPr>
        <w:t>Letter from the Chief Pharmaceutical Officer</w:t>
      </w:r>
    </w:p>
    <w:p w14:paraId="4808836E" w14:textId="793338E3" w:rsidR="29250B2B" w:rsidRDefault="29250B2B" w:rsidP="245DC633">
      <w:pPr>
        <w:spacing w:line="240" w:lineRule="auto"/>
        <w:jc w:val="both"/>
      </w:pPr>
      <w:r w:rsidRPr="245DC633">
        <w:rPr>
          <w:rFonts w:ascii="Calibri" w:hAnsi="Calibri" w:cs="Calibri"/>
        </w:rPr>
        <w:t>This is the second of a series of regular updates from Keith Ridge, Chief Pharmaceutical Officer, to community pharmacy regarding the emerging COVID-19 situation. This is available here:</w:t>
      </w:r>
      <w:r w:rsidR="177BBF8B" w:rsidRPr="245DC633">
        <w:rPr>
          <w:rFonts w:ascii="Calibri" w:hAnsi="Calibri" w:cs="Calibri"/>
        </w:rPr>
        <w:t xml:space="preserve"> </w:t>
      </w:r>
      <w:hyperlink r:id="rId12">
        <w:r w:rsidRPr="245DC633">
          <w:rPr>
            <w:rStyle w:val="Hyperlink"/>
            <w:rFonts w:ascii="Calibri" w:hAnsi="Calibri" w:cs="Calibri"/>
            <w:color w:val="7030A0"/>
          </w:rPr>
          <w:t>https://www.england.nhs.uk/coronavirus/wp-content/uploads/sites/52/2020/03/preparedness-letter_primary-care_community-pharmacy-19-march-2020.pdf</w:t>
        </w:r>
      </w:hyperlink>
    </w:p>
    <w:p w14:paraId="7F493CA6" w14:textId="146F92CC" w:rsidR="245DC633" w:rsidRDefault="245DC633" w:rsidP="245DC633">
      <w:pPr>
        <w:spacing w:line="240" w:lineRule="auto"/>
        <w:jc w:val="both"/>
        <w:rPr>
          <w:rFonts w:ascii="Calibri" w:hAnsi="Calibri" w:cs="Calibri"/>
          <w:color w:val="7030A0"/>
        </w:rPr>
      </w:pPr>
    </w:p>
    <w:p w14:paraId="04EAC167" w14:textId="3CE3317A" w:rsidR="002A5AD5" w:rsidRDefault="33512735" w:rsidP="002A5AD5">
      <w:pPr>
        <w:spacing w:line="240" w:lineRule="auto"/>
        <w:jc w:val="both"/>
        <w:rPr>
          <w:rFonts w:ascii="Calibri" w:hAnsi="Calibri" w:cs="Calibri"/>
          <w:b/>
          <w:bCs/>
          <w:u w:val="single"/>
        </w:rPr>
      </w:pPr>
      <w:r w:rsidRPr="33512735">
        <w:rPr>
          <w:rFonts w:ascii="Calibri" w:hAnsi="Calibri" w:cs="Calibri"/>
          <w:b/>
          <w:bCs/>
          <w:u w:val="single"/>
        </w:rPr>
        <w:t>Pharmacy staff included in Government’s list of key worker</w:t>
      </w:r>
      <w:r w:rsidR="006965A9">
        <w:rPr>
          <w:rFonts w:ascii="Calibri" w:hAnsi="Calibri" w:cs="Calibri"/>
          <w:b/>
          <w:bCs/>
          <w:u w:val="single"/>
        </w:rPr>
        <w:t>s</w:t>
      </w:r>
    </w:p>
    <w:p w14:paraId="3D0A4AFC" w14:textId="4EEB72B9" w:rsidR="002A5AD5" w:rsidRDefault="33512735" w:rsidP="002A5AD5">
      <w:pPr>
        <w:spacing w:line="240" w:lineRule="auto"/>
        <w:jc w:val="both"/>
        <w:rPr>
          <w:rStyle w:val="Hyperlink"/>
          <w:rFonts w:ascii="Calibri" w:hAnsi="Calibri" w:cs="Calibri"/>
          <w:color w:val="7030A0"/>
        </w:rPr>
      </w:pPr>
      <w:r w:rsidRPr="33512735">
        <w:rPr>
          <w:rFonts w:ascii="Calibri" w:hAnsi="Calibri" w:cs="Calibri"/>
        </w:rPr>
        <w:t>The Government has announced that schools in England will be closed from the end of today (Friday 20th March) for all but a limited number of children. Schools have been asked to continue to provide care for children who are vulnerable and children whose parents are critical to the COVID-19 response and cannot safely be cared for at home. Key workers include all staff working in community pharmacies, pharmacy contractors’ head office staff, delivery drivers, volunteers, as well as those involved in the manufacturing, assembly and delivery of medicines for supply by community pharmacies, such as staff working for pharmaceutical wholesalers. To read more, and for a template letter to issue to pharmacy staff, see here:</w:t>
      </w:r>
      <w:r w:rsidRPr="33512735">
        <w:rPr>
          <w:rFonts w:ascii="Calibri" w:hAnsi="Calibri" w:cs="Calibri"/>
          <w:color w:val="7030A0"/>
        </w:rPr>
        <w:t xml:space="preserve"> </w:t>
      </w:r>
      <w:hyperlink r:id="rId13">
        <w:r w:rsidRPr="33512735">
          <w:rPr>
            <w:rStyle w:val="Hyperlink"/>
            <w:rFonts w:ascii="Calibri" w:hAnsi="Calibri" w:cs="Calibri"/>
            <w:color w:val="7030A0"/>
          </w:rPr>
          <w:t>https://psnc.org.uk/our-news/pharmacy-staff-included-in-government-list-of-key-workers/</w:t>
        </w:r>
      </w:hyperlink>
    </w:p>
    <w:p w14:paraId="399D007E" w14:textId="4BB56C78" w:rsidR="002A5AD5" w:rsidRDefault="002A5AD5" w:rsidP="002A5AD5">
      <w:pPr>
        <w:spacing w:line="240" w:lineRule="auto"/>
        <w:jc w:val="both"/>
        <w:rPr>
          <w:rStyle w:val="Hyperlink"/>
          <w:rFonts w:ascii="Calibri" w:hAnsi="Calibri" w:cs="Calibri"/>
          <w:color w:val="7030A0"/>
        </w:rPr>
      </w:pPr>
    </w:p>
    <w:p w14:paraId="588C6D82" w14:textId="77777777" w:rsidR="002A5AD5" w:rsidRDefault="33512735" w:rsidP="33512735">
      <w:pPr>
        <w:rPr>
          <w:rFonts w:asciiTheme="minorHAnsi" w:eastAsiaTheme="minorEastAsia" w:hAnsiTheme="minorHAnsi" w:cstheme="minorBidi"/>
          <w:b/>
          <w:bCs/>
          <w:u w:val="single"/>
        </w:rPr>
      </w:pPr>
      <w:r w:rsidRPr="33512735">
        <w:rPr>
          <w:rFonts w:asciiTheme="minorHAnsi" w:eastAsiaTheme="minorEastAsia" w:hAnsiTheme="minorHAnsi" w:cstheme="minorBidi"/>
          <w:b/>
          <w:bCs/>
          <w:u w:val="single"/>
        </w:rPr>
        <w:t xml:space="preserve">Further support materials for contractors added to COVID-19 hub page </w:t>
      </w:r>
    </w:p>
    <w:p w14:paraId="1E520B97" w14:textId="77777777" w:rsidR="002A5AD5" w:rsidRDefault="33512735" w:rsidP="002A5AD5">
      <w:pPr>
        <w:spacing w:line="240" w:lineRule="auto"/>
        <w:jc w:val="both"/>
        <w:rPr>
          <w:rFonts w:ascii="Calibri" w:hAnsi="Calibri" w:cs="Calibri"/>
        </w:rPr>
      </w:pPr>
      <w:r w:rsidRPr="33512735">
        <w:rPr>
          <w:rFonts w:ascii="Calibri" w:hAnsi="Calibri" w:cs="Calibri"/>
        </w:rPr>
        <w:t xml:space="preserve">PSNC has updated its hub for community pharmacy teams on the COVID-19 coronavirus to include new business continuity guidance and details of measures to support contractors. Advice and information on shared care clients, nursing and care home patients, and providing Multi-compartment Compliance Aids (MCAs) has today been added to the </w:t>
      </w:r>
      <w:hyperlink r:id="rId14">
        <w:r w:rsidRPr="33512735">
          <w:rPr>
            <w:rStyle w:val="Hyperlink"/>
            <w:rFonts w:ascii="Calibri" w:hAnsi="Calibri" w:cs="Calibri"/>
            <w:color w:val="auto"/>
            <w:u w:val="none"/>
          </w:rPr>
          <w:t>business continuity section</w:t>
        </w:r>
      </w:hyperlink>
      <w:r w:rsidRPr="33512735">
        <w:rPr>
          <w:rFonts w:ascii="Calibri" w:hAnsi="Calibri" w:cs="Calibri"/>
        </w:rPr>
        <w:t xml:space="preserve"> of the hub. </w:t>
      </w:r>
      <w:r w:rsidRPr="33512735">
        <w:rPr>
          <w:rFonts w:asciiTheme="minorHAnsi" w:eastAsiaTheme="minorEastAsia" w:hAnsiTheme="minorHAnsi" w:cstheme="minorBidi"/>
        </w:rPr>
        <w:t xml:space="preserve">For further information, please read more here: </w:t>
      </w:r>
      <w:hyperlink r:id="rId15">
        <w:r w:rsidRPr="33512735">
          <w:rPr>
            <w:rStyle w:val="Hyperlink"/>
            <w:rFonts w:ascii="Calibri" w:hAnsi="Calibri" w:cs="Calibri"/>
            <w:color w:val="7030A0"/>
          </w:rPr>
          <w:t>https://psnc.org.uk/our-news/further-support-materials-for-contractors-added-to-covid-19-hub-page/</w:t>
        </w:r>
      </w:hyperlink>
    </w:p>
    <w:p w14:paraId="0A0F0ED0" w14:textId="77777777" w:rsidR="002A5AD5" w:rsidRDefault="002A5AD5" w:rsidP="002A5AD5">
      <w:pPr>
        <w:spacing w:line="240" w:lineRule="auto"/>
        <w:jc w:val="both"/>
      </w:pPr>
    </w:p>
    <w:p w14:paraId="6A740B2B" w14:textId="76882F0B" w:rsidR="6771E235" w:rsidRDefault="6771E235" w:rsidP="245DC633">
      <w:pPr>
        <w:spacing w:line="240" w:lineRule="auto"/>
        <w:jc w:val="both"/>
        <w:rPr>
          <w:rFonts w:ascii="Calibri" w:hAnsi="Calibri" w:cs="Calibri"/>
          <w:b/>
          <w:bCs/>
          <w:u w:val="single"/>
        </w:rPr>
      </w:pPr>
      <w:r w:rsidRPr="245DC633">
        <w:rPr>
          <w:rFonts w:ascii="Calibri" w:hAnsi="Calibri" w:cs="Calibri"/>
          <w:b/>
          <w:bCs/>
          <w:u w:val="single"/>
        </w:rPr>
        <w:t>Medicine suppliers request prompt return of tote delivery boxes</w:t>
      </w:r>
    </w:p>
    <w:p w14:paraId="210A9A6B" w14:textId="3EE2EC98" w:rsidR="38231052" w:rsidRDefault="33512735" w:rsidP="33512735">
      <w:pPr>
        <w:spacing w:line="240" w:lineRule="auto"/>
        <w:jc w:val="both"/>
        <w:rPr>
          <w:rFonts w:ascii="Calibri" w:hAnsi="Calibri" w:cs="Calibri"/>
        </w:rPr>
      </w:pPr>
      <w:r w:rsidRPr="33512735">
        <w:rPr>
          <w:rFonts w:ascii="Calibri" w:hAnsi="Calibri" w:cs="Calibri"/>
        </w:rPr>
        <w:t xml:space="preserve">The Healthcare Distribution Association (HDA) is asking that community pharmacy teams support the increase in demand on the supply chain by ensuring delivery tote boxes are returned to suppliers of medicinal products as quickly as possible. Please read more here: </w:t>
      </w:r>
      <w:hyperlink r:id="rId16">
        <w:r w:rsidRPr="33512735">
          <w:rPr>
            <w:rStyle w:val="Hyperlink"/>
            <w:rFonts w:ascii="Calibri" w:hAnsi="Calibri" w:cs="Calibri"/>
            <w:color w:val="7030A0"/>
          </w:rPr>
          <w:t>https://psnc.org.uk/our-news/medicine-suppliers-request-prompt-return-of-tote-delivery-boxes/</w:t>
        </w:r>
      </w:hyperlink>
    </w:p>
    <w:p w14:paraId="49DB40D1" w14:textId="4AED8FFB" w:rsidR="38231052" w:rsidRDefault="38231052" w:rsidP="33512735">
      <w:pPr>
        <w:spacing w:line="240" w:lineRule="auto"/>
        <w:jc w:val="both"/>
        <w:rPr>
          <w:rFonts w:ascii="Calibri" w:hAnsi="Calibri" w:cs="Calibri"/>
          <w:color w:val="7030A0"/>
        </w:rPr>
      </w:pPr>
    </w:p>
    <w:p w14:paraId="716F7B17" w14:textId="61E8A59D" w:rsidR="44A89C41" w:rsidRDefault="44A89C41" w:rsidP="38231052">
      <w:pPr>
        <w:jc w:val="both"/>
        <w:rPr>
          <w:rFonts w:ascii="Calibri" w:hAnsi="Calibri" w:cs="Calibri"/>
          <w:b/>
          <w:bCs/>
          <w:u w:val="single"/>
        </w:rPr>
      </w:pPr>
      <w:r w:rsidRPr="38231052">
        <w:rPr>
          <w:rFonts w:ascii="Calibri" w:hAnsi="Calibri" w:cs="Calibri"/>
          <w:b/>
          <w:bCs/>
          <w:u w:val="single"/>
        </w:rPr>
        <w:t>Crucial medicines added to the list that cannot be parallel exported from the UK</w:t>
      </w:r>
    </w:p>
    <w:p w14:paraId="3EE0301B" w14:textId="517DDBED" w:rsidR="38231052" w:rsidRDefault="72910FAD" w:rsidP="245DC633">
      <w:pPr>
        <w:spacing w:line="240" w:lineRule="auto"/>
        <w:jc w:val="both"/>
        <w:rPr>
          <w:color w:val="7030A0"/>
        </w:rPr>
      </w:pPr>
      <w:r w:rsidRPr="245DC633">
        <w:rPr>
          <w:rFonts w:ascii="Calibri" w:hAnsi="Calibri" w:cs="Calibri"/>
        </w:rPr>
        <w:t>The Department of Health and Social Care (DHSC) and the Medicines and Healthcare products Regulatory Agency (MHRA) has announced that over 80 medicines are to be added to the list of medicines which must not be parallel exported from the UK. help ensure there is an uninterrupted supply of medicines for NHS hospitals treating COVID-19 patients.</w:t>
      </w:r>
      <w:r w:rsidR="6A7A7D70" w:rsidRPr="245DC633">
        <w:rPr>
          <w:rFonts w:ascii="Calibri" w:hAnsi="Calibri" w:cs="Calibri"/>
        </w:rPr>
        <w:t xml:space="preserve"> </w:t>
      </w:r>
      <w:r w:rsidRPr="245DC633">
        <w:rPr>
          <w:rFonts w:ascii="Calibri" w:hAnsi="Calibri" w:cs="Calibri"/>
        </w:rPr>
        <w:t xml:space="preserve">The new restrictions cover crucial medicines such as: adrenaline, insulin, paracetamol and morphine. Read more here: </w:t>
      </w:r>
      <w:hyperlink r:id="rId17">
        <w:r w:rsidRPr="245DC633">
          <w:rPr>
            <w:rStyle w:val="Hyperlink"/>
            <w:rFonts w:ascii="Calibri" w:hAnsi="Calibri" w:cs="Calibri"/>
            <w:color w:val="7030A0"/>
          </w:rPr>
          <w:t>https://psnc.org.uk/our-news/crucial-medicines-added-to-the-list-of-medicines-that-cannot-be-parallel-exported-from-the-uk/</w:t>
        </w:r>
      </w:hyperlink>
    </w:p>
    <w:p w14:paraId="67384995" w14:textId="3FAC0321" w:rsidR="38231052" w:rsidRDefault="38231052" w:rsidP="38231052">
      <w:pPr>
        <w:spacing w:line="240" w:lineRule="auto"/>
        <w:jc w:val="both"/>
        <w:rPr>
          <w:rFonts w:asciiTheme="minorHAnsi" w:hAnsiTheme="minorHAnsi" w:cstheme="minorBidi"/>
          <w:b/>
          <w:bCs/>
          <w:color w:val="5B518E"/>
          <w:sz w:val="28"/>
          <w:szCs w:val="28"/>
        </w:rPr>
      </w:pPr>
    </w:p>
    <w:p w14:paraId="1B37B044" w14:textId="22DDA62D" w:rsidR="4D0F10AE" w:rsidRDefault="4D0F10AE" w:rsidP="38231052">
      <w:pPr>
        <w:spacing w:line="240" w:lineRule="auto"/>
        <w:jc w:val="both"/>
      </w:pPr>
      <w:r w:rsidRPr="38231052">
        <w:rPr>
          <w:rFonts w:asciiTheme="minorHAnsi" w:hAnsiTheme="minorHAnsi" w:cstheme="minorBidi"/>
          <w:b/>
          <w:bCs/>
          <w:color w:val="5B518E"/>
          <w:sz w:val="28"/>
          <w:szCs w:val="28"/>
        </w:rPr>
        <w:t>Other key news</w:t>
      </w:r>
    </w:p>
    <w:p w14:paraId="1A65EA16" w14:textId="58305985" w:rsidR="38698305" w:rsidRDefault="38698305" w:rsidP="38231052">
      <w:pPr>
        <w:rPr>
          <w:rFonts w:asciiTheme="minorHAnsi" w:eastAsiaTheme="minorEastAsia" w:hAnsiTheme="minorHAnsi" w:cstheme="minorBidi"/>
          <w:b/>
          <w:bCs/>
          <w:u w:val="single"/>
        </w:rPr>
      </w:pPr>
      <w:r w:rsidRPr="38231052">
        <w:rPr>
          <w:rFonts w:asciiTheme="minorHAnsi" w:eastAsiaTheme="minorEastAsia" w:hAnsiTheme="minorHAnsi" w:cstheme="minorBidi"/>
          <w:b/>
          <w:bCs/>
          <w:u w:val="single"/>
        </w:rPr>
        <w:t xml:space="preserve">Download the 2020 Prescription Charge Card </w:t>
      </w:r>
    </w:p>
    <w:p w14:paraId="62DEB8F5" w14:textId="7CB37262" w:rsidR="3A7FA600" w:rsidRDefault="3A7FA600" w:rsidP="38231052">
      <w:pPr>
        <w:rPr>
          <w:rFonts w:asciiTheme="minorHAnsi" w:eastAsiaTheme="minorEastAsia" w:hAnsiTheme="minorHAnsi" w:cstheme="minorBidi"/>
        </w:rPr>
      </w:pPr>
      <w:r w:rsidRPr="38231052">
        <w:rPr>
          <w:rFonts w:asciiTheme="minorHAnsi" w:eastAsiaTheme="minorEastAsia" w:hAnsiTheme="minorHAnsi" w:cstheme="minorBidi"/>
        </w:rPr>
        <w:t>Following the announcement of a prescription charge increase to £9.15 per item earlier this month, PSNC has designed a downloadable Prescription Charge Card for community pharmacies.</w:t>
      </w:r>
      <w:r w:rsidR="2B96B95A" w:rsidRPr="38231052">
        <w:rPr>
          <w:rFonts w:asciiTheme="minorHAnsi" w:eastAsiaTheme="minorEastAsia" w:hAnsiTheme="minorHAnsi" w:cstheme="minorBidi"/>
        </w:rPr>
        <w:t xml:space="preserve"> </w:t>
      </w:r>
      <w:r w:rsidRPr="38231052">
        <w:rPr>
          <w:rFonts w:asciiTheme="minorHAnsi" w:eastAsiaTheme="minorEastAsia" w:hAnsiTheme="minorHAnsi" w:cstheme="minorBidi"/>
        </w:rPr>
        <w:t>The card, which has been designed to be easy to download and print ready for display in community pharmacies, is now available on the PSNC website</w:t>
      </w:r>
      <w:r w:rsidR="6FFAFD69" w:rsidRPr="38231052">
        <w:rPr>
          <w:rFonts w:asciiTheme="minorHAnsi" w:eastAsiaTheme="minorEastAsia" w:hAnsiTheme="minorHAnsi" w:cstheme="minorBidi"/>
        </w:rPr>
        <w:t xml:space="preserve">: </w:t>
      </w:r>
      <w:hyperlink r:id="rId18">
        <w:r w:rsidR="6FFAFD69" w:rsidRPr="38231052">
          <w:rPr>
            <w:rStyle w:val="Hyperlink"/>
            <w:rFonts w:ascii="Calibri" w:hAnsi="Calibri" w:cs="Calibri"/>
            <w:color w:val="7030A0"/>
          </w:rPr>
          <w:t>https://psnc.org.uk/our-news/download-the-2020-prescription-charge-card/</w:t>
        </w:r>
      </w:hyperlink>
      <w:r w:rsidR="6FFAFD69" w:rsidRPr="38231052">
        <w:rPr>
          <w:rFonts w:ascii="Calibri" w:hAnsi="Calibri" w:cs="Calibri"/>
          <w:color w:val="7030A0"/>
        </w:rPr>
        <w:t xml:space="preserve"> </w:t>
      </w:r>
    </w:p>
    <w:p w14:paraId="4A5F3424" w14:textId="59B4660F" w:rsidR="0091158C" w:rsidRDefault="0091158C" w:rsidP="33512735">
      <w:pPr>
        <w:spacing w:line="240" w:lineRule="auto"/>
        <w:rPr>
          <w:rFonts w:ascii="Calibri" w:hAnsi="Calibri" w:cs="Calibri"/>
        </w:rPr>
      </w:pPr>
    </w:p>
    <w:p w14:paraId="46F1AFE9" w14:textId="2D0334BC" w:rsidR="00F106DA" w:rsidRPr="00F106DA" w:rsidRDefault="003516A1" w:rsidP="38231052">
      <w:pPr>
        <w:spacing w:line="240" w:lineRule="auto"/>
        <w:jc w:val="both"/>
        <w:rPr>
          <w:rFonts w:asciiTheme="minorHAnsi" w:hAnsiTheme="minorHAnsi" w:cstheme="minorBidi"/>
          <w:b/>
          <w:bCs/>
          <w:color w:val="5B518E"/>
          <w:sz w:val="28"/>
          <w:szCs w:val="28"/>
        </w:rPr>
      </w:pPr>
      <w:r w:rsidRPr="38231052">
        <w:rPr>
          <w:rFonts w:asciiTheme="minorHAnsi" w:hAnsiTheme="minorHAnsi" w:cstheme="minorBidi"/>
          <w:b/>
          <w:bCs/>
          <w:color w:val="5B518E"/>
          <w:sz w:val="28"/>
          <w:szCs w:val="28"/>
        </w:rPr>
        <w:t>Appendix</w:t>
      </w:r>
    </w:p>
    <w:p w14:paraId="7D52473C" w14:textId="5BF70D4A" w:rsidR="00F106DA" w:rsidRPr="00F106DA" w:rsidRDefault="6AC1C190" w:rsidP="38231052">
      <w:pPr>
        <w:spacing w:line="240" w:lineRule="auto"/>
        <w:jc w:val="both"/>
        <w:rPr>
          <w:rFonts w:ascii="Calibri" w:hAnsi="Calibri" w:cs="Calibri"/>
          <w:b/>
          <w:bCs/>
          <w:color w:val="000000" w:themeColor="text1"/>
          <w:u w:val="single"/>
        </w:rPr>
      </w:pPr>
      <w:r w:rsidRPr="38231052">
        <w:rPr>
          <w:rFonts w:ascii="Calibri" w:hAnsi="Calibri" w:cs="Calibri"/>
          <w:b/>
          <w:bCs/>
          <w:color w:val="000000" w:themeColor="text1"/>
          <w:u w:val="single"/>
        </w:rPr>
        <w:t xml:space="preserve">Remember: </w:t>
      </w:r>
      <w:r w:rsidR="4DF38B44" w:rsidRPr="38231052">
        <w:rPr>
          <w:rFonts w:ascii="Calibri" w:hAnsi="Calibri" w:cs="Calibri"/>
          <w:b/>
          <w:bCs/>
          <w:color w:val="000000" w:themeColor="text1"/>
          <w:u w:val="single"/>
        </w:rPr>
        <w:t>Key actions to take during the pandemic</w:t>
      </w:r>
    </w:p>
    <w:p w14:paraId="12F5A4AD" w14:textId="6E6473A2" w:rsidR="00F106DA" w:rsidRPr="00F106DA" w:rsidRDefault="4DF38B44" w:rsidP="38231052">
      <w:pPr>
        <w:spacing w:line="240" w:lineRule="auto"/>
        <w:jc w:val="both"/>
        <w:rPr>
          <w:rFonts w:ascii="Calibri" w:hAnsi="Calibri" w:cs="Calibri"/>
          <w:color w:val="000000" w:themeColor="text1"/>
        </w:rPr>
      </w:pPr>
      <w:r w:rsidRPr="245DC633">
        <w:rPr>
          <w:rFonts w:ascii="Calibri" w:hAnsi="Calibri" w:cs="Calibri"/>
          <w:color w:val="000000" w:themeColor="text1"/>
        </w:rPr>
        <w:t>Contractors and pharmacy teams can take the following actions to ensure they are well prepared:</w:t>
      </w:r>
    </w:p>
    <w:p w14:paraId="7757F273" w14:textId="4A428F7B" w:rsidR="245DC633" w:rsidRDefault="245DC633" w:rsidP="245DC633">
      <w:pPr>
        <w:spacing w:line="240" w:lineRule="auto"/>
        <w:jc w:val="both"/>
        <w:rPr>
          <w:rFonts w:ascii="Calibri" w:hAnsi="Calibri" w:cs="Calibri"/>
          <w:color w:val="000000" w:themeColor="text1"/>
        </w:rPr>
      </w:pPr>
    </w:p>
    <w:p w14:paraId="2A2F48FB" w14:textId="1C33E0D2" w:rsidR="00F106DA" w:rsidRPr="00F106DA" w:rsidRDefault="4DF38B44" w:rsidP="38231052">
      <w:pPr>
        <w:pStyle w:val="ListParagraph"/>
        <w:numPr>
          <w:ilvl w:val="0"/>
          <w:numId w:val="2"/>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Read the </w:t>
      </w:r>
      <w:hyperlink r:id="rId19">
        <w:r w:rsidRPr="245DC633">
          <w:rPr>
            <w:rStyle w:val="Hyperlink"/>
            <w:rFonts w:ascii="Calibri" w:hAnsi="Calibri" w:cs="Calibri"/>
            <w:b/>
            <w:bCs/>
            <w:color w:val="000000" w:themeColor="text1"/>
          </w:rPr>
          <w:t>NHSE&amp;I guidance</w:t>
        </w:r>
      </w:hyperlink>
      <w:r w:rsidRPr="245DC633">
        <w:rPr>
          <w:rFonts w:ascii="Calibri" w:hAnsi="Calibri" w:cs="Calibri"/>
          <w:b/>
          <w:bCs/>
          <w:color w:val="000000" w:themeColor="text1"/>
        </w:rPr>
        <w:t xml:space="preserve"> and implement its recommended actions;</w:t>
      </w:r>
    </w:p>
    <w:p w14:paraId="51EFDAA1" w14:textId="55F6DEB4" w:rsidR="245DC633" w:rsidRDefault="245DC633" w:rsidP="245DC633">
      <w:pPr>
        <w:spacing w:line="240" w:lineRule="auto"/>
        <w:ind w:left="360"/>
        <w:jc w:val="both"/>
        <w:rPr>
          <w:rFonts w:ascii="Calibri" w:hAnsi="Calibri" w:cs="Calibri"/>
          <w:b/>
          <w:bCs/>
          <w:color w:val="000000" w:themeColor="text1"/>
        </w:rPr>
      </w:pPr>
    </w:p>
    <w:p w14:paraId="258CC968" w14:textId="28B6AE53" w:rsidR="00F106DA" w:rsidRPr="00F106DA" w:rsidRDefault="4DF38B44" w:rsidP="38231052">
      <w:pPr>
        <w:pStyle w:val="ListParagraph"/>
        <w:numPr>
          <w:ilvl w:val="0"/>
          <w:numId w:val="2"/>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Clearly display the </w:t>
      </w:r>
      <w:hyperlink r:id="rId20">
        <w:r w:rsidRPr="245DC633">
          <w:rPr>
            <w:rStyle w:val="Hyperlink"/>
            <w:rFonts w:ascii="Calibri" w:hAnsi="Calibri" w:cs="Calibri"/>
            <w:b/>
            <w:bCs/>
            <w:color w:val="000000" w:themeColor="text1"/>
          </w:rPr>
          <w:t>COVID-19 poster</w:t>
        </w:r>
      </w:hyperlink>
      <w:r w:rsidRPr="245DC633">
        <w:rPr>
          <w:rFonts w:ascii="Calibri" w:hAnsi="Calibri" w:cs="Calibri"/>
          <w:b/>
          <w:bCs/>
          <w:color w:val="000000" w:themeColor="text1"/>
        </w:rPr>
        <w:t xml:space="preserve"> at points of entry to your pharmacy;</w:t>
      </w:r>
    </w:p>
    <w:p w14:paraId="0B023455" w14:textId="771E7DC0" w:rsidR="245DC633" w:rsidRDefault="245DC633" w:rsidP="245DC633">
      <w:pPr>
        <w:spacing w:line="240" w:lineRule="auto"/>
        <w:ind w:left="360"/>
        <w:jc w:val="both"/>
        <w:rPr>
          <w:rFonts w:ascii="Calibri" w:hAnsi="Calibri" w:cs="Calibri"/>
          <w:b/>
          <w:bCs/>
          <w:color w:val="000000" w:themeColor="text1"/>
        </w:rPr>
      </w:pPr>
    </w:p>
    <w:p w14:paraId="66B2207A" w14:textId="6A9753C5" w:rsidR="00F106DA" w:rsidRPr="00F106DA" w:rsidRDefault="4DF38B44" w:rsidP="38231052">
      <w:pPr>
        <w:pStyle w:val="ListParagraph"/>
        <w:numPr>
          <w:ilvl w:val="0"/>
          <w:numId w:val="2"/>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Read your </w:t>
      </w:r>
      <w:hyperlink r:id="rId21">
        <w:r w:rsidRPr="245DC633">
          <w:rPr>
            <w:rStyle w:val="Hyperlink"/>
            <w:rFonts w:ascii="Calibri" w:hAnsi="Calibri" w:cs="Calibri"/>
            <w:b/>
            <w:bCs/>
            <w:color w:val="000000" w:themeColor="text1"/>
          </w:rPr>
          <w:t>business continuity plan</w:t>
        </w:r>
      </w:hyperlink>
      <w:r w:rsidRPr="245DC633">
        <w:rPr>
          <w:rFonts w:ascii="Calibri" w:hAnsi="Calibri" w:cs="Calibri"/>
          <w:b/>
          <w:bCs/>
          <w:color w:val="000000" w:themeColor="text1"/>
        </w:rPr>
        <w:t xml:space="preserve"> and consider whether it needs to be updated to reflect the current and emerging situation</w:t>
      </w:r>
      <w:r w:rsidR="50C9DC70" w:rsidRPr="245DC633">
        <w:rPr>
          <w:rFonts w:ascii="Calibri" w:hAnsi="Calibri" w:cs="Calibri"/>
          <w:b/>
          <w:bCs/>
          <w:color w:val="000000" w:themeColor="text1"/>
        </w:rPr>
        <w:t>;</w:t>
      </w:r>
    </w:p>
    <w:p w14:paraId="08EF511C" w14:textId="2D92F74B" w:rsidR="245DC633" w:rsidRDefault="245DC633" w:rsidP="245DC633">
      <w:pPr>
        <w:spacing w:line="240" w:lineRule="auto"/>
        <w:ind w:left="360"/>
        <w:jc w:val="both"/>
        <w:rPr>
          <w:rFonts w:ascii="Calibri" w:hAnsi="Calibri" w:cs="Calibri"/>
          <w:b/>
          <w:bCs/>
          <w:color w:val="000000" w:themeColor="text1"/>
        </w:rPr>
      </w:pPr>
    </w:p>
    <w:p w14:paraId="34DD13A1" w14:textId="7828348F" w:rsidR="00F106DA" w:rsidRPr="00F106DA" w:rsidRDefault="4DF38B44" w:rsidP="38231052">
      <w:pPr>
        <w:pStyle w:val="ListParagraph"/>
        <w:numPr>
          <w:ilvl w:val="0"/>
          <w:numId w:val="2"/>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Keep up to date with developments by regularly checking the information on  </w:t>
      </w:r>
      <w:hyperlink r:id="rId22">
        <w:r w:rsidRPr="245DC633">
          <w:rPr>
            <w:rStyle w:val="Hyperlink"/>
            <w:rFonts w:ascii="Calibri" w:hAnsi="Calibri" w:cs="Calibri"/>
            <w:b/>
            <w:bCs/>
            <w:color w:val="000000" w:themeColor="text1"/>
          </w:rPr>
          <w:t>COVID-19 on GOV.UK</w:t>
        </w:r>
      </w:hyperlink>
      <w:r w:rsidRPr="245DC633">
        <w:rPr>
          <w:rFonts w:ascii="Calibri" w:hAnsi="Calibri" w:cs="Calibri"/>
          <w:b/>
          <w:bCs/>
          <w:color w:val="000000" w:themeColor="text1"/>
        </w:rPr>
        <w:t xml:space="preserve">, the </w:t>
      </w:r>
      <w:hyperlink r:id="rId23">
        <w:r w:rsidRPr="245DC633">
          <w:rPr>
            <w:rStyle w:val="Hyperlink"/>
            <w:rFonts w:ascii="Calibri" w:hAnsi="Calibri" w:cs="Calibri"/>
            <w:b/>
            <w:bCs/>
            <w:color w:val="000000" w:themeColor="text1"/>
          </w:rPr>
          <w:t>NHSE&amp;I Coronavirus Primary Care webpage</w:t>
        </w:r>
      </w:hyperlink>
      <w:r w:rsidRPr="245DC633">
        <w:rPr>
          <w:rFonts w:ascii="Calibri" w:hAnsi="Calibri" w:cs="Calibri"/>
          <w:b/>
          <w:bCs/>
          <w:color w:val="000000" w:themeColor="text1"/>
        </w:rPr>
        <w:t xml:space="preserve"> and checking your </w:t>
      </w:r>
      <w:proofErr w:type="spellStart"/>
      <w:r w:rsidRPr="245DC633">
        <w:rPr>
          <w:rFonts w:ascii="Calibri" w:hAnsi="Calibri" w:cs="Calibri"/>
          <w:b/>
          <w:bCs/>
          <w:color w:val="000000" w:themeColor="text1"/>
        </w:rPr>
        <w:t>NHSmail</w:t>
      </w:r>
      <w:proofErr w:type="spellEnd"/>
      <w:r w:rsidRPr="245DC633">
        <w:rPr>
          <w:rFonts w:ascii="Calibri" w:hAnsi="Calibri" w:cs="Calibri"/>
          <w:b/>
          <w:bCs/>
          <w:color w:val="000000" w:themeColor="text1"/>
        </w:rPr>
        <w:t xml:space="preserve"> shared mailbox on a regular basis for updates from NHSE&amp;I; and</w:t>
      </w:r>
    </w:p>
    <w:p w14:paraId="1D00E999" w14:textId="2C35CE4E" w:rsidR="245DC633" w:rsidRDefault="245DC633" w:rsidP="245DC633">
      <w:pPr>
        <w:spacing w:line="240" w:lineRule="auto"/>
        <w:ind w:left="360"/>
        <w:jc w:val="both"/>
        <w:rPr>
          <w:rFonts w:ascii="Calibri" w:hAnsi="Calibri" w:cs="Calibri"/>
          <w:b/>
          <w:bCs/>
          <w:color w:val="000000" w:themeColor="text1"/>
        </w:rPr>
      </w:pPr>
    </w:p>
    <w:p w14:paraId="72DFFDE0" w14:textId="165E2E2B" w:rsidR="00F106DA" w:rsidRPr="00F106DA" w:rsidRDefault="4DF38B44" w:rsidP="38231052">
      <w:pPr>
        <w:pStyle w:val="ListParagraph"/>
        <w:numPr>
          <w:ilvl w:val="0"/>
          <w:numId w:val="2"/>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Where possible, display the </w:t>
      </w:r>
      <w:hyperlink r:id="rId24">
        <w:r w:rsidRPr="245DC633">
          <w:rPr>
            <w:rStyle w:val="Hyperlink"/>
            <w:rFonts w:ascii="Calibri" w:hAnsi="Calibri" w:cs="Calibri"/>
            <w:b/>
            <w:bCs/>
            <w:color w:val="000000" w:themeColor="text1"/>
          </w:rPr>
          <w:t>public health advice posters</w:t>
        </w:r>
      </w:hyperlink>
      <w:r w:rsidRPr="245DC633">
        <w:rPr>
          <w:rFonts w:ascii="Calibri" w:hAnsi="Calibri" w:cs="Calibri"/>
          <w:b/>
          <w:bCs/>
          <w:color w:val="000000" w:themeColor="text1"/>
        </w:rPr>
        <w:t xml:space="preserve"> on hand washing etc.</w:t>
      </w:r>
    </w:p>
    <w:p w14:paraId="2AC65099" w14:textId="56055B75" w:rsidR="38231052" w:rsidRDefault="38231052" w:rsidP="38231052">
      <w:pPr>
        <w:jc w:val="both"/>
        <w:rPr>
          <w:rFonts w:ascii="Calibri" w:hAnsi="Calibri" w:cs="Calibri"/>
          <w:b/>
          <w:bCs/>
          <w:color w:val="000000" w:themeColor="text1"/>
        </w:rPr>
      </w:pPr>
    </w:p>
    <w:p w14:paraId="5B5DA3DE" w14:textId="6A9C95B0" w:rsidR="7608A007" w:rsidRDefault="7608A007" w:rsidP="38231052">
      <w:pPr>
        <w:pStyle w:val="Heading4"/>
        <w:rPr>
          <w:rFonts w:ascii="Calibri" w:eastAsia="Calibri" w:hAnsi="Calibri" w:cs="Calibri"/>
          <w:b/>
          <w:bCs/>
          <w:i w:val="0"/>
          <w:iCs w:val="0"/>
          <w:color w:val="auto"/>
          <w:u w:val="single"/>
        </w:rPr>
      </w:pPr>
      <w:r w:rsidRPr="38231052">
        <w:rPr>
          <w:rFonts w:ascii="Calibri" w:eastAsia="Calibri" w:hAnsi="Calibri" w:cs="Calibri"/>
          <w:b/>
          <w:bCs/>
          <w:i w:val="0"/>
          <w:iCs w:val="0"/>
          <w:color w:val="auto"/>
          <w:u w:val="single"/>
        </w:rPr>
        <w:t>Guidance for healthcare professionals</w:t>
      </w:r>
    </w:p>
    <w:p w14:paraId="6EBE9534" w14:textId="574D4A31" w:rsidR="7608A007" w:rsidRDefault="7608A007" w:rsidP="38231052">
      <w:pPr>
        <w:jc w:val="both"/>
        <w:rPr>
          <w:rFonts w:ascii="Calibri" w:hAnsi="Calibri" w:cs="Calibri"/>
        </w:rPr>
      </w:pPr>
      <w:r w:rsidRPr="38231052">
        <w:rPr>
          <w:rFonts w:ascii="Calibri" w:hAnsi="Calibri" w:cs="Calibri"/>
        </w:rPr>
        <w:t>The key guidance for health professionals is available on the Public Health England (PHE) section of the GOV.UK website:</w:t>
      </w:r>
    </w:p>
    <w:p w14:paraId="0F737DD7" w14:textId="497415F1" w:rsidR="38231052" w:rsidRDefault="38231052" w:rsidP="38231052">
      <w:pPr>
        <w:jc w:val="both"/>
        <w:rPr>
          <w:rFonts w:ascii="Calibri" w:hAnsi="Calibri" w:cs="Calibri"/>
          <w:b/>
          <w:bCs/>
          <w:color w:val="000000" w:themeColor="text1"/>
        </w:rPr>
      </w:pPr>
    </w:p>
    <w:p w14:paraId="4D9879EC" w14:textId="64DC8F62" w:rsidR="649F95F9" w:rsidRDefault="00A140C3" w:rsidP="38231052">
      <w:pPr>
        <w:jc w:val="both"/>
      </w:pPr>
      <w:hyperlink r:id="rId25">
        <w:r w:rsidR="649F95F9" w:rsidRPr="38231052">
          <w:rPr>
            <w:rStyle w:val="Hyperlink"/>
            <w:rFonts w:ascii="Calibri" w:hAnsi="Calibri" w:cs="Calibri"/>
            <w:b/>
            <w:bCs/>
            <w:color w:val="4F3388"/>
          </w:rPr>
          <w:t>COVID-19: guidance for health professionals (GOV.UK)</w:t>
        </w:r>
      </w:hyperlink>
    </w:p>
    <w:p w14:paraId="27AE75AF" w14:textId="47DEA37B" w:rsidR="649F95F9" w:rsidRDefault="649F95F9" w:rsidP="38231052">
      <w:pPr>
        <w:jc w:val="both"/>
        <w:rPr>
          <w:rFonts w:ascii="Calibri" w:hAnsi="Calibri" w:cs="Calibri"/>
        </w:rPr>
      </w:pPr>
      <w:r w:rsidRPr="38231052">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6">
        <w:r w:rsidRPr="38231052">
          <w:rPr>
            <w:rStyle w:val="Hyperlink"/>
            <w:rFonts w:ascii="Calibri" w:hAnsi="Calibri" w:cs="Calibri"/>
            <w:color w:val="auto"/>
          </w:rPr>
          <w:t>GOV.UK website</w:t>
        </w:r>
      </w:hyperlink>
      <w:r w:rsidRPr="38231052">
        <w:rPr>
          <w:rFonts w:ascii="Calibri" w:hAnsi="Calibri" w:cs="Calibri"/>
        </w:rPr>
        <w:t>, but contextualises it for the community pharmacy environment:</w:t>
      </w:r>
    </w:p>
    <w:p w14:paraId="5923641F" w14:textId="4F1ED332" w:rsidR="38231052" w:rsidRDefault="38231052" w:rsidP="38231052">
      <w:pPr>
        <w:jc w:val="both"/>
        <w:rPr>
          <w:rFonts w:ascii="Calibri" w:hAnsi="Calibri" w:cs="Calibri"/>
        </w:rPr>
      </w:pPr>
    </w:p>
    <w:p w14:paraId="4B564F26" w14:textId="0300C29C" w:rsidR="649F95F9" w:rsidRDefault="00A140C3" w:rsidP="38231052">
      <w:pPr>
        <w:jc w:val="both"/>
      </w:pPr>
      <w:hyperlink r:id="rId27">
        <w:r w:rsidR="649F95F9" w:rsidRPr="38231052">
          <w:rPr>
            <w:rStyle w:val="Hyperlink"/>
            <w:rFonts w:ascii="Calibri" w:hAnsi="Calibri" w:cs="Calibri"/>
            <w:b/>
            <w:bCs/>
            <w:color w:val="4F3388"/>
          </w:rPr>
          <w:t>NHSE&amp;I Coronavirus Primary Care webpage</w:t>
        </w:r>
      </w:hyperlink>
    </w:p>
    <w:p w14:paraId="2D142353" w14:textId="246A63BE" w:rsidR="649F95F9" w:rsidRDefault="649F95F9" w:rsidP="38231052">
      <w:pPr>
        <w:jc w:val="both"/>
        <w:rPr>
          <w:rFonts w:ascii="Calibri" w:hAnsi="Calibri" w:cs="Calibri"/>
        </w:rPr>
      </w:pPr>
      <w:r w:rsidRPr="38231052">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w:t>
      </w:r>
      <w:bookmarkStart w:id="0" w:name="_GoBack"/>
      <w:bookmarkEnd w:id="0"/>
      <w:r w:rsidRPr="38231052">
        <w:rPr>
          <w:rFonts w:ascii="Calibri" w:hAnsi="Calibri" w:cs="Calibri"/>
        </w:rPr>
        <w:t>atients.</w:t>
      </w:r>
    </w:p>
    <w:p w14:paraId="1FB8708C" w14:textId="47FCB1E6" w:rsidR="38231052" w:rsidRDefault="38231052" w:rsidP="38231052">
      <w:pPr>
        <w:jc w:val="both"/>
        <w:rPr>
          <w:rFonts w:ascii="Calibri" w:hAnsi="Calibri" w:cs="Calibri"/>
        </w:rPr>
      </w:pPr>
    </w:p>
    <w:p w14:paraId="15C97752" w14:textId="2EC25579" w:rsidR="33512735" w:rsidRDefault="33512735" w:rsidP="33512735">
      <w:pPr>
        <w:jc w:val="both"/>
        <w:rPr>
          <w:rFonts w:ascii="Calibri" w:hAnsi="Calibri" w:cs="Calibri"/>
          <w:b/>
          <w:bCs/>
          <w:color w:val="000000" w:themeColor="text1"/>
        </w:rPr>
      </w:pPr>
      <w:r w:rsidRPr="33512735">
        <w:rPr>
          <w:rFonts w:ascii="Calibri" w:hAnsi="Calibri" w:cs="Calibri"/>
          <w:b/>
          <w:bCs/>
          <w:color w:val="000000" w:themeColor="text1"/>
        </w:rPr>
        <w:t xml:space="preserve">Please visit PSNC’s COVID-19 hub for further information: </w:t>
      </w:r>
      <w:hyperlink r:id="rId28" w:history="1">
        <w:r w:rsidRPr="33512735">
          <w:rPr>
            <w:rStyle w:val="Hyperlink"/>
            <w:rFonts w:ascii="Calibri" w:hAnsi="Calibri" w:cs="Calibri"/>
            <w:b/>
            <w:bCs/>
            <w:color w:val="000000" w:themeColor="text1"/>
          </w:rPr>
          <w:t>psnc.org.uk/coronavirus</w:t>
        </w:r>
      </w:hyperlink>
    </w:p>
    <w:sectPr w:rsidR="33512735" w:rsidSect="00B364CE">
      <w:headerReference w:type="default" r:id="rId29"/>
      <w:footerReference w:type="default" r:id="rId30"/>
      <w:headerReference w:type="first" r:id="rId31"/>
      <w:footerReference w:type="first" r:id="rId32"/>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6BD97" w14:textId="77777777" w:rsidR="00A140C3" w:rsidRDefault="00A140C3" w:rsidP="00E472BA">
      <w:pPr>
        <w:spacing w:line="240" w:lineRule="auto"/>
      </w:pPr>
      <w:r>
        <w:separator/>
      </w:r>
    </w:p>
  </w:endnote>
  <w:endnote w:type="continuationSeparator" w:id="0">
    <w:p w14:paraId="513DE274" w14:textId="77777777" w:rsidR="00A140C3" w:rsidRDefault="00A140C3"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102A1" w14:textId="77777777" w:rsidR="00A140C3" w:rsidRDefault="00A140C3" w:rsidP="00E472BA">
      <w:pPr>
        <w:spacing w:line="240" w:lineRule="auto"/>
      </w:pPr>
      <w:r>
        <w:separator/>
      </w:r>
    </w:p>
  </w:footnote>
  <w:footnote w:type="continuationSeparator" w:id="0">
    <w:p w14:paraId="47E50E84" w14:textId="77777777" w:rsidR="00A140C3" w:rsidRDefault="00A140C3"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245DC633">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E02FE"/>
    <w:multiLevelType w:val="multilevel"/>
    <w:tmpl w:val="F6D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5FF1"/>
    <w:multiLevelType w:val="hybridMultilevel"/>
    <w:tmpl w:val="F7C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84C3C"/>
    <w:multiLevelType w:val="hybridMultilevel"/>
    <w:tmpl w:val="B5762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3C0373"/>
    <w:multiLevelType w:val="hybridMultilevel"/>
    <w:tmpl w:val="15FA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867C7"/>
    <w:multiLevelType w:val="hybridMultilevel"/>
    <w:tmpl w:val="F2E6038E"/>
    <w:lvl w:ilvl="0" w:tplc="9E4C504A">
      <w:start w:val="1"/>
      <w:numFmt w:val="bullet"/>
      <w:lvlText w:val=""/>
      <w:lvlJc w:val="left"/>
      <w:pPr>
        <w:ind w:left="720" w:hanging="360"/>
      </w:pPr>
      <w:rPr>
        <w:rFonts w:ascii="Symbol" w:hAnsi="Symbol" w:hint="default"/>
      </w:rPr>
    </w:lvl>
    <w:lvl w:ilvl="1" w:tplc="75FCE22E">
      <w:start w:val="1"/>
      <w:numFmt w:val="bullet"/>
      <w:lvlText w:val="o"/>
      <w:lvlJc w:val="left"/>
      <w:pPr>
        <w:ind w:left="1440" w:hanging="360"/>
      </w:pPr>
      <w:rPr>
        <w:rFonts w:ascii="Courier New" w:hAnsi="Courier New" w:hint="default"/>
      </w:rPr>
    </w:lvl>
    <w:lvl w:ilvl="2" w:tplc="7F847106">
      <w:start w:val="1"/>
      <w:numFmt w:val="bullet"/>
      <w:lvlText w:val=""/>
      <w:lvlJc w:val="left"/>
      <w:pPr>
        <w:ind w:left="2160" w:hanging="360"/>
      </w:pPr>
      <w:rPr>
        <w:rFonts w:ascii="Wingdings" w:hAnsi="Wingdings" w:hint="default"/>
      </w:rPr>
    </w:lvl>
    <w:lvl w:ilvl="3" w:tplc="4D82F7CA">
      <w:start w:val="1"/>
      <w:numFmt w:val="bullet"/>
      <w:lvlText w:val=""/>
      <w:lvlJc w:val="left"/>
      <w:pPr>
        <w:ind w:left="2880" w:hanging="360"/>
      </w:pPr>
      <w:rPr>
        <w:rFonts w:ascii="Symbol" w:hAnsi="Symbol" w:hint="default"/>
      </w:rPr>
    </w:lvl>
    <w:lvl w:ilvl="4" w:tplc="ADC602D2">
      <w:start w:val="1"/>
      <w:numFmt w:val="bullet"/>
      <w:lvlText w:val="o"/>
      <w:lvlJc w:val="left"/>
      <w:pPr>
        <w:ind w:left="3600" w:hanging="360"/>
      </w:pPr>
      <w:rPr>
        <w:rFonts w:ascii="Courier New" w:hAnsi="Courier New" w:hint="default"/>
      </w:rPr>
    </w:lvl>
    <w:lvl w:ilvl="5" w:tplc="9A48577C">
      <w:start w:val="1"/>
      <w:numFmt w:val="bullet"/>
      <w:lvlText w:val=""/>
      <w:lvlJc w:val="left"/>
      <w:pPr>
        <w:ind w:left="4320" w:hanging="360"/>
      </w:pPr>
      <w:rPr>
        <w:rFonts w:ascii="Wingdings" w:hAnsi="Wingdings" w:hint="default"/>
      </w:rPr>
    </w:lvl>
    <w:lvl w:ilvl="6" w:tplc="A008F330">
      <w:start w:val="1"/>
      <w:numFmt w:val="bullet"/>
      <w:lvlText w:val=""/>
      <w:lvlJc w:val="left"/>
      <w:pPr>
        <w:ind w:left="5040" w:hanging="360"/>
      </w:pPr>
      <w:rPr>
        <w:rFonts w:ascii="Symbol" w:hAnsi="Symbol" w:hint="default"/>
      </w:rPr>
    </w:lvl>
    <w:lvl w:ilvl="7" w:tplc="275C6568">
      <w:start w:val="1"/>
      <w:numFmt w:val="bullet"/>
      <w:lvlText w:val="o"/>
      <w:lvlJc w:val="left"/>
      <w:pPr>
        <w:ind w:left="5760" w:hanging="360"/>
      </w:pPr>
      <w:rPr>
        <w:rFonts w:ascii="Courier New" w:hAnsi="Courier New" w:hint="default"/>
      </w:rPr>
    </w:lvl>
    <w:lvl w:ilvl="8" w:tplc="B8063D9A">
      <w:start w:val="1"/>
      <w:numFmt w:val="bullet"/>
      <w:lvlText w:val=""/>
      <w:lvlJc w:val="left"/>
      <w:pPr>
        <w:ind w:left="6480" w:hanging="360"/>
      </w:pPr>
      <w:rPr>
        <w:rFonts w:ascii="Wingdings" w:hAnsi="Wingdings" w:hint="default"/>
      </w:rPr>
    </w:lvl>
  </w:abstractNum>
  <w:abstractNum w:abstractNumId="6" w15:restartNumberingAfterBreak="0">
    <w:nsid w:val="21FB4354"/>
    <w:multiLevelType w:val="hybridMultilevel"/>
    <w:tmpl w:val="643A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1A83"/>
    <w:multiLevelType w:val="hybridMultilevel"/>
    <w:tmpl w:val="92065670"/>
    <w:lvl w:ilvl="0" w:tplc="86722CF8">
      <w:start w:val="1"/>
      <w:numFmt w:val="bullet"/>
      <w:lvlText w:val=""/>
      <w:lvlJc w:val="left"/>
      <w:pPr>
        <w:ind w:left="720" w:hanging="360"/>
      </w:pPr>
      <w:rPr>
        <w:rFonts w:ascii="Symbol" w:hAnsi="Symbol" w:hint="default"/>
      </w:rPr>
    </w:lvl>
    <w:lvl w:ilvl="1" w:tplc="B42683D6">
      <w:start w:val="1"/>
      <w:numFmt w:val="bullet"/>
      <w:lvlText w:val="o"/>
      <w:lvlJc w:val="left"/>
      <w:pPr>
        <w:ind w:left="1440" w:hanging="360"/>
      </w:pPr>
      <w:rPr>
        <w:rFonts w:ascii="Courier New" w:hAnsi="Courier New" w:hint="default"/>
      </w:rPr>
    </w:lvl>
    <w:lvl w:ilvl="2" w:tplc="3CC6C8D4">
      <w:start w:val="1"/>
      <w:numFmt w:val="bullet"/>
      <w:lvlText w:val=""/>
      <w:lvlJc w:val="left"/>
      <w:pPr>
        <w:ind w:left="2160" w:hanging="360"/>
      </w:pPr>
      <w:rPr>
        <w:rFonts w:ascii="Wingdings" w:hAnsi="Wingdings" w:hint="default"/>
      </w:rPr>
    </w:lvl>
    <w:lvl w:ilvl="3" w:tplc="028035DC">
      <w:start w:val="1"/>
      <w:numFmt w:val="bullet"/>
      <w:lvlText w:val=""/>
      <w:lvlJc w:val="left"/>
      <w:pPr>
        <w:ind w:left="2880" w:hanging="360"/>
      </w:pPr>
      <w:rPr>
        <w:rFonts w:ascii="Symbol" w:hAnsi="Symbol" w:hint="default"/>
      </w:rPr>
    </w:lvl>
    <w:lvl w:ilvl="4" w:tplc="BEA2E572">
      <w:start w:val="1"/>
      <w:numFmt w:val="bullet"/>
      <w:lvlText w:val="o"/>
      <w:lvlJc w:val="left"/>
      <w:pPr>
        <w:ind w:left="3600" w:hanging="360"/>
      </w:pPr>
      <w:rPr>
        <w:rFonts w:ascii="Courier New" w:hAnsi="Courier New" w:hint="default"/>
      </w:rPr>
    </w:lvl>
    <w:lvl w:ilvl="5" w:tplc="C3761888">
      <w:start w:val="1"/>
      <w:numFmt w:val="bullet"/>
      <w:lvlText w:val=""/>
      <w:lvlJc w:val="left"/>
      <w:pPr>
        <w:ind w:left="4320" w:hanging="360"/>
      </w:pPr>
      <w:rPr>
        <w:rFonts w:ascii="Wingdings" w:hAnsi="Wingdings" w:hint="default"/>
      </w:rPr>
    </w:lvl>
    <w:lvl w:ilvl="6" w:tplc="6DA25698">
      <w:start w:val="1"/>
      <w:numFmt w:val="bullet"/>
      <w:lvlText w:val=""/>
      <w:lvlJc w:val="left"/>
      <w:pPr>
        <w:ind w:left="5040" w:hanging="360"/>
      </w:pPr>
      <w:rPr>
        <w:rFonts w:ascii="Symbol" w:hAnsi="Symbol" w:hint="default"/>
      </w:rPr>
    </w:lvl>
    <w:lvl w:ilvl="7" w:tplc="7C3434BA">
      <w:start w:val="1"/>
      <w:numFmt w:val="bullet"/>
      <w:lvlText w:val="o"/>
      <w:lvlJc w:val="left"/>
      <w:pPr>
        <w:ind w:left="5760" w:hanging="360"/>
      </w:pPr>
      <w:rPr>
        <w:rFonts w:ascii="Courier New" w:hAnsi="Courier New" w:hint="default"/>
      </w:rPr>
    </w:lvl>
    <w:lvl w:ilvl="8" w:tplc="55F2B14E">
      <w:start w:val="1"/>
      <w:numFmt w:val="bullet"/>
      <w:lvlText w:val=""/>
      <w:lvlJc w:val="left"/>
      <w:pPr>
        <w:ind w:left="6480" w:hanging="360"/>
      </w:pPr>
      <w:rPr>
        <w:rFonts w:ascii="Wingdings" w:hAnsi="Wingdings" w:hint="default"/>
      </w:rPr>
    </w:lvl>
  </w:abstractNum>
  <w:abstractNum w:abstractNumId="8" w15:restartNumberingAfterBreak="0">
    <w:nsid w:val="2B9C4DCD"/>
    <w:multiLevelType w:val="multilevel"/>
    <w:tmpl w:val="E3E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70397"/>
    <w:multiLevelType w:val="multilevel"/>
    <w:tmpl w:val="F0F80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15E18"/>
    <w:multiLevelType w:val="multilevel"/>
    <w:tmpl w:val="0AE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604E1"/>
    <w:multiLevelType w:val="hybridMultilevel"/>
    <w:tmpl w:val="76761582"/>
    <w:lvl w:ilvl="0" w:tplc="A0902110">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14CB5"/>
    <w:multiLevelType w:val="hybridMultilevel"/>
    <w:tmpl w:val="09BC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6287D"/>
    <w:multiLevelType w:val="multilevel"/>
    <w:tmpl w:val="E37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B073C"/>
    <w:multiLevelType w:val="hybridMultilevel"/>
    <w:tmpl w:val="4D32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E52DB"/>
    <w:multiLevelType w:val="hybridMultilevel"/>
    <w:tmpl w:val="D562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148EA"/>
    <w:multiLevelType w:val="hybridMultilevel"/>
    <w:tmpl w:val="F698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DF4BE6"/>
    <w:multiLevelType w:val="multilevel"/>
    <w:tmpl w:val="E0D6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9430B"/>
    <w:multiLevelType w:val="hybridMultilevel"/>
    <w:tmpl w:val="5B02E168"/>
    <w:lvl w:ilvl="0" w:tplc="D9D8BA5E">
      <w:start w:val="1"/>
      <w:numFmt w:val="decimal"/>
      <w:lvlText w:val="%1."/>
      <w:lvlJc w:val="left"/>
      <w:pPr>
        <w:ind w:left="720" w:hanging="360"/>
      </w:pPr>
    </w:lvl>
    <w:lvl w:ilvl="1" w:tplc="38D6B94A">
      <w:start w:val="1"/>
      <w:numFmt w:val="lowerLetter"/>
      <w:lvlText w:val="%2."/>
      <w:lvlJc w:val="left"/>
      <w:pPr>
        <w:ind w:left="1440" w:hanging="360"/>
      </w:pPr>
    </w:lvl>
    <w:lvl w:ilvl="2" w:tplc="FE9E9266">
      <w:start w:val="1"/>
      <w:numFmt w:val="lowerRoman"/>
      <w:lvlText w:val="%3."/>
      <w:lvlJc w:val="right"/>
      <w:pPr>
        <w:ind w:left="2160" w:hanging="180"/>
      </w:pPr>
    </w:lvl>
    <w:lvl w:ilvl="3" w:tplc="BED6B4BA">
      <w:start w:val="1"/>
      <w:numFmt w:val="decimal"/>
      <w:lvlText w:val="%4."/>
      <w:lvlJc w:val="left"/>
      <w:pPr>
        <w:ind w:left="2880" w:hanging="360"/>
      </w:pPr>
    </w:lvl>
    <w:lvl w:ilvl="4" w:tplc="C534D786">
      <w:start w:val="1"/>
      <w:numFmt w:val="lowerLetter"/>
      <w:lvlText w:val="%5."/>
      <w:lvlJc w:val="left"/>
      <w:pPr>
        <w:ind w:left="3600" w:hanging="360"/>
      </w:pPr>
    </w:lvl>
    <w:lvl w:ilvl="5" w:tplc="A8FA0AAE">
      <w:start w:val="1"/>
      <w:numFmt w:val="lowerRoman"/>
      <w:lvlText w:val="%6."/>
      <w:lvlJc w:val="right"/>
      <w:pPr>
        <w:ind w:left="4320" w:hanging="180"/>
      </w:pPr>
    </w:lvl>
    <w:lvl w:ilvl="6" w:tplc="303848C0">
      <w:start w:val="1"/>
      <w:numFmt w:val="decimal"/>
      <w:lvlText w:val="%7."/>
      <w:lvlJc w:val="left"/>
      <w:pPr>
        <w:ind w:left="5040" w:hanging="360"/>
      </w:pPr>
    </w:lvl>
    <w:lvl w:ilvl="7" w:tplc="4EA0B354">
      <w:start w:val="1"/>
      <w:numFmt w:val="lowerLetter"/>
      <w:lvlText w:val="%8."/>
      <w:lvlJc w:val="left"/>
      <w:pPr>
        <w:ind w:left="5760" w:hanging="360"/>
      </w:pPr>
    </w:lvl>
    <w:lvl w:ilvl="8" w:tplc="2BC0E470">
      <w:start w:val="1"/>
      <w:numFmt w:val="lowerRoman"/>
      <w:lvlText w:val="%9."/>
      <w:lvlJc w:val="right"/>
      <w:pPr>
        <w:ind w:left="6480" w:hanging="180"/>
      </w:pPr>
    </w:lvl>
  </w:abstractNum>
  <w:abstractNum w:abstractNumId="19" w15:restartNumberingAfterBreak="0">
    <w:nsid w:val="572E5304"/>
    <w:multiLevelType w:val="hybridMultilevel"/>
    <w:tmpl w:val="E936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C26F07"/>
    <w:multiLevelType w:val="hybridMultilevel"/>
    <w:tmpl w:val="7780E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2E23DE"/>
    <w:multiLevelType w:val="hybridMultilevel"/>
    <w:tmpl w:val="9AC4B770"/>
    <w:lvl w:ilvl="0" w:tplc="E2022638">
      <w:numFmt w:val="bullet"/>
      <w:lvlText w:val="•"/>
      <w:lvlJc w:val="left"/>
      <w:pPr>
        <w:ind w:left="720" w:hanging="360"/>
      </w:pPr>
      <w:rPr>
        <w:rFonts w:ascii="Calibri" w:eastAsia="Calibr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84BFC"/>
    <w:multiLevelType w:val="hybridMultilevel"/>
    <w:tmpl w:val="975A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94401"/>
    <w:multiLevelType w:val="hybridMultilevel"/>
    <w:tmpl w:val="2BF81D7C"/>
    <w:lvl w:ilvl="0" w:tplc="80D6F1EE">
      <w:start w:val="1"/>
      <w:numFmt w:val="bullet"/>
      <w:lvlText w:val=""/>
      <w:lvlJc w:val="left"/>
      <w:pPr>
        <w:ind w:left="720" w:hanging="360"/>
      </w:pPr>
      <w:rPr>
        <w:rFonts w:ascii="Symbol" w:hAnsi="Symbol" w:hint="default"/>
      </w:rPr>
    </w:lvl>
    <w:lvl w:ilvl="1" w:tplc="F1BAF55C">
      <w:start w:val="1"/>
      <w:numFmt w:val="bullet"/>
      <w:lvlText w:val="o"/>
      <w:lvlJc w:val="left"/>
      <w:pPr>
        <w:ind w:left="1440" w:hanging="360"/>
      </w:pPr>
      <w:rPr>
        <w:rFonts w:ascii="Courier New" w:hAnsi="Courier New" w:hint="default"/>
      </w:rPr>
    </w:lvl>
    <w:lvl w:ilvl="2" w:tplc="7A8497BC">
      <w:start w:val="1"/>
      <w:numFmt w:val="bullet"/>
      <w:lvlText w:val=""/>
      <w:lvlJc w:val="left"/>
      <w:pPr>
        <w:ind w:left="2160" w:hanging="360"/>
      </w:pPr>
      <w:rPr>
        <w:rFonts w:ascii="Wingdings" w:hAnsi="Wingdings" w:hint="default"/>
      </w:rPr>
    </w:lvl>
    <w:lvl w:ilvl="3" w:tplc="908A6CA8">
      <w:start w:val="1"/>
      <w:numFmt w:val="bullet"/>
      <w:lvlText w:val=""/>
      <w:lvlJc w:val="left"/>
      <w:pPr>
        <w:ind w:left="2880" w:hanging="360"/>
      </w:pPr>
      <w:rPr>
        <w:rFonts w:ascii="Symbol" w:hAnsi="Symbol" w:hint="default"/>
      </w:rPr>
    </w:lvl>
    <w:lvl w:ilvl="4" w:tplc="E632BF00">
      <w:start w:val="1"/>
      <w:numFmt w:val="bullet"/>
      <w:lvlText w:val="o"/>
      <w:lvlJc w:val="left"/>
      <w:pPr>
        <w:ind w:left="3600" w:hanging="360"/>
      </w:pPr>
      <w:rPr>
        <w:rFonts w:ascii="Courier New" w:hAnsi="Courier New" w:hint="default"/>
      </w:rPr>
    </w:lvl>
    <w:lvl w:ilvl="5" w:tplc="0E5C277C">
      <w:start w:val="1"/>
      <w:numFmt w:val="bullet"/>
      <w:lvlText w:val=""/>
      <w:lvlJc w:val="left"/>
      <w:pPr>
        <w:ind w:left="4320" w:hanging="360"/>
      </w:pPr>
      <w:rPr>
        <w:rFonts w:ascii="Wingdings" w:hAnsi="Wingdings" w:hint="default"/>
      </w:rPr>
    </w:lvl>
    <w:lvl w:ilvl="6" w:tplc="2F4E3DA0">
      <w:start w:val="1"/>
      <w:numFmt w:val="bullet"/>
      <w:lvlText w:val=""/>
      <w:lvlJc w:val="left"/>
      <w:pPr>
        <w:ind w:left="5040" w:hanging="360"/>
      </w:pPr>
      <w:rPr>
        <w:rFonts w:ascii="Symbol" w:hAnsi="Symbol" w:hint="default"/>
      </w:rPr>
    </w:lvl>
    <w:lvl w:ilvl="7" w:tplc="7B887E6E">
      <w:start w:val="1"/>
      <w:numFmt w:val="bullet"/>
      <w:lvlText w:val="o"/>
      <w:lvlJc w:val="left"/>
      <w:pPr>
        <w:ind w:left="5760" w:hanging="360"/>
      </w:pPr>
      <w:rPr>
        <w:rFonts w:ascii="Courier New" w:hAnsi="Courier New" w:hint="default"/>
      </w:rPr>
    </w:lvl>
    <w:lvl w:ilvl="8" w:tplc="C57E0E42">
      <w:start w:val="1"/>
      <w:numFmt w:val="bullet"/>
      <w:lvlText w:val=""/>
      <w:lvlJc w:val="left"/>
      <w:pPr>
        <w:ind w:left="6480" w:hanging="360"/>
      </w:pPr>
      <w:rPr>
        <w:rFonts w:ascii="Wingdings" w:hAnsi="Wingdings" w:hint="default"/>
      </w:rPr>
    </w:lvl>
  </w:abstractNum>
  <w:abstractNum w:abstractNumId="24" w15:restartNumberingAfterBreak="0">
    <w:nsid w:val="72631211"/>
    <w:multiLevelType w:val="hybridMultilevel"/>
    <w:tmpl w:val="B258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8"/>
  </w:num>
  <w:num w:numId="3">
    <w:abstractNumId w:val="23"/>
  </w:num>
  <w:num w:numId="4">
    <w:abstractNumId w:val="5"/>
  </w:num>
  <w:num w:numId="5">
    <w:abstractNumId w:val="6"/>
  </w:num>
  <w:num w:numId="6">
    <w:abstractNumId w:val="12"/>
  </w:num>
  <w:num w:numId="7">
    <w:abstractNumId w:val="10"/>
  </w:num>
  <w:num w:numId="8">
    <w:abstractNumId w:val="3"/>
  </w:num>
  <w:num w:numId="9">
    <w:abstractNumId w:val="4"/>
  </w:num>
  <w:num w:numId="10">
    <w:abstractNumId w:val="25"/>
  </w:num>
  <w:num w:numId="11">
    <w:abstractNumId w:val="14"/>
  </w:num>
  <w:num w:numId="12">
    <w:abstractNumId w:val="21"/>
  </w:num>
  <w:num w:numId="13">
    <w:abstractNumId w:val="8"/>
  </w:num>
  <w:num w:numId="14">
    <w:abstractNumId w:val="24"/>
  </w:num>
  <w:num w:numId="15">
    <w:abstractNumId w:val="22"/>
  </w:num>
  <w:num w:numId="16">
    <w:abstractNumId w:val="9"/>
  </w:num>
  <w:num w:numId="17">
    <w:abstractNumId w:val="13"/>
  </w:num>
  <w:num w:numId="18">
    <w:abstractNumId w:val="1"/>
  </w:num>
  <w:num w:numId="19">
    <w:abstractNumId w:val="16"/>
  </w:num>
  <w:num w:numId="20">
    <w:abstractNumId w:val="11"/>
  </w:num>
  <w:num w:numId="21">
    <w:abstractNumId w:val="17"/>
  </w:num>
  <w:num w:numId="22">
    <w:abstractNumId w:val="20"/>
  </w:num>
  <w:num w:numId="23">
    <w:abstractNumId w:val="15"/>
  </w:num>
  <w:num w:numId="24">
    <w:abstractNumId w:val="0"/>
  </w:num>
  <w:num w:numId="25">
    <w:abstractNumId w:val="19"/>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A5AD5"/>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965A9"/>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713E"/>
    <w:rsid w:val="00A10AA3"/>
    <w:rsid w:val="00A10ABA"/>
    <w:rsid w:val="00A140C3"/>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253D9"/>
    <w:rsid w:val="00D254E4"/>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4069"/>
    <w:rsid w:val="00ED1856"/>
    <w:rsid w:val="00ED1984"/>
    <w:rsid w:val="00ED44A5"/>
    <w:rsid w:val="00EE1A1E"/>
    <w:rsid w:val="00EE301A"/>
    <w:rsid w:val="00EF469D"/>
    <w:rsid w:val="00F0123E"/>
    <w:rsid w:val="00F106DA"/>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225C1D1"/>
    <w:rsid w:val="039CC93C"/>
    <w:rsid w:val="0415E0EA"/>
    <w:rsid w:val="0546AD46"/>
    <w:rsid w:val="05824B51"/>
    <w:rsid w:val="05EC2066"/>
    <w:rsid w:val="0621ED2F"/>
    <w:rsid w:val="06675BE9"/>
    <w:rsid w:val="07A0F0EB"/>
    <w:rsid w:val="07D93AB8"/>
    <w:rsid w:val="09AED263"/>
    <w:rsid w:val="09E9701C"/>
    <w:rsid w:val="0B1F27C6"/>
    <w:rsid w:val="0C2F120B"/>
    <w:rsid w:val="0D27E4A4"/>
    <w:rsid w:val="0ED40383"/>
    <w:rsid w:val="0EE11B0D"/>
    <w:rsid w:val="0F7C923E"/>
    <w:rsid w:val="0F8214D8"/>
    <w:rsid w:val="11A84F62"/>
    <w:rsid w:val="120F2CAF"/>
    <w:rsid w:val="134135FE"/>
    <w:rsid w:val="139A573C"/>
    <w:rsid w:val="13A1EF98"/>
    <w:rsid w:val="146B1571"/>
    <w:rsid w:val="147859F3"/>
    <w:rsid w:val="14D8CCE7"/>
    <w:rsid w:val="15CE5CA7"/>
    <w:rsid w:val="177BBF8B"/>
    <w:rsid w:val="1B1D478B"/>
    <w:rsid w:val="1CA9C448"/>
    <w:rsid w:val="1DC0FE80"/>
    <w:rsid w:val="1E151E1B"/>
    <w:rsid w:val="23C37852"/>
    <w:rsid w:val="24406F96"/>
    <w:rsid w:val="245DC633"/>
    <w:rsid w:val="246B0E46"/>
    <w:rsid w:val="2564BC82"/>
    <w:rsid w:val="277761AD"/>
    <w:rsid w:val="28228451"/>
    <w:rsid w:val="282F2BA1"/>
    <w:rsid w:val="2854807C"/>
    <w:rsid w:val="29250B2B"/>
    <w:rsid w:val="293D1310"/>
    <w:rsid w:val="2966792A"/>
    <w:rsid w:val="2B96B95A"/>
    <w:rsid w:val="2C685AFE"/>
    <w:rsid w:val="2DC1CFB9"/>
    <w:rsid w:val="2F62168B"/>
    <w:rsid w:val="33512735"/>
    <w:rsid w:val="341787FD"/>
    <w:rsid w:val="35DEF428"/>
    <w:rsid w:val="374E7758"/>
    <w:rsid w:val="38231052"/>
    <w:rsid w:val="38698305"/>
    <w:rsid w:val="39690538"/>
    <w:rsid w:val="3A7FA600"/>
    <w:rsid w:val="3C29DE06"/>
    <w:rsid w:val="3D4EB9C3"/>
    <w:rsid w:val="3DFC615C"/>
    <w:rsid w:val="3EF65618"/>
    <w:rsid w:val="40564B05"/>
    <w:rsid w:val="4194BC18"/>
    <w:rsid w:val="42E02F9B"/>
    <w:rsid w:val="436D6061"/>
    <w:rsid w:val="44A600FB"/>
    <w:rsid w:val="44A89C41"/>
    <w:rsid w:val="44FDEADF"/>
    <w:rsid w:val="459B1921"/>
    <w:rsid w:val="471D072E"/>
    <w:rsid w:val="4B0643CA"/>
    <w:rsid w:val="4B8169E1"/>
    <w:rsid w:val="4D0F10AE"/>
    <w:rsid w:val="4DF38B44"/>
    <w:rsid w:val="4F1B2503"/>
    <w:rsid w:val="4FF02FF3"/>
    <w:rsid w:val="50C9DC70"/>
    <w:rsid w:val="51160FD4"/>
    <w:rsid w:val="520F085E"/>
    <w:rsid w:val="57FC70C8"/>
    <w:rsid w:val="586F1398"/>
    <w:rsid w:val="59E17E46"/>
    <w:rsid w:val="5A2AAB5C"/>
    <w:rsid w:val="5A8204F5"/>
    <w:rsid w:val="5DF95035"/>
    <w:rsid w:val="5F1F8459"/>
    <w:rsid w:val="5F9C6978"/>
    <w:rsid w:val="616DA950"/>
    <w:rsid w:val="63D5FAC5"/>
    <w:rsid w:val="649F95F9"/>
    <w:rsid w:val="673EF11B"/>
    <w:rsid w:val="6771E235"/>
    <w:rsid w:val="6A4E906E"/>
    <w:rsid w:val="6A7A7D70"/>
    <w:rsid w:val="6AC1C190"/>
    <w:rsid w:val="6CB4CEBB"/>
    <w:rsid w:val="6DB37391"/>
    <w:rsid w:val="6EFBE9E3"/>
    <w:rsid w:val="6FFAFD69"/>
    <w:rsid w:val="70BC9B72"/>
    <w:rsid w:val="7167FFD7"/>
    <w:rsid w:val="71D23318"/>
    <w:rsid w:val="71E23615"/>
    <w:rsid w:val="72910FAD"/>
    <w:rsid w:val="73CECF21"/>
    <w:rsid w:val="7523D793"/>
    <w:rsid w:val="7532F1F3"/>
    <w:rsid w:val="7608A007"/>
    <w:rsid w:val="76D3EF9B"/>
    <w:rsid w:val="78C2B221"/>
    <w:rsid w:val="7D18B673"/>
    <w:rsid w:val="7F0AB467"/>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pharmacy-staff-included-in-government-list-of-key-workers/" TargetMode="External"/><Relationship Id="rId18" Type="http://schemas.openxmlformats.org/officeDocument/2006/relationships/hyperlink" Target="https://psnc.org.uk/our-news/download-the-2020-prescription-charge-card/" TargetMode="External"/><Relationship Id="rId26" Type="http://schemas.openxmlformats.org/officeDocument/2006/relationships/hyperlink" Target="https://www.gov.uk/government/collections/wuhan-novel-coronavirus" TargetMode="External"/><Relationship Id="rId3" Type="http://schemas.openxmlformats.org/officeDocument/2006/relationships/customXml" Target="../customXml/item3.xml"/><Relationship Id="rId21" Type="http://schemas.openxmlformats.org/officeDocument/2006/relationships/hyperlink" Target="https://psnc.org.uk/contract-it/essential-service-clinical-governance/emergency-plann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coronavirus/wp-content/uploads/sites/52/2020/03/preparedness-letter_primary-care_community-pharmacy-19-march-2020.pdf" TargetMode="External"/><Relationship Id="rId17" Type="http://schemas.openxmlformats.org/officeDocument/2006/relationships/hyperlink" Target="https://psnc.org.uk/our-news/crucial-medicines-added-to-the-list-of-medicines-that-cannot-be-parallel-exported-from-the-uk/" TargetMode="External"/><Relationship Id="rId25" Type="http://schemas.openxmlformats.org/officeDocument/2006/relationships/hyperlink" Target="https://www.gov.uk/government/collections/wuhan-novel-coronavir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snc.org.uk/our-news/medicine-suppliers-request-prompt-return-of-tote-delivery-boxes/" TargetMode="External"/><Relationship Id="rId20" Type="http://schemas.openxmlformats.org/officeDocument/2006/relationships/hyperlink" Target="https://psnc.org.uk/the-healthcare-landscape/covid19/information-for-the-publi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covid-19-update-pqs-pharmacy-services-and-payments/" TargetMode="External"/><Relationship Id="rId24" Type="http://schemas.openxmlformats.org/officeDocument/2006/relationships/hyperlink" Target="https://campaignresources.phe.gov.uk/resources/campaigns/101/resources/5016"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our-news/further-support-materials-for-contractors-added-to-covid-19-hub-page/" TargetMode="External"/><Relationship Id="rId23" Type="http://schemas.openxmlformats.org/officeDocument/2006/relationships/hyperlink" Target="https://www.england.nhs.uk/coronavirus/primary-care/" TargetMode="External"/><Relationship Id="rId28" Type="http://schemas.openxmlformats.org/officeDocument/2006/relationships/hyperlink" Target="https://psnc.org.uk/the-healthcare-landscape/covid19/" TargetMode="External"/><Relationship Id="rId10" Type="http://schemas.openxmlformats.org/officeDocument/2006/relationships/endnotes" Target="endnotes.xml"/><Relationship Id="rId19" Type="http://schemas.openxmlformats.org/officeDocument/2006/relationships/hyperlink" Target="https://psnc.org.uk/the-healthcare-landscape/covid19/contractor-guidance-and-suppor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business-continuity/" TargetMode="External"/><Relationship Id="rId22" Type="http://schemas.openxmlformats.org/officeDocument/2006/relationships/hyperlink" Target="https://www.gov.uk/government/collections/wuhan-novel-coronavirus" TargetMode="External"/><Relationship Id="rId27" Type="http://schemas.openxmlformats.org/officeDocument/2006/relationships/hyperlink" Target="https://www.england.nhs.uk/coronavirus/primary-car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0CA6447A-2AFD-4CBE-94F3-CF4D9569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2</TotalTime>
  <Pages>2</Pages>
  <Words>1115</Words>
  <Characters>6360</Characters>
  <Application>Microsoft Office Word</Application>
  <DocSecurity>0</DocSecurity>
  <Lines>53</Lines>
  <Paragraphs>14</Paragraphs>
  <ScaleCrop>false</ScaleCrop>
  <Company>Microsoft</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Melinda</cp:lastModifiedBy>
  <cp:revision>2</cp:revision>
  <cp:lastPrinted>2018-01-08T12:15:00Z</cp:lastPrinted>
  <dcterms:created xsi:type="dcterms:W3CDTF">2020-03-20T18:39:00Z</dcterms:created>
  <dcterms:modified xsi:type="dcterms:W3CDTF">2020-03-20T18:39:00Z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