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3EB4" w14:textId="2CA19773" w:rsidR="0088676C" w:rsidRDefault="0088676C" w:rsidP="002C3BD7">
      <w:pPr>
        <w:rPr>
          <w:rFonts w:ascii="Calibri" w:eastAsia="Calibri" w:hAnsi="Calibri" w:cs="Calibri"/>
          <w:b/>
          <w:bCs/>
          <w:sz w:val="32"/>
          <w:szCs w:val="36"/>
        </w:rPr>
      </w:pPr>
      <w:r w:rsidRPr="005B3F3B">
        <w:rPr>
          <w:rFonts w:ascii="Times New Roman" w:hAnsi="Times New Roman"/>
          <w:noProof/>
          <w:color w:val="A6A6A6" w:themeColor="background1" w:themeShade="A6"/>
          <w:lang w:val="en-GB" w:eastAsia="en-GB"/>
        </w:rPr>
        <w:drawing>
          <wp:anchor distT="0" distB="0" distL="114300" distR="114300" simplePos="0" relativeHeight="251667456" behindDoc="1" locked="0" layoutInCell="1" allowOverlap="1" wp14:anchorId="3E6B265B" wp14:editId="1CC4ED04">
            <wp:simplePos x="0" y="0"/>
            <wp:positionH relativeFrom="margin">
              <wp:posOffset>4486275</wp:posOffset>
            </wp:positionH>
            <wp:positionV relativeFrom="paragraph">
              <wp:posOffset>635</wp:posOffset>
            </wp:positionV>
            <wp:extent cx="1522730" cy="678180"/>
            <wp:effectExtent l="0" t="0" r="1270" b="7620"/>
            <wp:wrapTight wrapText="bothSides">
              <wp:wrapPolygon edited="0">
                <wp:start x="1351" y="0"/>
                <wp:lineTo x="0" y="14562"/>
                <wp:lineTo x="0" y="17596"/>
                <wp:lineTo x="1081" y="21236"/>
                <wp:lineTo x="2432" y="21236"/>
                <wp:lineTo x="21348" y="18809"/>
                <wp:lineTo x="21348" y="8494"/>
                <wp:lineTo x="3513" y="0"/>
                <wp:lineTo x="1351" y="0"/>
              </wp:wrapPolygon>
            </wp:wrapTight>
            <wp:docPr id="1" name="Picture 1" descr="C:\Users\pettit henry\Documents\1. Theramex\8. Data files - Original\3. Logo and branding\Theramex logo with words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tit henry\Documents\1. Theramex\8. Data files - Original\3. Logo and branding\Theramex logo with words 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73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1DAB4" w14:textId="62EAE403" w:rsidR="0088676C" w:rsidRDefault="0088676C" w:rsidP="002C3BD7">
      <w:pPr>
        <w:rPr>
          <w:rFonts w:ascii="Calibri" w:eastAsia="Calibri" w:hAnsi="Calibri" w:cs="Calibri"/>
          <w:b/>
          <w:bCs/>
          <w:sz w:val="32"/>
          <w:szCs w:val="36"/>
        </w:rPr>
      </w:pPr>
    </w:p>
    <w:p w14:paraId="48CC6664" w14:textId="65F61572" w:rsidR="002C3BD7" w:rsidRPr="002C3BD7" w:rsidRDefault="002C3BD7" w:rsidP="002C3BD7">
      <w:pPr>
        <w:rPr>
          <w:rFonts w:ascii="Calibri" w:eastAsia="Calibri" w:hAnsi="Calibri" w:cs="Calibri"/>
          <w:b/>
          <w:bCs/>
          <w:sz w:val="32"/>
          <w:szCs w:val="36"/>
        </w:rPr>
      </w:pPr>
      <w:r w:rsidRPr="002C3BD7">
        <w:rPr>
          <w:rFonts w:ascii="Calibri" w:eastAsia="Calibri" w:hAnsi="Calibri" w:cs="Calibri"/>
          <w:b/>
          <w:bCs/>
          <w:sz w:val="32"/>
          <w:szCs w:val="36"/>
        </w:rPr>
        <w:t xml:space="preserve">Evorel Supply Update: </w:t>
      </w:r>
      <w:r w:rsidR="0089384B">
        <w:rPr>
          <w:rFonts w:ascii="Calibri" w:eastAsia="Calibri" w:hAnsi="Calibri" w:cs="Calibri"/>
          <w:b/>
          <w:bCs/>
          <w:sz w:val="32"/>
          <w:szCs w:val="36"/>
        </w:rPr>
        <w:t>August</w:t>
      </w:r>
      <w:r w:rsidRPr="002C3BD7">
        <w:rPr>
          <w:rFonts w:ascii="Calibri" w:eastAsia="Calibri" w:hAnsi="Calibri" w:cs="Calibri"/>
          <w:b/>
          <w:bCs/>
          <w:sz w:val="32"/>
          <w:szCs w:val="36"/>
        </w:rPr>
        <w:t xml:space="preserve"> 2020</w:t>
      </w:r>
    </w:p>
    <w:p w14:paraId="6480F480" w14:textId="225E6B3D" w:rsidR="002C3BD7" w:rsidRPr="002C3BD7" w:rsidRDefault="002C3BD7" w:rsidP="002C3BD7">
      <w:pPr>
        <w:rPr>
          <w:rFonts w:ascii="Calibri" w:eastAsia="Calibri" w:hAnsi="Calibri" w:cs="Calibri"/>
          <w:b/>
          <w:bCs/>
          <w:sz w:val="32"/>
          <w:szCs w:val="36"/>
        </w:rPr>
      </w:pPr>
    </w:p>
    <w:p w14:paraId="01A143F5" w14:textId="36112907" w:rsidR="00847F7F" w:rsidRDefault="00847F7F" w:rsidP="002C3BD7">
      <w:pPr>
        <w:rPr>
          <w:rFonts w:ascii="Calibri" w:eastAsia="Calibri" w:hAnsi="Calibri" w:cs="Calibri"/>
        </w:rPr>
      </w:pPr>
      <w:r>
        <w:rPr>
          <w:rFonts w:ascii="Calibri" w:eastAsia="Calibri" w:hAnsi="Calibri" w:cs="Calibri"/>
        </w:rPr>
        <w:t xml:space="preserve">Following the acquisition of Evorel by Theramex in October 2019, we have worked tirelessly with multiple manufacturing partners to resupply the product in the UK market. </w:t>
      </w:r>
      <w:r w:rsidR="002C3BD7">
        <w:rPr>
          <w:rFonts w:ascii="Calibri" w:eastAsia="Calibri" w:hAnsi="Calibri" w:cs="Calibri"/>
        </w:rPr>
        <w:t xml:space="preserve">Since February 2020, </w:t>
      </w:r>
      <w:r>
        <w:rPr>
          <w:rFonts w:ascii="Calibri" w:eastAsia="Calibri" w:hAnsi="Calibri" w:cs="Calibri"/>
        </w:rPr>
        <w:t xml:space="preserve">we have produced </w:t>
      </w:r>
      <w:r w:rsidR="0089384B">
        <w:rPr>
          <w:rFonts w:ascii="Calibri" w:eastAsia="Calibri" w:hAnsi="Calibri" w:cs="Calibri"/>
        </w:rPr>
        <w:t>over 800,000</w:t>
      </w:r>
      <w:r>
        <w:rPr>
          <w:rFonts w:ascii="Calibri" w:eastAsia="Calibri" w:hAnsi="Calibri" w:cs="Calibri"/>
        </w:rPr>
        <w:t xml:space="preserve"> packs across the Evorel portfolio</w:t>
      </w:r>
      <w:r w:rsidR="002C3BD7">
        <w:rPr>
          <w:rFonts w:ascii="Calibri" w:eastAsia="Calibri" w:hAnsi="Calibri" w:cs="Calibri"/>
        </w:rPr>
        <w:t xml:space="preserve">. There has been unprecedented demand for all of the products and we </w:t>
      </w:r>
      <w:r>
        <w:rPr>
          <w:rFonts w:ascii="Calibri" w:eastAsia="Calibri" w:hAnsi="Calibri" w:cs="Calibri"/>
        </w:rPr>
        <w:t xml:space="preserve">are are working with our manufacturing partners to continuously increase capacity in order to ensure that Evorel is readily available to every patient who needs it. </w:t>
      </w:r>
    </w:p>
    <w:p w14:paraId="5459B981" w14:textId="77777777" w:rsidR="00847F7F" w:rsidRDefault="00847F7F" w:rsidP="002C3BD7">
      <w:pPr>
        <w:rPr>
          <w:rFonts w:ascii="Calibri" w:eastAsia="Calibri" w:hAnsi="Calibri" w:cs="Calibri"/>
        </w:rPr>
      </w:pPr>
    </w:p>
    <w:p w14:paraId="4230BB1A" w14:textId="359B8424" w:rsidR="002C3BD7" w:rsidRDefault="00847F7F" w:rsidP="002C3BD7">
      <w:pPr>
        <w:rPr>
          <w:rFonts w:ascii="Calibri" w:eastAsia="Calibri" w:hAnsi="Calibri" w:cs="Calibri"/>
        </w:rPr>
      </w:pPr>
      <w:r>
        <w:rPr>
          <w:rFonts w:ascii="Calibri" w:eastAsia="Calibri" w:hAnsi="Calibri" w:cs="Calibri"/>
        </w:rPr>
        <w:t xml:space="preserve">We </w:t>
      </w:r>
      <w:r w:rsidR="002C3BD7">
        <w:rPr>
          <w:rFonts w:ascii="Calibri" w:eastAsia="Calibri" w:hAnsi="Calibri" w:cs="Calibri"/>
        </w:rPr>
        <w:t xml:space="preserve">would like to thank both patients and healthcare professionals for their patience </w:t>
      </w:r>
      <w:r w:rsidR="002C3BD7" w:rsidRPr="00911988">
        <w:rPr>
          <w:rFonts w:ascii="Calibri" w:eastAsia="Calibri" w:hAnsi="Calibri" w:cs="Calibri"/>
        </w:rPr>
        <w:t>as we focus our attention on building a stable supply chain</w:t>
      </w:r>
      <w:r w:rsidR="002C3BD7">
        <w:rPr>
          <w:rFonts w:ascii="Calibri" w:eastAsia="Calibri" w:hAnsi="Calibri" w:cs="Calibri"/>
        </w:rPr>
        <w:t xml:space="preserve">. </w:t>
      </w:r>
      <w:r w:rsidR="002C3BD7" w:rsidRPr="00911988">
        <w:rPr>
          <w:rFonts w:ascii="Calibri" w:eastAsia="Calibri" w:hAnsi="Calibri" w:cs="Calibri"/>
        </w:rPr>
        <w:t>In addition, we thank GPs across the UK for continuing to prescribe responsibly as we replenish the market and build a solid inventory of product.</w:t>
      </w:r>
    </w:p>
    <w:p w14:paraId="62869DCC" w14:textId="77777777" w:rsidR="002C3BD7" w:rsidRDefault="002C3BD7" w:rsidP="002C3BD7">
      <w:pPr>
        <w:rPr>
          <w:rFonts w:ascii="Calibri" w:eastAsia="Calibri" w:hAnsi="Calibri" w:cs="Calibri"/>
        </w:rPr>
      </w:pPr>
    </w:p>
    <w:p w14:paraId="616094A4" w14:textId="67C8D464" w:rsidR="002C3BD7" w:rsidRDefault="002C3BD7" w:rsidP="002C3BD7">
      <w:pPr>
        <w:rPr>
          <w:rFonts w:ascii="Calibri" w:eastAsia="Calibri" w:hAnsi="Calibri" w:cs="Calibri"/>
          <w:lang w:eastAsia="en-US"/>
        </w:rPr>
      </w:pPr>
      <w:r w:rsidRPr="00227BBC">
        <w:rPr>
          <w:rFonts w:ascii="Calibri" w:eastAsia="Calibri" w:hAnsi="Calibri" w:cs="Calibri"/>
        </w:rPr>
        <w:t xml:space="preserve">Evorel </w:t>
      </w:r>
      <w:r w:rsidR="0089384B">
        <w:rPr>
          <w:rFonts w:ascii="Calibri" w:eastAsia="Calibri" w:hAnsi="Calibri" w:cs="Calibri"/>
        </w:rPr>
        <w:t>50</w:t>
      </w:r>
      <w:r>
        <w:rPr>
          <w:rFonts w:ascii="Calibri" w:eastAsia="Calibri" w:hAnsi="Calibri" w:cs="Calibri"/>
        </w:rPr>
        <w:t>,</w:t>
      </w:r>
      <w:r w:rsidRPr="00227BBC">
        <w:rPr>
          <w:rFonts w:ascii="Calibri" w:eastAsia="Calibri" w:hAnsi="Calibri" w:cs="Calibri"/>
        </w:rPr>
        <w:t xml:space="preserve"> </w:t>
      </w:r>
      <w:r>
        <w:rPr>
          <w:rFonts w:ascii="Calibri" w:eastAsia="Calibri" w:hAnsi="Calibri" w:cs="Calibri"/>
        </w:rPr>
        <w:t xml:space="preserve">Evorel 100, Evorel Conti and Evorel Sequi are all currently available. </w:t>
      </w:r>
      <w:r>
        <w:rPr>
          <w:rFonts w:ascii="Calibri" w:eastAsia="Calibri" w:hAnsi="Calibri" w:cs="Calibri"/>
          <w:lang w:eastAsia="en-GB"/>
        </w:rPr>
        <w:t xml:space="preserve">There will be intermittent supply of Evorel </w:t>
      </w:r>
      <w:r w:rsidR="0089384B">
        <w:rPr>
          <w:rFonts w:ascii="Calibri" w:eastAsia="Calibri" w:hAnsi="Calibri" w:cs="Calibri"/>
          <w:lang w:eastAsia="en-GB"/>
        </w:rPr>
        <w:t>25 and Evorel 75</w:t>
      </w:r>
      <w:r>
        <w:rPr>
          <w:rFonts w:ascii="Calibri" w:eastAsia="Calibri" w:hAnsi="Calibri" w:cs="Calibri"/>
          <w:lang w:eastAsia="en-GB"/>
        </w:rPr>
        <w:t xml:space="preserve"> during the first half of </w:t>
      </w:r>
      <w:r w:rsidR="0089384B">
        <w:rPr>
          <w:rFonts w:ascii="Calibri" w:eastAsia="Calibri" w:hAnsi="Calibri" w:cs="Calibri"/>
          <w:lang w:eastAsia="en-GB"/>
        </w:rPr>
        <w:t>August</w:t>
      </w:r>
      <w:r>
        <w:rPr>
          <w:rFonts w:ascii="Calibri" w:eastAsia="Calibri" w:hAnsi="Calibri" w:cs="Calibri"/>
          <w:lang w:eastAsia="en-GB"/>
        </w:rPr>
        <w:t>.</w:t>
      </w:r>
      <w:r w:rsidR="00022AB3">
        <w:rPr>
          <w:rFonts w:ascii="Calibri" w:eastAsia="Calibri" w:hAnsi="Calibri" w:cs="Calibri"/>
          <w:lang w:eastAsia="en-GB"/>
        </w:rPr>
        <w:t xml:space="preserve"> </w:t>
      </w:r>
    </w:p>
    <w:p w14:paraId="5133493E" w14:textId="77777777" w:rsidR="002C3BD7" w:rsidRDefault="002C3BD7" w:rsidP="002C3BD7">
      <w:pPr>
        <w:rPr>
          <w:rFonts w:ascii="Calibri" w:eastAsia="Calibri" w:hAnsi="Calibri" w:cs="Calibri"/>
          <w:lang w:eastAsia="en-GB"/>
        </w:rPr>
      </w:pPr>
    </w:p>
    <w:p w14:paraId="378DBE6B" w14:textId="77777777" w:rsidR="002C3BD7" w:rsidRPr="00227BBC" w:rsidRDefault="002C3BD7" w:rsidP="002C3BD7">
      <w:pPr>
        <w:rPr>
          <w:rFonts w:ascii="Calibri" w:eastAsia="Calibri" w:hAnsi="Calibri" w:cs="Calibri"/>
          <w:lang w:eastAsia="en-GB"/>
        </w:rPr>
      </w:pPr>
    </w:p>
    <w:tbl>
      <w:tblPr>
        <w:tblpPr w:leftFromText="180" w:rightFromText="180" w:bottomFromText="115" w:vertAnchor="text"/>
        <w:tblW w:w="9346" w:type="dxa"/>
        <w:tblCellMar>
          <w:left w:w="0" w:type="dxa"/>
          <w:right w:w="0" w:type="dxa"/>
        </w:tblCellMar>
        <w:tblLook w:val="04A0" w:firstRow="1" w:lastRow="0" w:firstColumn="1" w:lastColumn="0" w:noHBand="0" w:noVBand="1"/>
      </w:tblPr>
      <w:tblGrid>
        <w:gridCol w:w="983"/>
        <w:gridCol w:w="2268"/>
        <w:gridCol w:w="6095"/>
      </w:tblGrid>
      <w:tr w:rsidR="002C3BD7" w:rsidRPr="00227BBC" w14:paraId="52CC6550" w14:textId="77777777" w:rsidTr="0040029C">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EE21E" w14:textId="77777777" w:rsidR="002C3BD7" w:rsidRPr="00227BBC" w:rsidRDefault="002C3BD7" w:rsidP="0040029C">
            <w:pPr>
              <w:rPr>
                <w:rFonts w:ascii="Calibri" w:eastAsia="Calibri" w:hAnsi="Calibri" w:cs="Calibri"/>
                <w:lang w:eastAsia="en-GB"/>
              </w:rPr>
            </w:pPr>
            <w:r w:rsidRPr="00227BBC">
              <w:rPr>
                <w:rFonts w:ascii="Calibri" w:eastAsia="Calibri" w:hAnsi="Calibri" w:cs="Calibri"/>
                <w:b/>
                <w:bCs/>
                <w:lang w:eastAsia="en-GB"/>
              </w:rPr>
              <w:t>Country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56B2B" w14:textId="77777777" w:rsidR="002C3BD7" w:rsidRPr="00227BBC" w:rsidRDefault="002C3BD7" w:rsidP="0040029C">
            <w:pPr>
              <w:rPr>
                <w:rFonts w:ascii="Calibri" w:eastAsia="Calibri" w:hAnsi="Calibri" w:cs="Calibri"/>
                <w:lang w:eastAsia="en-GB"/>
              </w:rPr>
            </w:pPr>
            <w:r w:rsidRPr="00227BBC">
              <w:rPr>
                <w:rFonts w:ascii="Calibri" w:eastAsia="Calibri" w:hAnsi="Calibri" w:cs="Calibri"/>
                <w:b/>
                <w:bCs/>
                <w:lang w:eastAsia="en-GB"/>
              </w:rPr>
              <w:t>Product Name</w:t>
            </w:r>
          </w:p>
        </w:tc>
        <w:tc>
          <w:tcPr>
            <w:tcW w:w="6095" w:type="dxa"/>
            <w:tcBorders>
              <w:top w:val="single" w:sz="8" w:space="0" w:color="auto"/>
              <w:left w:val="nil"/>
              <w:bottom w:val="single" w:sz="8" w:space="0" w:color="auto"/>
              <w:right w:val="single" w:sz="8" w:space="0" w:color="auto"/>
            </w:tcBorders>
            <w:hideMark/>
          </w:tcPr>
          <w:p w14:paraId="2AAD3B65" w14:textId="77777777" w:rsidR="002C3BD7" w:rsidRPr="00227BBC" w:rsidRDefault="002C3BD7" w:rsidP="0040029C">
            <w:pPr>
              <w:ind w:left="360"/>
              <w:rPr>
                <w:rFonts w:ascii="Calibri" w:eastAsia="Calibri" w:hAnsi="Calibri" w:cs="Calibri"/>
                <w:lang w:eastAsia="en-GB"/>
              </w:rPr>
            </w:pPr>
            <w:r w:rsidRPr="00227BBC">
              <w:rPr>
                <w:rFonts w:ascii="Calibri" w:eastAsia="Calibri" w:hAnsi="Calibri" w:cs="Calibri"/>
                <w:b/>
                <w:bCs/>
                <w:lang w:eastAsia="en-GB"/>
              </w:rPr>
              <w:t>Dates of Availability</w:t>
            </w:r>
          </w:p>
        </w:tc>
      </w:tr>
      <w:tr w:rsidR="002C3BD7" w:rsidRPr="00227BBC" w14:paraId="16F824F0" w14:textId="77777777" w:rsidTr="0040029C">
        <w:tc>
          <w:tcPr>
            <w:tcW w:w="983" w:type="dxa"/>
            <w:tcBorders>
              <w:top w:val="nil"/>
              <w:left w:val="single" w:sz="8" w:space="0" w:color="auto"/>
              <w:bottom w:val="nil"/>
              <w:right w:val="single" w:sz="8" w:space="0" w:color="auto"/>
            </w:tcBorders>
            <w:tcMar>
              <w:top w:w="0" w:type="dxa"/>
              <w:left w:w="108" w:type="dxa"/>
              <w:bottom w:w="0" w:type="dxa"/>
              <w:right w:w="108" w:type="dxa"/>
            </w:tcMar>
            <w:hideMark/>
          </w:tcPr>
          <w:p w14:paraId="06577CD1" w14:textId="77777777" w:rsidR="002C3BD7" w:rsidRPr="00227BBC" w:rsidRDefault="002C3BD7" w:rsidP="0040029C">
            <w:pPr>
              <w:rPr>
                <w:rFonts w:ascii="Calibri" w:eastAsia="Calibri" w:hAnsi="Calibri" w:cs="Calibri"/>
                <w:lang w:eastAsia="en-GB"/>
              </w:rPr>
            </w:pPr>
            <w:r w:rsidRPr="00227BBC">
              <w:rPr>
                <w:rFonts w:ascii="Calibri" w:eastAsia="Calibri" w:hAnsi="Calibri" w:cs="Calibri"/>
                <w:b/>
                <w:bCs/>
                <w:lang w:eastAsia="en-GB"/>
              </w:rPr>
              <w:t>UK</w:t>
            </w:r>
          </w:p>
        </w:tc>
        <w:tc>
          <w:tcPr>
            <w:tcW w:w="2268" w:type="dxa"/>
            <w:tcBorders>
              <w:top w:val="nil"/>
              <w:left w:val="nil"/>
              <w:bottom w:val="nil"/>
              <w:right w:val="single" w:sz="8" w:space="0" w:color="auto"/>
            </w:tcBorders>
            <w:tcMar>
              <w:top w:w="0" w:type="dxa"/>
              <w:left w:w="108" w:type="dxa"/>
              <w:bottom w:w="0" w:type="dxa"/>
              <w:right w:w="108" w:type="dxa"/>
            </w:tcMar>
            <w:hideMark/>
          </w:tcPr>
          <w:p w14:paraId="655C0DBA"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Evorel 25</w:t>
            </w:r>
          </w:p>
          <w:p w14:paraId="1787946E"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 xml:space="preserve">Evorel 50 </w:t>
            </w:r>
          </w:p>
          <w:p w14:paraId="4755FD1A"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Evorel 75</w:t>
            </w:r>
          </w:p>
          <w:p w14:paraId="48DBB0AD"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 xml:space="preserve">Evorel 100 </w:t>
            </w:r>
          </w:p>
          <w:p w14:paraId="2F15BBB5" w14:textId="77777777" w:rsidR="002C3BD7" w:rsidRPr="00D429CE" w:rsidRDefault="002C3BD7" w:rsidP="002C3BD7">
            <w:pPr>
              <w:numPr>
                <w:ilvl w:val="0"/>
                <w:numId w:val="30"/>
              </w:numPr>
              <w:rPr>
                <w:rFonts w:ascii="Calibri" w:hAnsi="Calibri" w:cs="Calibri"/>
                <w:lang w:eastAsia="en-GB"/>
              </w:rPr>
            </w:pPr>
            <w:r w:rsidRPr="00227BBC">
              <w:rPr>
                <w:rFonts w:ascii="Calibri" w:hAnsi="Calibri" w:cs="Calibri"/>
                <w:lang w:val="en-US" w:eastAsia="en-GB"/>
              </w:rPr>
              <w:t xml:space="preserve">Evorel Conti </w:t>
            </w:r>
          </w:p>
          <w:p w14:paraId="6FCEE6F1" w14:textId="77777777" w:rsidR="002C3BD7" w:rsidRPr="00227BBC" w:rsidRDefault="002C3BD7" w:rsidP="002C3BD7">
            <w:pPr>
              <w:numPr>
                <w:ilvl w:val="0"/>
                <w:numId w:val="30"/>
              </w:numPr>
              <w:rPr>
                <w:rFonts w:ascii="Calibri" w:hAnsi="Calibri" w:cs="Calibri"/>
                <w:lang w:eastAsia="en-GB"/>
              </w:rPr>
            </w:pPr>
            <w:r w:rsidRPr="00227BBC">
              <w:rPr>
                <w:rFonts w:ascii="Calibri" w:hAnsi="Calibri" w:cs="Calibri"/>
                <w:lang w:val="en-US" w:eastAsia="en-GB"/>
              </w:rPr>
              <w:t xml:space="preserve">Evorel Sequi </w:t>
            </w:r>
          </w:p>
        </w:tc>
        <w:tc>
          <w:tcPr>
            <w:tcW w:w="6095" w:type="dxa"/>
            <w:tcBorders>
              <w:top w:val="nil"/>
              <w:left w:val="nil"/>
              <w:bottom w:val="nil"/>
              <w:right w:val="single" w:sz="8" w:space="0" w:color="auto"/>
            </w:tcBorders>
            <w:hideMark/>
          </w:tcPr>
          <w:p w14:paraId="6F7EA3BC" w14:textId="17E87E00" w:rsidR="002C3BD7" w:rsidRPr="00227BBC" w:rsidRDefault="0089384B" w:rsidP="002C3BD7">
            <w:pPr>
              <w:numPr>
                <w:ilvl w:val="0"/>
                <w:numId w:val="31"/>
              </w:numPr>
              <w:rPr>
                <w:rFonts w:ascii="Calibri" w:hAnsi="Calibri" w:cs="Calibri"/>
                <w:lang w:eastAsia="en-GB"/>
              </w:rPr>
            </w:pPr>
            <w:r>
              <w:rPr>
                <w:rFonts w:ascii="Calibri" w:hAnsi="Calibri" w:cs="Calibri"/>
                <w:lang w:eastAsia="en-GB"/>
              </w:rPr>
              <w:t>Intermittent supply first half of August</w:t>
            </w:r>
          </w:p>
          <w:p w14:paraId="5CB75365" w14:textId="77777777" w:rsidR="0089384B" w:rsidRDefault="0089384B" w:rsidP="002C3BD7">
            <w:pPr>
              <w:numPr>
                <w:ilvl w:val="0"/>
                <w:numId w:val="31"/>
              </w:numPr>
              <w:rPr>
                <w:rFonts w:ascii="Calibri" w:hAnsi="Calibri" w:cs="Calibri"/>
                <w:lang w:eastAsia="en-GB"/>
              </w:rPr>
            </w:pPr>
            <w:r>
              <w:rPr>
                <w:rFonts w:ascii="Calibri" w:hAnsi="Calibri" w:cs="Calibri"/>
                <w:lang w:val="en-US" w:eastAsia="en-GB"/>
              </w:rPr>
              <w:t>Available</w:t>
            </w:r>
            <w:r>
              <w:rPr>
                <w:rFonts w:ascii="Calibri" w:hAnsi="Calibri" w:cs="Calibri"/>
                <w:lang w:eastAsia="en-GB"/>
              </w:rPr>
              <w:t xml:space="preserve"> </w:t>
            </w:r>
          </w:p>
          <w:p w14:paraId="45FD32AC" w14:textId="77777777" w:rsidR="0089384B" w:rsidRPr="00227BBC" w:rsidRDefault="0089384B" w:rsidP="0089384B">
            <w:pPr>
              <w:numPr>
                <w:ilvl w:val="0"/>
                <w:numId w:val="31"/>
              </w:numPr>
              <w:rPr>
                <w:rFonts w:ascii="Calibri" w:hAnsi="Calibri" w:cs="Calibri"/>
                <w:lang w:eastAsia="en-GB"/>
              </w:rPr>
            </w:pPr>
            <w:r>
              <w:rPr>
                <w:rFonts w:ascii="Calibri" w:hAnsi="Calibri" w:cs="Calibri"/>
                <w:lang w:eastAsia="en-GB"/>
              </w:rPr>
              <w:t>Intermittent supply first half of August</w:t>
            </w:r>
          </w:p>
          <w:p w14:paraId="3505B88C" w14:textId="77777777" w:rsidR="002C3BD7" w:rsidRPr="00227BBC" w:rsidRDefault="002C3BD7" w:rsidP="002C3BD7">
            <w:pPr>
              <w:numPr>
                <w:ilvl w:val="0"/>
                <w:numId w:val="31"/>
              </w:numPr>
              <w:rPr>
                <w:rFonts w:ascii="Calibri" w:hAnsi="Calibri" w:cs="Calibri"/>
                <w:lang w:eastAsia="en-GB"/>
              </w:rPr>
            </w:pPr>
            <w:r>
              <w:rPr>
                <w:rFonts w:ascii="Calibri" w:hAnsi="Calibri" w:cs="Calibri"/>
                <w:lang w:val="en-US" w:eastAsia="en-GB"/>
              </w:rPr>
              <w:t xml:space="preserve">Available </w:t>
            </w:r>
          </w:p>
          <w:p w14:paraId="378593AC" w14:textId="77777777" w:rsidR="002C3BD7" w:rsidRPr="00227BBC" w:rsidRDefault="002C3BD7" w:rsidP="002C3BD7">
            <w:pPr>
              <w:numPr>
                <w:ilvl w:val="0"/>
                <w:numId w:val="31"/>
              </w:numPr>
              <w:rPr>
                <w:rFonts w:ascii="Calibri" w:hAnsi="Calibri" w:cs="Calibri"/>
                <w:lang w:eastAsia="en-GB"/>
              </w:rPr>
            </w:pPr>
            <w:r>
              <w:rPr>
                <w:rFonts w:ascii="Calibri" w:hAnsi="Calibri" w:cs="Calibri"/>
                <w:lang w:eastAsia="en-GB"/>
              </w:rPr>
              <w:t xml:space="preserve">Available </w:t>
            </w:r>
          </w:p>
          <w:p w14:paraId="1A7F0BE6" w14:textId="77777777" w:rsidR="002C3BD7" w:rsidRPr="00227BBC" w:rsidRDefault="002C3BD7" w:rsidP="002C3BD7">
            <w:pPr>
              <w:numPr>
                <w:ilvl w:val="0"/>
                <w:numId w:val="31"/>
              </w:numPr>
              <w:rPr>
                <w:rFonts w:ascii="Calibri" w:hAnsi="Calibri" w:cs="Calibri"/>
                <w:lang w:eastAsia="en-GB"/>
              </w:rPr>
            </w:pPr>
            <w:r>
              <w:rPr>
                <w:rFonts w:ascii="Calibri" w:hAnsi="Calibri" w:cs="Calibri"/>
                <w:lang w:eastAsia="en-GB"/>
              </w:rPr>
              <w:t>Available</w:t>
            </w:r>
          </w:p>
        </w:tc>
      </w:tr>
      <w:tr w:rsidR="002C3BD7" w:rsidRPr="00227BBC" w14:paraId="7C1EA222" w14:textId="77777777" w:rsidTr="0040029C">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DCF5F" w14:textId="77777777" w:rsidR="002C3BD7" w:rsidRPr="00227BBC" w:rsidRDefault="002C3BD7" w:rsidP="0040029C">
            <w:pPr>
              <w:rPr>
                <w:rFonts w:ascii="Calibri" w:eastAsia="Calibri" w:hAnsi="Calibri" w:cs="Calibri"/>
                <w:b/>
                <w:bCs/>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F95497" w14:textId="77777777" w:rsidR="002C3BD7" w:rsidRPr="00227BBC" w:rsidRDefault="002C3BD7" w:rsidP="0040029C">
            <w:pPr>
              <w:rPr>
                <w:rFonts w:ascii="Calibri" w:eastAsia="Calibri" w:hAnsi="Calibri" w:cs="Calibri"/>
                <w:lang w:val="en-US" w:eastAsia="en-GB"/>
              </w:rPr>
            </w:pPr>
          </w:p>
        </w:tc>
        <w:tc>
          <w:tcPr>
            <w:tcW w:w="6095" w:type="dxa"/>
            <w:tcBorders>
              <w:top w:val="nil"/>
              <w:left w:val="nil"/>
              <w:bottom w:val="single" w:sz="8" w:space="0" w:color="auto"/>
              <w:right w:val="single" w:sz="8" w:space="0" w:color="auto"/>
            </w:tcBorders>
          </w:tcPr>
          <w:p w14:paraId="4E2EFFF8" w14:textId="77777777" w:rsidR="002C3BD7" w:rsidRPr="00227BBC" w:rsidRDefault="002C3BD7" w:rsidP="0040029C">
            <w:pPr>
              <w:rPr>
                <w:rFonts w:ascii="Calibri" w:eastAsia="Calibri" w:hAnsi="Calibri" w:cs="Calibri"/>
                <w:lang w:val="en-US" w:eastAsia="en-GB"/>
              </w:rPr>
            </w:pPr>
          </w:p>
        </w:tc>
      </w:tr>
    </w:tbl>
    <w:p w14:paraId="3E3EF8C6" w14:textId="77777777" w:rsidR="002C3BD7" w:rsidRPr="00227BBC" w:rsidRDefault="002C3BD7" w:rsidP="002C3BD7">
      <w:pPr>
        <w:rPr>
          <w:rFonts w:ascii="Calibri" w:eastAsia="Calibri" w:hAnsi="Calibri" w:cs="Calibri"/>
        </w:rPr>
      </w:pPr>
    </w:p>
    <w:p w14:paraId="10DA98AD" w14:textId="77777777" w:rsidR="002C3BD7" w:rsidRDefault="002C3BD7" w:rsidP="002C3BD7">
      <w:pPr>
        <w:rPr>
          <w:rFonts w:ascii="Calibri" w:eastAsia="Calibri" w:hAnsi="Calibri" w:cs="Calibri"/>
          <w:b/>
          <w:bCs/>
        </w:rPr>
      </w:pPr>
      <w:r>
        <w:rPr>
          <w:rFonts w:ascii="Calibri" w:eastAsia="Calibri" w:hAnsi="Calibri" w:cs="Calibri"/>
          <w:b/>
          <w:bCs/>
        </w:rPr>
        <w:t>Note to pharmacists</w:t>
      </w:r>
    </w:p>
    <w:p w14:paraId="2D1FE909" w14:textId="77777777" w:rsidR="002C3BD7" w:rsidRDefault="002C3BD7" w:rsidP="002C3BD7">
      <w:pPr>
        <w:rPr>
          <w:rFonts w:ascii="Calibri" w:eastAsia="Calibri" w:hAnsi="Calibri" w:cs="Calibri"/>
          <w:b/>
          <w:bCs/>
        </w:rPr>
      </w:pPr>
    </w:p>
    <w:p w14:paraId="3C3BBCFC" w14:textId="2FFD1513" w:rsidR="002C3BD7" w:rsidRDefault="002C3BD7" w:rsidP="002C3BD7">
      <w:pPr>
        <w:rPr>
          <w:rFonts w:ascii="Calibri" w:eastAsia="Calibri" w:hAnsi="Calibri" w:cs="Calibri"/>
          <w:iCs/>
        </w:rPr>
      </w:pPr>
      <w:r>
        <w:rPr>
          <w:rFonts w:ascii="Calibri" w:eastAsia="Calibri" w:hAnsi="Calibri" w:cs="Calibri"/>
        </w:rPr>
        <w:t xml:space="preserve">In order to ensure the widest possible reach of the available stock, Alliance Healthcare have applied monthly quotas to the volume of stock available to individual pharmacists. If you require additional stock above this quota, in order to fulfil prescriptions, please contact Alliance Healthcare Customer Service by telephone </w:t>
      </w:r>
      <w:r w:rsidRPr="00D429CE">
        <w:rPr>
          <w:rFonts w:ascii="Calibri" w:eastAsia="Calibri" w:hAnsi="Calibri" w:cs="Calibri"/>
          <w:i/>
          <w:iCs/>
        </w:rPr>
        <w:t>0330 100 0448</w:t>
      </w:r>
      <w:r w:rsidRPr="00D429CE">
        <w:rPr>
          <w:rFonts w:ascii="Calibri" w:eastAsia="Calibri" w:hAnsi="Calibri" w:cs="Calibri"/>
        </w:rPr>
        <w:t xml:space="preserve"> or email </w:t>
      </w:r>
      <w:hyperlink r:id="rId11" w:history="1">
        <w:r w:rsidRPr="00D429CE">
          <w:rPr>
            <w:rFonts w:ascii="Calibri" w:eastAsia="Calibri" w:hAnsi="Calibri" w:cs="Calibri"/>
            <w:i/>
            <w:iCs/>
          </w:rPr>
          <w:t>customerservice@alliance-healthcare.co.uk</w:t>
        </w:r>
      </w:hyperlink>
      <w:r>
        <w:rPr>
          <w:rFonts w:ascii="Calibri" w:eastAsia="Calibri" w:hAnsi="Calibri" w:cs="Calibri"/>
          <w:iCs/>
        </w:rPr>
        <w:t>.</w:t>
      </w:r>
    </w:p>
    <w:p w14:paraId="5ACDEAA9" w14:textId="77777777" w:rsidR="002C3BD7" w:rsidRPr="00D429CE" w:rsidRDefault="002C3BD7" w:rsidP="002C3BD7">
      <w:pPr>
        <w:rPr>
          <w:rFonts w:ascii="Calibri" w:eastAsia="Calibri" w:hAnsi="Calibri" w:cs="Calibri"/>
        </w:rPr>
      </w:pPr>
    </w:p>
    <w:p w14:paraId="28B02A71" w14:textId="77777777" w:rsidR="002C3BD7" w:rsidRDefault="002C3BD7" w:rsidP="002C3BD7">
      <w:pPr>
        <w:rPr>
          <w:rFonts w:ascii="Calibri" w:eastAsia="Calibri" w:hAnsi="Calibri" w:cs="Calibri"/>
          <w:b/>
          <w:bCs/>
        </w:rPr>
      </w:pPr>
    </w:p>
    <w:p w14:paraId="0958EAC0" w14:textId="77777777" w:rsidR="002C3BD7" w:rsidRPr="00911988" w:rsidRDefault="002C3BD7" w:rsidP="002C3BD7">
      <w:pPr>
        <w:rPr>
          <w:rFonts w:ascii="Calibri" w:eastAsia="Calibri" w:hAnsi="Calibri" w:cs="Calibri"/>
          <w:b/>
          <w:bCs/>
        </w:rPr>
      </w:pPr>
      <w:r w:rsidRPr="00911988">
        <w:rPr>
          <w:rFonts w:ascii="Calibri" w:eastAsia="Calibri" w:hAnsi="Calibri" w:cs="Calibri"/>
          <w:b/>
          <w:bCs/>
        </w:rPr>
        <w:t xml:space="preserve">Further information </w:t>
      </w:r>
    </w:p>
    <w:p w14:paraId="333275FB" w14:textId="77777777" w:rsidR="002C3BD7" w:rsidRPr="00911988" w:rsidRDefault="002C3BD7" w:rsidP="002C3BD7">
      <w:pPr>
        <w:rPr>
          <w:rFonts w:ascii="Calibri" w:eastAsia="Calibri" w:hAnsi="Calibri" w:cs="Calibri"/>
        </w:rPr>
      </w:pPr>
    </w:p>
    <w:p w14:paraId="31E4FACC" w14:textId="77777777" w:rsidR="002C3BD7" w:rsidRPr="00911988" w:rsidRDefault="002C3BD7" w:rsidP="002C3BD7">
      <w:pPr>
        <w:rPr>
          <w:rFonts w:ascii="Calibri" w:eastAsia="Calibri" w:hAnsi="Calibri" w:cs="Calibri"/>
        </w:rPr>
      </w:pPr>
      <w:r w:rsidRPr="00911988">
        <w:rPr>
          <w:rFonts w:ascii="Calibri" w:eastAsia="Calibri" w:hAnsi="Calibri" w:cs="Calibri"/>
        </w:rPr>
        <w:t>Patients who have any questions with regards to their treatment options should speak to their</w:t>
      </w:r>
      <w:r>
        <w:rPr>
          <w:rFonts w:ascii="Calibri" w:eastAsia="Calibri" w:hAnsi="Calibri" w:cs="Calibri"/>
        </w:rPr>
        <w:t xml:space="preserve"> general practitioner</w:t>
      </w:r>
      <w:r w:rsidRPr="00911988">
        <w:rPr>
          <w:rFonts w:ascii="Calibri" w:eastAsia="Calibri" w:hAnsi="Calibri" w:cs="Calibri"/>
        </w:rPr>
        <w:t xml:space="preserve">. </w:t>
      </w:r>
    </w:p>
    <w:p w14:paraId="38762B11" w14:textId="77777777" w:rsidR="002C3BD7" w:rsidRPr="00911988" w:rsidRDefault="002C3BD7" w:rsidP="002C3BD7">
      <w:pPr>
        <w:rPr>
          <w:rFonts w:ascii="Calibri" w:eastAsia="Calibri" w:hAnsi="Calibri" w:cs="Calibri"/>
        </w:rPr>
      </w:pPr>
    </w:p>
    <w:p w14:paraId="285F058B" w14:textId="77777777" w:rsidR="002C3BD7" w:rsidRPr="00227BBC" w:rsidRDefault="002C3BD7" w:rsidP="002C3BD7">
      <w:pPr>
        <w:rPr>
          <w:rFonts w:ascii="Calibri" w:eastAsia="Calibri" w:hAnsi="Calibri" w:cs="Calibri"/>
        </w:rPr>
      </w:pPr>
      <w:r w:rsidRPr="00911988">
        <w:rPr>
          <w:rFonts w:ascii="Calibri" w:eastAsia="Calibri" w:hAnsi="Calibri" w:cs="Calibri"/>
        </w:rPr>
        <w:t>For pharmacists and healthcare professionals who wish to place orders for the Evorel range of products, please contact Alliance Healthcare via your usual channels.</w:t>
      </w:r>
    </w:p>
    <w:p w14:paraId="7F371AB9" w14:textId="3022CC65" w:rsidR="001B15D8" w:rsidRDefault="001B15D8" w:rsidP="00485561"/>
    <w:p w14:paraId="420805F3" w14:textId="48D90B27" w:rsidR="00AA76B3" w:rsidRDefault="00AA76B3" w:rsidP="00485561"/>
    <w:p w14:paraId="498DA2C5" w14:textId="59AA43F8" w:rsidR="00AA76B3" w:rsidRDefault="00AA76B3">
      <w:pPr>
        <w:spacing w:after="160" w:line="259" w:lineRule="auto"/>
      </w:pPr>
      <w:r>
        <w:br w:type="page"/>
      </w:r>
    </w:p>
    <w:p w14:paraId="45378FF0" w14:textId="77777777" w:rsidR="0088676C" w:rsidRDefault="0088676C" w:rsidP="0088676C">
      <w:pPr>
        <w:pStyle w:val="NormalWeb"/>
        <w:shd w:val="clear" w:color="auto" w:fill="FFFFFF"/>
        <w:spacing w:after="143"/>
        <w:jc w:val="both"/>
        <w:rPr>
          <w:rFonts w:ascii="Arial Narrow" w:hAnsi="Arial Narrow" w:cs="Arial"/>
          <w:b/>
          <w:sz w:val="20"/>
          <w:szCs w:val="20"/>
        </w:rPr>
        <w:sectPr w:rsidR="0088676C" w:rsidSect="0088676C">
          <w:headerReference w:type="default" r:id="rId12"/>
          <w:footerReference w:type="default" r:id="rId13"/>
          <w:footerReference w:type="first" r:id="rId14"/>
          <w:pgSz w:w="11906" w:h="16838"/>
          <w:pgMar w:top="1440" w:right="1440" w:bottom="1440" w:left="1440" w:header="1049" w:footer="709" w:gutter="0"/>
          <w:cols w:space="708"/>
          <w:titlePg/>
          <w:docGrid w:linePitch="360"/>
        </w:sectPr>
      </w:pPr>
    </w:p>
    <w:p w14:paraId="49FA19DA" w14:textId="3E3DF6AF" w:rsidR="0088676C" w:rsidRDefault="0088676C" w:rsidP="0088676C">
      <w:pPr>
        <w:pStyle w:val="NormalWeb"/>
        <w:shd w:val="clear" w:color="auto" w:fill="FFFFFF"/>
        <w:spacing w:after="100"/>
        <w:jc w:val="both"/>
        <w:rPr>
          <w:rFonts w:ascii="Arial Narrow" w:hAnsi="Arial Narrow" w:cstheme="minorHAnsi"/>
          <w:sz w:val="20"/>
          <w:szCs w:val="20"/>
        </w:rPr>
      </w:pPr>
      <w:r w:rsidRPr="00166C0D">
        <w:rPr>
          <w:rFonts w:ascii="Arial Narrow" w:hAnsi="Arial Narrow" w:cs="Arial"/>
          <w:b/>
          <w:noProof/>
          <w:sz w:val="20"/>
          <w:szCs w:val="20"/>
        </w:rPr>
        <w:lastRenderedPageBreak/>
        <mc:AlternateContent>
          <mc:Choice Requires="wps">
            <w:drawing>
              <wp:anchor distT="91440" distB="91440" distL="365760" distR="365760" simplePos="0" relativeHeight="251669504" behindDoc="0" locked="0" layoutInCell="1" allowOverlap="1" wp14:anchorId="7347ED5A" wp14:editId="57B4728C">
                <wp:simplePos x="0" y="0"/>
                <wp:positionH relativeFrom="margin">
                  <wp:posOffset>-114300</wp:posOffset>
                </wp:positionH>
                <wp:positionV relativeFrom="margin">
                  <wp:posOffset>-114628</wp:posOffset>
                </wp:positionV>
                <wp:extent cx="6513830" cy="206629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651383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2906E" w14:textId="77777777" w:rsidR="0088676C" w:rsidRPr="001448E1" w:rsidRDefault="0088676C" w:rsidP="0088676C">
                            <w:pPr>
                              <w:jc w:val="both"/>
                              <w:rPr>
                                <w:rFonts w:ascii="Arial Narrow" w:hAnsi="Arial Narrow"/>
                                <w:color w:val="000000" w:themeColor="text1"/>
                                <w:sz w:val="20"/>
                                <w:szCs w:val="20"/>
                                <w:lang w:val="es-MX"/>
                              </w:rPr>
                            </w:pPr>
                            <w:r>
                              <w:rPr>
                                <w:rFonts w:ascii="Arial Narrow" w:hAnsi="Arial Narrow"/>
                                <w:color w:val="000000" w:themeColor="text1"/>
                                <w:sz w:val="20"/>
                                <w:szCs w:val="20"/>
                                <w:lang w:val="es-MX"/>
                              </w:rPr>
                              <w:t>EVOREL</w:t>
                            </w:r>
                            <w:r w:rsidRPr="001448E1">
                              <w:rPr>
                                <w:rFonts w:ascii="Arial Narrow" w:hAnsi="Arial Narrow"/>
                                <w:color w:val="000000" w:themeColor="text1"/>
                                <w:sz w:val="20"/>
                                <w:szCs w:val="20"/>
                                <w:vertAlign w:val="superscript"/>
                                <w:lang w:val="es-MX"/>
                              </w:rPr>
                              <w:t>®</w:t>
                            </w:r>
                            <w:r w:rsidRPr="001448E1">
                              <w:rPr>
                                <w:rFonts w:ascii="Arial Narrow" w:hAnsi="Arial Narrow"/>
                                <w:color w:val="000000" w:themeColor="text1"/>
                                <w:sz w:val="20"/>
                                <w:szCs w:val="20"/>
                                <w:lang w:val="es-MX"/>
                              </w:rPr>
                              <w:t xml:space="preserve"> </w:t>
                            </w:r>
                            <w:r>
                              <w:rPr>
                                <w:rFonts w:ascii="Arial Narrow" w:hAnsi="Arial Narrow"/>
                                <w:color w:val="000000" w:themeColor="text1"/>
                                <w:sz w:val="20"/>
                                <w:szCs w:val="20"/>
                                <w:lang w:val="es-MX"/>
                              </w:rPr>
                              <w:t xml:space="preserve">25,50,75,100 </w:t>
                            </w:r>
                            <w:r w:rsidRPr="001448E1">
                              <w:rPr>
                                <w:rFonts w:ascii="Arial Narrow" w:hAnsi="Arial Narrow"/>
                                <w:color w:val="000000" w:themeColor="text1"/>
                                <w:sz w:val="20"/>
                                <w:szCs w:val="20"/>
                                <w:lang w:val="es-MX"/>
                              </w:rPr>
                              <w:t>(</w:t>
                            </w:r>
                            <w:r>
                              <w:rPr>
                                <w:rFonts w:ascii="Arial Narrow" w:hAnsi="Arial Narrow"/>
                                <w:color w:val="000000" w:themeColor="text1"/>
                                <w:sz w:val="20"/>
                                <w:szCs w:val="20"/>
                                <w:lang w:val="es-MX"/>
                              </w:rPr>
                              <w:t>estradiol/</w:t>
                            </w:r>
                            <w:r w:rsidRPr="00A04DA0">
                              <w:rPr>
                                <w:rFonts w:ascii="Arial Narrow" w:hAnsi="Arial Narrow"/>
                                <w:color w:val="000000" w:themeColor="text1"/>
                                <w:sz w:val="20"/>
                                <w:szCs w:val="20"/>
                              </w:rPr>
                              <w:t>patch</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Abbreviated</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Prescribing</w:t>
                            </w:r>
                            <w:r w:rsidRPr="001448E1">
                              <w:rPr>
                                <w:rFonts w:ascii="Arial Narrow" w:hAnsi="Arial Narrow"/>
                                <w:color w:val="000000" w:themeColor="text1"/>
                                <w:sz w:val="20"/>
                                <w:szCs w:val="20"/>
                                <w:lang w:val="es-MX"/>
                              </w:rPr>
                              <w:t xml:space="preserve"> Information</w:t>
                            </w:r>
                          </w:p>
                          <w:p w14:paraId="6EFBB921" w14:textId="77777777" w:rsidR="0088676C" w:rsidRPr="001448E1" w:rsidRDefault="0088676C" w:rsidP="0088676C">
                            <w:pPr>
                              <w:jc w:val="both"/>
                              <w:rPr>
                                <w:rFonts w:ascii="Arial Narrow" w:hAnsi="Arial Narrow"/>
                                <w:color w:val="5B9BD5" w:themeColor="accent1"/>
                                <w:sz w:val="20"/>
                                <w:szCs w:val="20"/>
                              </w:rPr>
                            </w:pPr>
                            <w:r w:rsidRPr="001448E1">
                              <w:rPr>
                                <w:rFonts w:ascii="Arial Narrow" w:hAnsi="Arial Narrow"/>
                                <w:b/>
                                <w:color w:val="000000" w:themeColor="text1"/>
                                <w:sz w:val="20"/>
                                <w:szCs w:val="20"/>
                              </w:rPr>
                              <w:t>Please consult the Summary of Product Characteristics for other adverse reactions and full prescribing information</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347ED5A" id="Rectangle 146" o:spid="_x0000_s1026" style="position:absolute;left:0;text-align:left;margin-left:-9pt;margin-top:-9.05pt;width:512.9pt;height:162.7pt;z-index:25166950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" filled="f" stroked="f" strokeweight="1pt">
                <v:textbox style="mso-fit-shape-to-text:t" inset="10.8pt,0,10.8pt,0">
                  <w:txbxContent>
                    <w:p w14:paraId="7ED2906E" w14:textId="77777777" w:rsidR="0088676C" w:rsidRPr="001448E1" w:rsidRDefault="0088676C" w:rsidP="0088676C">
                      <w:pPr>
                        <w:jc w:val="both"/>
                        <w:rPr>
                          <w:rFonts w:ascii="Arial Narrow" w:hAnsi="Arial Narrow"/>
                          <w:color w:val="000000" w:themeColor="text1"/>
                          <w:sz w:val="20"/>
                          <w:szCs w:val="20"/>
                          <w:lang w:val="es-MX"/>
                        </w:rPr>
                      </w:pPr>
                      <w:r>
                        <w:rPr>
                          <w:rFonts w:ascii="Arial Narrow" w:hAnsi="Arial Narrow"/>
                          <w:color w:val="000000" w:themeColor="text1"/>
                          <w:sz w:val="20"/>
                          <w:szCs w:val="20"/>
                          <w:lang w:val="es-MX"/>
                        </w:rPr>
                        <w:t>EVOREL</w:t>
                      </w:r>
                      <w:r w:rsidRPr="001448E1">
                        <w:rPr>
                          <w:rFonts w:ascii="Arial Narrow" w:hAnsi="Arial Narrow"/>
                          <w:color w:val="000000" w:themeColor="text1"/>
                          <w:sz w:val="20"/>
                          <w:szCs w:val="20"/>
                          <w:vertAlign w:val="superscript"/>
                          <w:lang w:val="es-MX"/>
                        </w:rPr>
                        <w:t>®</w:t>
                      </w:r>
                      <w:r w:rsidRPr="001448E1">
                        <w:rPr>
                          <w:rFonts w:ascii="Arial Narrow" w:hAnsi="Arial Narrow"/>
                          <w:color w:val="000000" w:themeColor="text1"/>
                          <w:sz w:val="20"/>
                          <w:szCs w:val="20"/>
                          <w:lang w:val="es-MX"/>
                        </w:rPr>
                        <w:t xml:space="preserve"> </w:t>
                      </w:r>
                      <w:r>
                        <w:rPr>
                          <w:rFonts w:ascii="Arial Narrow" w:hAnsi="Arial Narrow"/>
                          <w:color w:val="000000" w:themeColor="text1"/>
                          <w:sz w:val="20"/>
                          <w:szCs w:val="20"/>
                          <w:lang w:val="es-MX"/>
                        </w:rPr>
                        <w:t xml:space="preserve">25,50,75,100 </w:t>
                      </w:r>
                      <w:r w:rsidRPr="001448E1">
                        <w:rPr>
                          <w:rFonts w:ascii="Arial Narrow" w:hAnsi="Arial Narrow"/>
                          <w:color w:val="000000" w:themeColor="text1"/>
                          <w:sz w:val="20"/>
                          <w:szCs w:val="20"/>
                          <w:lang w:val="es-MX"/>
                        </w:rPr>
                        <w:t>(</w:t>
                      </w:r>
                      <w:r>
                        <w:rPr>
                          <w:rFonts w:ascii="Arial Narrow" w:hAnsi="Arial Narrow"/>
                          <w:color w:val="000000" w:themeColor="text1"/>
                          <w:sz w:val="20"/>
                          <w:szCs w:val="20"/>
                          <w:lang w:val="es-MX"/>
                        </w:rPr>
                        <w:t>estradiol/</w:t>
                      </w:r>
                      <w:r w:rsidRPr="00A04DA0">
                        <w:rPr>
                          <w:rFonts w:ascii="Arial Narrow" w:hAnsi="Arial Narrow"/>
                          <w:color w:val="000000" w:themeColor="text1"/>
                          <w:sz w:val="20"/>
                          <w:szCs w:val="20"/>
                        </w:rPr>
                        <w:t>patch</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Abbreviated</w:t>
                      </w:r>
                      <w:r w:rsidRPr="001448E1">
                        <w:rPr>
                          <w:rFonts w:ascii="Arial Narrow" w:hAnsi="Arial Narrow"/>
                          <w:color w:val="000000" w:themeColor="text1"/>
                          <w:sz w:val="20"/>
                          <w:szCs w:val="20"/>
                          <w:lang w:val="es-MX"/>
                        </w:rPr>
                        <w:t xml:space="preserve"> </w:t>
                      </w:r>
                      <w:r w:rsidRPr="00A04DA0">
                        <w:rPr>
                          <w:rFonts w:ascii="Arial Narrow" w:hAnsi="Arial Narrow"/>
                          <w:color w:val="000000" w:themeColor="text1"/>
                          <w:sz w:val="20"/>
                          <w:szCs w:val="20"/>
                        </w:rPr>
                        <w:t>Prescribing</w:t>
                      </w:r>
                      <w:r w:rsidRPr="001448E1">
                        <w:rPr>
                          <w:rFonts w:ascii="Arial Narrow" w:hAnsi="Arial Narrow"/>
                          <w:color w:val="000000" w:themeColor="text1"/>
                          <w:sz w:val="20"/>
                          <w:szCs w:val="20"/>
                          <w:lang w:val="es-MX"/>
                        </w:rPr>
                        <w:t xml:space="preserve"> Information</w:t>
                      </w:r>
                    </w:p>
                    <w:p w14:paraId="6EFBB921" w14:textId="77777777" w:rsidR="0088676C" w:rsidRPr="001448E1" w:rsidRDefault="0088676C" w:rsidP="0088676C">
                      <w:pPr>
                        <w:jc w:val="both"/>
                        <w:rPr>
                          <w:rFonts w:ascii="Arial Narrow" w:hAnsi="Arial Narrow"/>
                          <w:color w:val="5B9BD5" w:themeColor="accent1"/>
                          <w:sz w:val="20"/>
                          <w:szCs w:val="20"/>
                        </w:rPr>
                      </w:pPr>
                      <w:r w:rsidRPr="001448E1">
                        <w:rPr>
                          <w:rFonts w:ascii="Arial Narrow" w:hAnsi="Arial Narrow"/>
                          <w:b/>
                          <w:color w:val="000000" w:themeColor="text1"/>
                          <w:sz w:val="20"/>
                          <w:szCs w:val="20"/>
                        </w:rPr>
                        <w:t>Please consult the Summary of Product Characteristics for other adverse reactions and full prescribing information</w:t>
                      </w:r>
                    </w:p>
                  </w:txbxContent>
                </v:textbox>
                <w10:wrap type="topAndBottom" anchorx="margin" anchory="margin"/>
              </v:rect>
            </w:pict>
          </mc:Fallback>
        </mc:AlternateContent>
      </w:r>
      <w:r w:rsidRPr="00166C0D">
        <w:rPr>
          <w:rFonts w:ascii="Arial Narrow" w:hAnsi="Arial Narrow" w:cs="Arial"/>
          <w:b/>
          <w:sz w:val="20"/>
          <w:szCs w:val="20"/>
        </w:rPr>
        <w:t>Presentation:</w:t>
      </w:r>
      <w:r w:rsidRPr="00166C0D">
        <w:rPr>
          <w:rFonts w:ascii="Arial Narrow" w:hAnsi="Arial Narrow" w:cs="Arial"/>
          <w:sz w:val="20"/>
          <w:szCs w:val="20"/>
        </w:rPr>
        <w:t xml:space="preserve"> </w:t>
      </w:r>
      <w:r>
        <w:rPr>
          <w:rFonts w:ascii="Arial Narrow" w:hAnsi="Arial Narrow" w:cs="Arial"/>
          <w:sz w:val="20"/>
          <w:szCs w:val="20"/>
        </w:rPr>
        <w:t>Evorel 25: 1.6mg estradiol patch; Evorel 50: 3.2mg estradiol patch; Evorel 75: 4.8mg estradiol patch; Evorel 100: 6.4mg estradiol patch.</w:t>
      </w:r>
      <w:r w:rsidRPr="00166C0D">
        <w:rPr>
          <w:rFonts w:ascii="Arial Narrow" w:hAnsi="Arial Narrow" w:cs="Arial"/>
          <w:sz w:val="20"/>
          <w:szCs w:val="20"/>
        </w:rPr>
        <w:t xml:space="preserve"> </w:t>
      </w:r>
      <w:r w:rsidRPr="00166C0D">
        <w:rPr>
          <w:rFonts w:ascii="Arial Narrow" w:hAnsi="Arial Narrow" w:cs="Arial"/>
          <w:b/>
          <w:sz w:val="20"/>
          <w:szCs w:val="20"/>
        </w:rPr>
        <w:t>Indication:</w:t>
      </w:r>
      <w:r w:rsidRPr="00166C0D">
        <w:rPr>
          <w:rFonts w:ascii="Arial Narrow" w:hAnsi="Arial Narrow" w:cs="Arial"/>
          <w:sz w:val="20"/>
          <w:szCs w:val="20"/>
        </w:rPr>
        <w:t xml:space="preserve"> </w:t>
      </w:r>
      <w:r w:rsidRPr="00491899">
        <w:rPr>
          <w:rFonts w:ascii="Arial Narrow" w:hAnsi="Arial Narrow" w:cs="Arial"/>
          <w:sz w:val="20"/>
          <w:szCs w:val="20"/>
        </w:rPr>
        <w:t>HRT for oestrogen deficiency symptoms in peri- and post-menopausal women</w:t>
      </w:r>
      <w:r>
        <w:rPr>
          <w:rFonts w:ascii="Arial Narrow" w:hAnsi="Arial Narrow" w:cs="Arial"/>
          <w:sz w:val="20"/>
          <w:szCs w:val="20"/>
        </w:rPr>
        <w:t xml:space="preserve">. </w:t>
      </w:r>
      <w:r w:rsidRPr="00473880">
        <w:rPr>
          <w:rFonts w:ascii="Arial Narrow" w:hAnsi="Arial Narrow" w:cs="Arial"/>
          <w:sz w:val="20"/>
          <w:szCs w:val="20"/>
        </w:rPr>
        <w:t>Evorel 50, 75 and 100 only:</w:t>
      </w:r>
      <w:r>
        <w:rPr>
          <w:rFonts w:ascii="Arial Narrow" w:hAnsi="Arial Narrow" w:cs="Arial"/>
          <w:sz w:val="20"/>
          <w:szCs w:val="20"/>
        </w:rPr>
        <w:t xml:space="preserve"> </w:t>
      </w:r>
      <w:r w:rsidRPr="00473880">
        <w:rPr>
          <w:rFonts w:ascii="Arial Narrow" w:hAnsi="Arial Narrow" w:cs="Arial"/>
          <w:sz w:val="20"/>
          <w:szCs w:val="20"/>
        </w:rPr>
        <w:t>Prevention of osteoporosis in post-menopausal women at high risk of future fractures who are intolerant of, or contraindicated for, other medicinal products approved for the prevention of osteoporosis.</w:t>
      </w:r>
      <w:r w:rsidRPr="00166C0D">
        <w:rPr>
          <w:rFonts w:ascii="Arial Narrow" w:hAnsi="Arial Narrow" w:cs="Arial"/>
          <w:sz w:val="20"/>
          <w:szCs w:val="20"/>
        </w:rPr>
        <w:t xml:space="preserve"> </w:t>
      </w:r>
      <w:r w:rsidRPr="00166C0D">
        <w:rPr>
          <w:rFonts w:ascii="Arial Narrow" w:hAnsi="Arial Narrow" w:cs="Arial"/>
          <w:b/>
          <w:sz w:val="20"/>
          <w:szCs w:val="20"/>
        </w:rPr>
        <w:t xml:space="preserve">Dosage &amp; administration: </w:t>
      </w:r>
      <w:r w:rsidRPr="00125C67">
        <w:rPr>
          <w:rFonts w:ascii="Arial Narrow" w:hAnsi="Arial Narrow" w:cs="Arial"/>
          <w:b/>
          <w:bCs/>
          <w:i/>
          <w:iCs/>
          <w:sz w:val="20"/>
          <w:szCs w:val="20"/>
        </w:rPr>
        <w:t>Adults:</w:t>
      </w:r>
      <w:r>
        <w:rPr>
          <w:rFonts w:ascii="Arial Narrow" w:hAnsi="Arial Narrow" w:cs="Arial"/>
          <w:sz w:val="20"/>
          <w:szCs w:val="20"/>
        </w:rPr>
        <w:t xml:space="preserve"> </w:t>
      </w:r>
      <w:r w:rsidRPr="00D4533E">
        <w:rPr>
          <w:rFonts w:ascii="Arial Narrow" w:hAnsi="Arial Narrow" w:cs="Arial"/>
          <w:sz w:val="20"/>
          <w:szCs w:val="20"/>
        </w:rPr>
        <w:t xml:space="preserve">Evorel is an </w:t>
      </w:r>
      <w:r>
        <w:rPr>
          <w:rFonts w:ascii="Arial Narrow" w:hAnsi="Arial Narrow" w:cs="Arial"/>
          <w:sz w:val="20"/>
          <w:szCs w:val="20"/>
        </w:rPr>
        <w:t>o</w:t>
      </w:r>
      <w:r w:rsidRPr="00D4533E">
        <w:rPr>
          <w:rFonts w:ascii="Arial Narrow" w:hAnsi="Arial Narrow" w:cs="Arial"/>
          <w:sz w:val="20"/>
          <w:szCs w:val="20"/>
        </w:rPr>
        <w:t>estrogen-only HRT patch applied to the skin twice weekly.</w:t>
      </w:r>
      <w:r>
        <w:rPr>
          <w:rFonts w:ascii="Arial Narrow" w:hAnsi="Arial Narrow" w:cs="Arial"/>
          <w:sz w:val="20"/>
          <w:szCs w:val="20"/>
        </w:rPr>
        <w:t xml:space="preserve"> </w:t>
      </w:r>
      <w:r w:rsidRPr="00D4533E">
        <w:rPr>
          <w:rFonts w:ascii="Arial Narrow" w:hAnsi="Arial Narrow" w:cs="Arial"/>
          <w:sz w:val="20"/>
          <w:szCs w:val="20"/>
        </w:rPr>
        <w:t>For initiation and continuation of treatment of menopausal symptoms, the lowest effective dose for the shortest duration</w:t>
      </w:r>
      <w:r>
        <w:rPr>
          <w:rFonts w:ascii="Arial Narrow" w:hAnsi="Arial Narrow" w:cs="Arial"/>
          <w:sz w:val="20"/>
          <w:szCs w:val="20"/>
        </w:rPr>
        <w:t xml:space="preserve"> </w:t>
      </w:r>
      <w:r w:rsidRPr="00D4533E">
        <w:rPr>
          <w:rFonts w:ascii="Arial Narrow" w:hAnsi="Arial Narrow" w:cs="Arial"/>
          <w:sz w:val="20"/>
          <w:szCs w:val="20"/>
        </w:rPr>
        <w:t>should be used.</w:t>
      </w:r>
      <w:r>
        <w:rPr>
          <w:rFonts w:ascii="Arial Narrow" w:hAnsi="Arial Narrow" w:cs="Arial"/>
          <w:sz w:val="20"/>
          <w:szCs w:val="20"/>
        </w:rPr>
        <w:t xml:space="preserve"> </w:t>
      </w:r>
      <w:r w:rsidRPr="00D4533E">
        <w:rPr>
          <w:rFonts w:ascii="Arial Narrow" w:hAnsi="Arial Narrow" w:cs="Arial"/>
          <w:sz w:val="20"/>
          <w:szCs w:val="20"/>
        </w:rPr>
        <w:t>For women with an intact uterus progestogen should normally be added to Evorel for the prevention of adverse endometrial effects, e.g. hyperplasia and cancer. The regimen may be either cyclic or continuous sequential.</w:t>
      </w:r>
      <w:r>
        <w:rPr>
          <w:rFonts w:ascii="Arial Narrow" w:hAnsi="Arial Narrow" w:cs="Arial"/>
          <w:sz w:val="20"/>
          <w:szCs w:val="20"/>
        </w:rPr>
        <w:t xml:space="preserve"> </w:t>
      </w:r>
      <w:r w:rsidRPr="00D4533E">
        <w:rPr>
          <w:rFonts w:ascii="Arial Narrow" w:hAnsi="Arial Narrow" w:cs="Arial"/>
          <w:sz w:val="20"/>
          <w:szCs w:val="20"/>
        </w:rPr>
        <w:t>Only progestogens approved for addition to oestrogen treatment may be prescribed (e.g. oral norethisterone, 1mg/day or medroxyprogesterone acetate, 2.5mg/day) and should be added for at least 12-14 days every month/28-day cycle.</w:t>
      </w:r>
      <w:r>
        <w:rPr>
          <w:rFonts w:ascii="Arial Narrow" w:hAnsi="Arial Narrow" w:cs="Arial"/>
          <w:sz w:val="20"/>
          <w:szCs w:val="20"/>
        </w:rPr>
        <w:t xml:space="preserve"> </w:t>
      </w:r>
      <w:r w:rsidRPr="00D4533E">
        <w:rPr>
          <w:rFonts w:ascii="Arial Narrow" w:hAnsi="Arial Narrow" w:cs="Arial"/>
          <w:sz w:val="20"/>
          <w:szCs w:val="20"/>
        </w:rPr>
        <w:t>Unless there is a previous diagnosis of endometriosis, it is not recommended to add a progestogen in hysterectomised women.</w:t>
      </w:r>
      <w:r w:rsidRPr="006C40CD">
        <w:t xml:space="preserve"> </w:t>
      </w:r>
      <w:r w:rsidRPr="00A32FB5">
        <w:rPr>
          <w:rFonts w:ascii="Arial Narrow" w:hAnsi="Arial Narrow" w:cs="Arial"/>
          <w:b/>
          <w:bCs/>
          <w:i/>
          <w:iCs/>
          <w:sz w:val="20"/>
          <w:szCs w:val="20"/>
        </w:rPr>
        <w:t>Treatment of oestrogen deficiency symptoms:</w:t>
      </w:r>
      <w:r>
        <w:rPr>
          <w:rFonts w:ascii="Arial Narrow" w:hAnsi="Arial Narrow" w:cs="Arial"/>
          <w:sz w:val="20"/>
          <w:szCs w:val="20"/>
        </w:rPr>
        <w:t xml:space="preserve"> </w:t>
      </w:r>
      <w:r w:rsidRPr="006C40CD">
        <w:rPr>
          <w:rFonts w:ascii="Arial Narrow" w:hAnsi="Arial Narrow" w:cs="Arial"/>
          <w:sz w:val="20"/>
          <w:szCs w:val="20"/>
        </w:rPr>
        <w:t xml:space="preserve">Therapy should be started with one Evorel 50 patch (delivering 50 </w:t>
      </w:r>
      <w:r w:rsidRPr="001E3B58">
        <w:rPr>
          <w:rFonts w:ascii="Arial Narrow" w:hAnsi="Arial Narrow" w:cs="Arial"/>
          <w:sz w:val="20"/>
          <w:szCs w:val="20"/>
        </w:rPr>
        <w:t>μg</w:t>
      </w:r>
      <w:r w:rsidRPr="006C40CD">
        <w:rPr>
          <w:rFonts w:ascii="Arial Narrow" w:hAnsi="Arial Narrow" w:cs="Arial"/>
          <w:sz w:val="20"/>
          <w:szCs w:val="20"/>
        </w:rPr>
        <w:t xml:space="preserve"> of estradiol/24 hours) and the dose adjusted after the first month if necessary, depending on efficacy and signs of over-</w:t>
      </w:r>
      <w:r>
        <w:rPr>
          <w:rFonts w:ascii="Arial Narrow" w:hAnsi="Arial Narrow" w:cs="Arial"/>
          <w:sz w:val="20"/>
          <w:szCs w:val="20"/>
        </w:rPr>
        <w:t>o</w:t>
      </w:r>
      <w:r w:rsidRPr="006C40CD">
        <w:rPr>
          <w:rFonts w:ascii="Arial Narrow" w:hAnsi="Arial Narrow" w:cs="Arial"/>
          <w:sz w:val="20"/>
          <w:szCs w:val="20"/>
        </w:rPr>
        <w:t xml:space="preserve">estrogenisation. For maintenance therapy the lowest effective dose should be used; a maximum dose of 100 </w:t>
      </w:r>
      <w:r w:rsidRPr="001E3B58">
        <w:rPr>
          <w:rFonts w:ascii="Arial Narrow" w:hAnsi="Arial Narrow" w:cs="Arial"/>
          <w:sz w:val="20"/>
          <w:szCs w:val="20"/>
        </w:rPr>
        <w:t>μg</w:t>
      </w:r>
      <w:r w:rsidRPr="006C40CD">
        <w:rPr>
          <w:rFonts w:ascii="Arial Narrow" w:hAnsi="Arial Narrow" w:cs="Arial"/>
          <w:sz w:val="20"/>
          <w:szCs w:val="20"/>
        </w:rPr>
        <w:t xml:space="preserve"> of estradiol/24 hours should not be exceeded.</w:t>
      </w:r>
      <w:r>
        <w:rPr>
          <w:rFonts w:ascii="Arial Narrow" w:hAnsi="Arial Narrow" w:cs="Arial"/>
          <w:sz w:val="20"/>
          <w:szCs w:val="20"/>
        </w:rPr>
        <w:t xml:space="preserve"> </w:t>
      </w:r>
      <w:r w:rsidRPr="00B5064B">
        <w:rPr>
          <w:rFonts w:ascii="Arial Narrow" w:hAnsi="Arial Narrow" w:cs="Arial"/>
          <w:b/>
          <w:bCs/>
          <w:i/>
          <w:iCs/>
          <w:sz w:val="20"/>
          <w:szCs w:val="20"/>
        </w:rPr>
        <w:t>Evorel 50, 75, 100:</w:t>
      </w:r>
      <w:r>
        <w:rPr>
          <w:rFonts w:ascii="Arial Narrow" w:hAnsi="Arial Narrow" w:cs="Arial"/>
          <w:sz w:val="20"/>
          <w:szCs w:val="20"/>
        </w:rPr>
        <w:t xml:space="preserve"> </w:t>
      </w:r>
      <w:r w:rsidRPr="00A32FB5">
        <w:rPr>
          <w:rFonts w:ascii="Arial Narrow" w:hAnsi="Arial Narrow" w:cs="Arial"/>
          <w:b/>
          <w:bCs/>
          <w:i/>
          <w:iCs/>
          <w:sz w:val="20"/>
          <w:szCs w:val="20"/>
        </w:rPr>
        <w:t>Prevention of post-menopausal osteoporosis:</w:t>
      </w:r>
      <w:r>
        <w:rPr>
          <w:rFonts w:ascii="Arial Narrow" w:hAnsi="Arial Narrow" w:cs="Arial"/>
          <w:sz w:val="20"/>
          <w:szCs w:val="20"/>
        </w:rPr>
        <w:t xml:space="preserve"> </w:t>
      </w:r>
      <w:r w:rsidRPr="006C40CD">
        <w:rPr>
          <w:rFonts w:ascii="Arial Narrow" w:hAnsi="Arial Narrow" w:cs="Arial"/>
          <w:sz w:val="20"/>
          <w:szCs w:val="20"/>
        </w:rPr>
        <w:t>Therapy should be started with Evorel 50. The dose may be adjusted depending on efficacy and signs of over-</w:t>
      </w:r>
      <w:r>
        <w:rPr>
          <w:rFonts w:ascii="Arial Narrow" w:hAnsi="Arial Narrow" w:cs="Arial"/>
          <w:sz w:val="20"/>
          <w:szCs w:val="20"/>
        </w:rPr>
        <w:t>o</w:t>
      </w:r>
      <w:r w:rsidRPr="006C40CD">
        <w:rPr>
          <w:rFonts w:ascii="Arial Narrow" w:hAnsi="Arial Narrow" w:cs="Arial"/>
          <w:sz w:val="20"/>
          <w:szCs w:val="20"/>
        </w:rPr>
        <w:t>estrogenisatio</w:t>
      </w:r>
      <w:r>
        <w:rPr>
          <w:rFonts w:ascii="Arial Narrow" w:hAnsi="Arial Narrow" w:cs="Arial"/>
          <w:sz w:val="20"/>
          <w:szCs w:val="20"/>
        </w:rPr>
        <w:t>n</w:t>
      </w:r>
      <w:r w:rsidRPr="006C40CD">
        <w:rPr>
          <w:rFonts w:ascii="Arial Narrow" w:hAnsi="Arial Narrow" w:cs="Arial"/>
          <w:sz w:val="20"/>
          <w:szCs w:val="20"/>
        </w:rPr>
        <w:t xml:space="preserve">. </w:t>
      </w:r>
      <w:r>
        <w:rPr>
          <w:rFonts w:ascii="Arial Narrow" w:hAnsi="Arial Narrow" w:cs="Arial"/>
          <w:sz w:val="20"/>
          <w:szCs w:val="20"/>
        </w:rPr>
        <w:t>T</w:t>
      </w:r>
      <w:r w:rsidRPr="006C40CD">
        <w:rPr>
          <w:rFonts w:ascii="Arial Narrow" w:hAnsi="Arial Narrow" w:cs="Arial"/>
          <w:sz w:val="20"/>
          <w:szCs w:val="20"/>
        </w:rPr>
        <w:t>he efficacy of Evorel 25 for the prevention of post- menopausal osteoporosis has not been demonstrated. For maintenance therapy, the lowest effective dose should be used. A dose of 100</w:t>
      </w:r>
      <w:r>
        <w:rPr>
          <w:rFonts w:ascii="Arial Narrow" w:hAnsi="Arial Narrow" w:cs="Arial"/>
          <w:sz w:val="20"/>
          <w:szCs w:val="20"/>
        </w:rPr>
        <w:t xml:space="preserve"> </w:t>
      </w:r>
      <w:r w:rsidRPr="001E3B58">
        <w:rPr>
          <w:rFonts w:ascii="Arial Narrow" w:hAnsi="Arial Narrow" w:cs="Arial"/>
          <w:sz w:val="20"/>
          <w:szCs w:val="20"/>
        </w:rPr>
        <w:t>μg</w:t>
      </w:r>
      <w:r w:rsidRPr="006C40CD">
        <w:rPr>
          <w:rFonts w:ascii="Arial Narrow" w:hAnsi="Arial Narrow" w:cs="Arial"/>
          <w:sz w:val="20"/>
          <w:szCs w:val="20"/>
        </w:rPr>
        <w:t xml:space="preserve"> of estradiol/24 hours should not be exceeded.</w:t>
      </w:r>
      <w:r>
        <w:rPr>
          <w:rFonts w:ascii="Arial Narrow" w:hAnsi="Arial Narrow" w:cs="Arial"/>
          <w:sz w:val="20"/>
          <w:szCs w:val="20"/>
        </w:rPr>
        <w:t xml:space="preserve"> </w:t>
      </w:r>
      <w:r w:rsidRPr="00894640">
        <w:rPr>
          <w:rFonts w:ascii="Arial Narrow" w:hAnsi="Arial Narrow" w:cs="Arial"/>
          <w:b/>
          <w:bCs/>
          <w:i/>
          <w:iCs/>
          <w:sz w:val="20"/>
          <w:szCs w:val="20"/>
        </w:rPr>
        <w:t>Guidance on how to start therapy:</w:t>
      </w:r>
      <w:r>
        <w:rPr>
          <w:rFonts w:ascii="Arial Narrow" w:hAnsi="Arial Narrow" w:cs="Arial"/>
          <w:sz w:val="20"/>
          <w:szCs w:val="20"/>
        </w:rPr>
        <w:t xml:space="preserve"> </w:t>
      </w:r>
      <w:r w:rsidRPr="006C40CD">
        <w:rPr>
          <w:rFonts w:ascii="Arial Narrow" w:hAnsi="Arial Narrow" w:cs="Arial"/>
          <w:sz w:val="20"/>
          <w:szCs w:val="20"/>
        </w:rPr>
        <w:t>Post-menopausal women currently not on HRT may start Evorel at any time.</w:t>
      </w:r>
      <w:r>
        <w:rPr>
          <w:rFonts w:ascii="Arial Narrow" w:hAnsi="Arial Narrow" w:cs="Arial"/>
          <w:sz w:val="20"/>
          <w:szCs w:val="20"/>
        </w:rPr>
        <w:t xml:space="preserve"> </w:t>
      </w:r>
      <w:r w:rsidRPr="006C40CD">
        <w:rPr>
          <w:rFonts w:ascii="Arial Narrow" w:hAnsi="Arial Narrow" w:cs="Arial"/>
          <w:sz w:val="20"/>
          <w:szCs w:val="20"/>
        </w:rPr>
        <w:t>Peri-menopausal women who are still having regular menstrual cycles and are not currently on HRT should start Evorel within 5 days of the start of bleeding. Peri-menopausal women with irregular menstrual cycles, for whom pregnancy has been excluded, can start Evorel at any time.</w:t>
      </w:r>
      <w:r>
        <w:rPr>
          <w:rFonts w:ascii="Arial Narrow" w:hAnsi="Arial Narrow" w:cs="Arial"/>
          <w:sz w:val="20"/>
          <w:szCs w:val="20"/>
        </w:rPr>
        <w:t xml:space="preserve"> </w:t>
      </w:r>
      <w:r w:rsidRPr="00894640">
        <w:rPr>
          <w:rFonts w:ascii="Arial Narrow" w:hAnsi="Arial Narrow" w:cs="Arial"/>
          <w:b/>
          <w:bCs/>
          <w:i/>
          <w:iCs/>
          <w:sz w:val="20"/>
          <w:szCs w:val="20"/>
        </w:rPr>
        <w:t>Switching from other HRT:</w:t>
      </w:r>
      <w:r>
        <w:rPr>
          <w:rFonts w:ascii="Arial Narrow" w:hAnsi="Arial Narrow" w:cs="Arial"/>
          <w:sz w:val="20"/>
          <w:szCs w:val="20"/>
        </w:rPr>
        <w:t xml:space="preserve"> </w:t>
      </w:r>
      <w:r w:rsidRPr="006C40CD">
        <w:rPr>
          <w:rFonts w:ascii="Arial Narrow" w:hAnsi="Arial Narrow" w:cs="Arial"/>
          <w:sz w:val="20"/>
          <w:szCs w:val="20"/>
        </w:rPr>
        <w:t>The switch from another oestrogen-only therapy in post-menopausal women to Evorel may occur at any time.</w:t>
      </w:r>
      <w:r>
        <w:rPr>
          <w:rFonts w:ascii="Arial Narrow" w:hAnsi="Arial Narrow" w:cs="Arial"/>
          <w:sz w:val="20"/>
          <w:szCs w:val="20"/>
        </w:rPr>
        <w:t xml:space="preserve"> </w:t>
      </w:r>
      <w:r w:rsidRPr="006C40CD">
        <w:rPr>
          <w:rFonts w:ascii="Arial Narrow" w:hAnsi="Arial Narrow" w:cs="Arial"/>
          <w:sz w:val="20"/>
          <w:szCs w:val="20"/>
        </w:rPr>
        <w:t>Women on a continuous combined regimen wishing to switch from another oestrogen to Evorel may do so at any time.</w:t>
      </w:r>
      <w:r>
        <w:rPr>
          <w:rFonts w:ascii="Arial Narrow" w:hAnsi="Arial Narrow" w:cs="Arial"/>
          <w:sz w:val="20"/>
          <w:szCs w:val="20"/>
        </w:rPr>
        <w:t xml:space="preserve"> </w:t>
      </w:r>
      <w:r w:rsidRPr="006C40CD">
        <w:rPr>
          <w:rFonts w:ascii="Arial Narrow" w:hAnsi="Arial Narrow" w:cs="Arial"/>
          <w:sz w:val="20"/>
          <w:szCs w:val="20"/>
        </w:rPr>
        <w:t>Women on a cyclic or continuous sequential regimen wishing to switch from a sequential combined HRT preparation to Evorel may do so at the end of a cycle of the current therapy or after a 7-day hormone free interval.</w:t>
      </w:r>
      <w:r>
        <w:rPr>
          <w:rFonts w:ascii="Arial Narrow" w:hAnsi="Arial Narrow" w:cs="Arial"/>
          <w:sz w:val="20"/>
          <w:szCs w:val="20"/>
        </w:rPr>
        <w:t xml:space="preserve"> </w:t>
      </w:r>
      <w:r w:rsidRPr="00683835">
        <w:rPr>
          <w:rFonts w:ascii="Arial Narrow" w:hAnsi="Arial Narrow" w:cs="Arial"/>
          <w:b/>
          <w:bCs/>
          <w:sz w:val="20"/>
          <w:szCs w:val="20"/>
        </w:rPr>
        <w:t>Method of Administration:</w:t>
      </w:r>
      <w:r>
        <w:rPr>
          <w:rFonts w:ascii="Arial Narrow" w:hAnsi="Arial Narrow" w:cs="Arial"/>
          <w:sz w:val="20"/>
          <w:szCs w:val="20"/>
        </w:rPr>
        <w:t xml:space="preserve"> </w:t>
      </w:r>
      <w:r w:rsidRPr="006C40CD">
        <w:rPr>
          <w:rFonts w:ascii="Arial Narrow" w:hAnsi="Arial Narrow" w:cs="Arial"/>
          <w:sz w:val="20"/>
          <w:szCs w:val="20"/>
        </w:rPr>
        <w:t>Evorel should be applied to the skin as soon as it is removed from the wrapper. Recommended application sites are on clean, dry, healthy, intact skin and each application should be made to a slightly different area of skin on the trunk below waistline</w:t>
      </w:r>
      <w:r w:rsidRPr="003C511C">
        <w:rPr>
          <w:rFonts w:ascii="Arial Narrow" w:hAnsi="Arial Narrow" w:cs="Arial"/>
          <w:i/>
          <w:iCs/>
          <w:sz w:val="20"/>
          <w:szCs w:val="20"/>
        </w:rPr>
        <w:t xml:space="preserve">. </w:t>
      </w:r>
      <w:r w:rsidRPr="007E4C71">
        <w:rPr>
          <w:rFonts w:ascii="Arial Narrow" w:hAnsi="Arial Narrow" w:cs="Arial"/>
          <w:sz w:val="20"/>
          <w:szCs w:val="20"/>
        </w:rPr>
        <w:t>Should not be applied on or near the breasts.</w:t>
      </w:r>
      <w:r>
        <w:rPr>
          <w:rFonts w:ascii="Arial Narrow" w:hAnsi="Arial Narrow" w:cs="Arial"/>
          <w:sz w:val="20"/>
          <w:szCs w:val="20"/>
        </w:rPr>
        <w:t xml:space="preserve"> </w:t>
      </w:r>
      <w:r w:rsidRPr="006C40CD">
        <w:rPr>
          <w:rFonts w:ascii="Arial Narrow" w:hAnsi="Arial Narrow" w:cs="Arial"/>
          <w:sz w:val="20"/>
          <w:szCs w:val="20"/>
        </w:rPr>
        <w:t>Only one patch should be applied at a time.</w:t>
      </w:r>
      <w:r>
        <w:rPr>
          <w:rFonts w:ascii="Arial Narrow" w:hAnsi="Arial Narrow" w:cs="Arial"/>
          <w:sz w:val="20"/>
          <w:szCs w:val="20"/>
        </w:rPr>
        <w:t xml:space="preserve"> </w:t>
      </w:r>
      <w:r w:rsidRPr="006C40CD">
        <w:rPr>
          <w:rFonts w:ascii="Arial Narrow" w:hAnsi="Arial Narrow" w:cs="Arial"/>
          <w:sz w:val="20"/>
          <w:szCs w:val="20"/>
        </w:rPr>
        <w:t>There is an increased likelihood of break-through bleeding and spotting when a patch is not replaced at the normal time.</w:t>
      </w:r>
      <w:r>
        <w:rPr>
          <w:rFonts w:ascii="Arial Narrow" w:hAnsi="Arial Narrow" w:cs="Arial"/>
          <w:sz w:val="20"/>
          <w:szCs w:val="20"/>
        </w:rPr>
        <w:t xml:space="preserve"> </w:t>
      </w:r>
      <w:r w:rsidRPr="00125C67">
        <w:rPr>
          <w:rFonts w:ascii="Arial Narrow" w:hAnsi="Arial Narrow" w:cs="Arial"/>
          <w:b/>
          <w:bCs/>
          <w:i/>
          <w:iCs/>
          <w:sz w:val="20"/>
          <w:szCs w:val="20"/>
        </w:rPr>
        <w:t>Children</w:t>
      </w:r>
      <w:r w:rsidRPr="00125C67">
        <w:rPr>
          <w:rFonts w:ascii="Arial Narrow" w:hAnsi="Arial Narrow" w:cs="Arial"/>
          <w:b/>
          <w:bCs/>
          <w:sz w:val="20"/>
          <w:szCs w:val="20"/>
        </w:rPr>
        <w:t>:</w:t>
      </w:r>
      <w:r w:rsidRPr="00080F83">
        <w:rPr>
          <w:rFonts w:ascii="Arial Narrow" w:hAnsi="Arial Narrow" w:cs="Arial"/>
          <w:sz w:val="20"/>
          <w:szCs w:val="20"/>
        </w:rPr>
        <w:t xml:space="preserve"> </w:t>
      </w:r>
      <w:r>
        <w:rPr>
          <w:rFonts w:ascii="Arial Narrow" w:hAnsi="Arial Narrow" w:cs="Arial"/>
          <w:sz w:val="20"/>
          <w:szCs w:val="20"/>
        </w:rPr>
        <w:t>N</w:t>
      </w:r>
      <w:r w:rsidRPr="00080F83">
        <w:rPr>
          <w:rFonts w:ascii="Arial Narrow" w:hAnsi="Arial Narrow" w:cs="Arial"/>
          <w:sz w:val="20"/>
          <w:szCs w:val="20"/>
        </w:rPr>
        <w:t xml:space="preserve">ot indicated in children. </w:t>
      </w:r>
      <w:r w:rsidRPr="00125C67">
        <w:rPr>
          <w:rFonts w:ascii="Arial Narrow" w:hAnsi="Arial Narrow" w:cs="Arial"/>
          <w:b/>
          <w:bCs/>
          <w:i/>
          <w:iCs/>
          <w:sz w:val="20"/>
          <w:szCs w:val="20"/>
        </w:rPr>
        <w:t>Elderly:</w:t>
      </w:r>
      <w:r w:rsidRPr="00080F83">
        <w:rPr>
          <w:rFonts w:ascii="Arial Narrow" w:hAnsi="Arial Narrow" w:cs="Arial"/>
          <w:sz w:val="20"/>
          <w:szCs w:val="20"/>
        </w:rPr>
        <w:t xml:space="preserve"> Data are insufficient in the elderly (&gt;65 years old). </w:t>
      </w:r>
      <w:r w:rsidRPr="00125C67">
        <w:rPr>
          <w:rFonts w:ascii="Arial Narrow" w:hAnsi="Arial Narrow" w:cs="Arial"/>
          <w:b/>
          <w:bCs/>
          <w:i/>
          <w:iCs/>
          <w:sz w:val="20"/>
          <w:szCs w:val="20"/>
        </w:rPr>
        <w:t>Route of administration:</w:t>
      </w:r>
      <w:r w:rsidRPr="00080F83">
        <w:rPr>
          <w:rFonts w:ascii="Arial Narrow" w:hAnsi="Arial Narrow" w:cs="Arial"/>
          <w:sz w:val="20"/>
          <w:szCs w:val="20"/>
        </w:rPr>
        <w:t xml:space="preserve"> Transdermal use. </w:t>
      </w:r>
      <w:r w:rsidRPr="00080F83">
        <w:rPr>
          <w:rFonts w:ascii="Arial Narrow" w:hAnsi="Arial Narrow" w:cs="Arial"/>
          <w:b/>
          <w:sz w:val="20"/>
          <w:szCs w:val="20"/>
        </w:rPr>
        <w:t xml:space="preserve">Contraindications: </w:t>
      </w:r>
      <w:r w:rsidRPr="00080F83">
        <w:rPr>
          <w:rFonts w:ascii="Arial Narrow" w:hAnsi="Arial Narrow" w:cs="Arial"/>
          <w:sz w:val="20"/>
          <w:szCs w:val="20"/>
        </w:rPr>
        <w:t xml:space="preserve">Known, current or past or suspected breast cancer. Known or suspected oestrogen-dependent malignant tumours or pre-malignant tumours. Undiagnosed genital bleeding. Previous idiopathic or current </w:t>
      </w:r>
      <w:r>
        <w:rPr>
          <w:rFonts w:ascii="Arial Narrow" w:hAnsi="Arial Narrow" w:cs="Arial"/>
          <w:sz w:val="20"/>
          <w:szCs w:val="20"/>
        </w:rPr>
        <w:t>VTE</w:t>
      </w:r>
      <w:r w:rsidRPr="00080F83">
        <w:rPr>
          <w:rFonts w:ascii="Arial Narrow" w:hAnsi="Arial Narrow" w:cs="Arial"/>
          <w:sz w:val="20"/>
          <w:szCs w:val="20"/>
        </w:rPr>
        <w:t xml:space="preserve">. Active or recent past </w:t>
      </w:r>
      <w:r>
        <w:rPr>
          <w:rFonts w:ascii="Arial Narrow" w:hAnsi="Arial Narrow" w:cs="Arial"/>
          <w:sz w:val="20"/>
          <w:szCs w:val="20"/>
        </w:rPr>
        <w:t>ATE</w:t>
      </w:r>
      <w:r w:rsidRPr="00080F83">
        <w:rPr>
          <w:rFonts w:ascii="Arial Narrow" w:hAnsi="Arial Narrow" w:cs="Arial"/>
          <w:sz w:val="20"/>
          <w:szCs w:val="20"/>
        </w:rPr>
        <w:t xml:space="preserve"> disease. Acute liver disease, or a history of liver disease if liver function tests have failed to return to normal. Known </w:t>
      </w:r>
      <w:r w:rsidRPr="00F64A55">
        <w:rPr>
          <w:rFonts w:ascii="Arial Narrow" w:hAnsi="Arial Narrow" w:cs="Arial"/>
          <w:sz w:val="20"/>
          <w:szCs w:val="20"/>
        </w:rPr>
        <w:t>thrombophilic</w:t>
      </w:r>
      <w:r w:rsidRPr="00080F83">
        <w:rPr>
          <w:rFonts w:ascii="Arial Narrow" w:hAnsi="Arial Narrow" w:cs="Arial"/>
          <w:sz w:val="20"/>
          <w:szCs w:val="20"/>
        </w:rPr>
        <w:t xml:space="preserve"> conditions. Known hypersensitivity to the active substances or to any of the excipients</w:t>
      </w:r>
      <w:r>
        <w:rPr>
          <w:rFonts w:ascii="Arial Narrow" w:hAnsi="Arial Narrow" w:cs="Arial"/>
          <w:sz w:val="20"/>
          <w:szCs w:val="20"/>
        </w:rPr>
        <w:t>.</w:t>
      </w:r>
      <w:r w:rsidRPr="00080F83">
        <w:rPr>
          <w:rFonts w:ascii="Arial Narrow" w:hAnsi="Arial Narrow" w:cs="Arial"/>
          <w:sz w:val="20"/>
          <w:szCs w:val="20"/>
        </w:rPr>
        <w:t xml:space="preserve"> Porphyria. </w:t>
      </w:r>
      <w:r w:rsidRPr="00080F83">
        <w:rPr>
          <w:rFonts w:ascii="Arial Narrow" w:hAnsi="Arial Narrow" w:cs="Arial"/>
          <w:b/>
          <w:sz w:val="20"/>
          <w:szCs w:val="20"/>
        </w:rPr>
        <w:t xml:space="preserve">Special warnings and precautions for use: </w:t>
      </w:r>
      <w:r w:rsidRPr="00080F83">
        <w:rPr>
          <w:rFonts w:ascii="Arial Narrow" w:hAnsi="Arial Narrow" w:cs="Arial"/>
          <w:sz w:val="20"/>
          <w:szCs w:val="20"/>
        </w:rPr>
        <w:t>Before initiating or re-instituting HRT, a complete personal and family medical history should be taken</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i/>
          <w:sz w:val="20"/>
          <w:szCs w:val="20"/>
        </w:rPr>
        <w:t xml:space="preserve">Conditions which need supervision: </w:t>
      </w:r>
      <w:r w:rsidRPr="00080F83">
        <w:rPr>
          <w:rFonts w:ascii="Arial Narrow" w:hAnsi="Arial Narrow" w:cs="Arial"/>
          <w:sz w:val="20"/>
          <w:szCs w:val="20"/>
        </w:rPr>
        <w:t>If any of the following conditions are present, occurred previously, have been aggravated during pregnancy or previous hormone treatment, supervise patient closely. Conditions may recur or be aggravated during treatment, in particular: Leiomyoma or endometriosis</w:t>
      </w:r>
      <w:r>
        <w:rPr>
          <w:rFonts w:ascii="Arial Narrow" w:hAnsi="Arial Narrow" w:cs="Arial"/>
          <w:sz w:val="20"/>
          <w:szCs w:val="20"/>
        </w:rPr>
        <w:t>,</w:t>
      </w:r>
      <w:r w:rsidRPr="00080F83">
        <w:rPr>
          <w:rFonts w:ascii="Arial Narrow" w:hAnsi="Arial Narrow" w:cs="Arial"/>
          <w:sz w:val="20"/>
          <w:szCs w:val="20"/>
        </w:rPr>
        <w:t xml:space="preserve"> </w:t>
      </w:r>
      <w:r>
        <w:rPr>
          <w:rFonts w:ascii="Arial Narrow" w:hAnsi="Arial Narrow" w:cs="Arial"/>
          <w:sz w:val="20"/>
          <w:szCs w:val="20"/>
        </w:rPr>
        <w:t>a</w:t>
      </w:r>
      <w:r w:rsidRPr="00B815B8">
        <w:rPr>
          <w:rFonts w:ascii="Arial Narrow" w:hAnsi="Arial Narrow" w:cs="Arial"/>
          <w:sz w:val="20"/>
          <w:szCs w:val="20"/>
        </w:rPr>
        <w:t xml:space="preserve"> history of, or risk factors for, thrombo-embolic disorders</w:t>
      </w:r>
      <w:r w:rsidRPr="00080F83">
        <w:rPr>
          <w:rFonts w:ascii="Arial Narrow" w:hAnsi="Arial Narrow" w:cs="Arial"/>
          <w:sz w:val="20"/>
          <w:szCs w:val="20"/>
        </w:rPr>
        <w:t xml:space="preserve"> or oestrogen dependent tumours, hypertension, liver disorders, diabetes mellitus, cholelithiasis, migraine or </w:t>
      </w:r>
      <w:r>
        <w:rPr>
          <w:rFonts w:ascii="Arial Narrow" w:hAnsi="Arial Narrow" w:cs="Arial"/>
          <w:sz w:val="20"/>
          <w:szCs w:val="20"/>
        </w:rPr>
        <w:t>(</w:t>
      </w:r>
      <w:r w:rsidRPr="00080F83">
        <w:rPr>
          <w:rFonts w:ascii="Arial Narrow" w:hAnsi="Arial Narrow" w:cs="Arial"/>
          <w:sz w:val="20"/>
          <w:szCs w:val="20"/>
        </w:rPr>
        <w:t>severe</w:t>
      </w:r>
      <w:r>
        <w:rPr>
          <w:rFonts w:ascii="Arial Narrow" w:hAnsi="Arial Narrow" w:cs="Arial"/>
          <w:sz w:val="20"/>
          <w:szCs w:val="20"/>
        </w:rPr>
        <w:t>)</w:t>
      </w:r>
      <w:r w:rsidRPr="00080F83">
        <w:rPr>
          <w:rFonts w:ascii="Arial Narrow" w:hAnsi="Arial Narrow" w:cs="Arial"/>
          <w:sz w:val="20"/>
          <w:szCs w:val="20"/>
        </w:rPr>
        <w:t xml:space="preserve"> headache, systemic lupus erythematosus, history of endometrial hyperplasia, epilepsy, asthma, otosclerosis, hereditary angioedema and mastopathy. </w:t>
      </w:r>
      <w:r w:rsidRPr="00213E59">
        <w:rPr>
          <w:rFonts w:ascii="Arial Narrow" w:hAnsi="Arial Narrow" w:cs="Arial"/>
          <w:b/>
          <w:bCs/>
          <w:i/>
          <w:iCs/>
          <w:sz w:val="20"/>
          <w:szCs w:val="20"/>
        </w:rPr>
        <w:t>Conditions which require monitoring while on oestrogen therapy:</w:t>
      </w:r>
      <w:r w:rsidRPr="00080F83">
        <w:rPr>
          <w:rFonts w:ascii="Arial Narrow" w:hAnsi="Arial Narrow" w:cs="Arial"/>
          <w:sz w:val="20"/>
          <w:szCs w:val="20"/>
        </w:rPr>
        <w:t xml:space="preserve"> Oestrogens may cause fluid retention. Cardiac or renal dysfunction should be carefully observed</w:t>
      </w:r>
      <w:r>
        <w:rPr>
          <w:rFonts w:ascii="Arial Narrow" w:hAnsi="Arial Narrow" w:cs="Arial"/>
          <w:sz w:val="20"/>
          <w:szCs w:val="20"/>
        </w:rPr>
        <w:t>.</w:t>
      </w:r>
      <w:r w:rsidRPr="00080F83">
        <w:rPr>
          <w:rFonts w:ascii="Arial Narrow" w:hAnsi="Arial Narrow" w:cs="Arial"/>
          <w:sz w:val="20"/>
          <w:szCs w:val="20"/>
        </w:rPr>
        <w:t xml:space="preserve"> Disturbances or mild impairment of liver function. History of cholestatic jaundice. Pre-existing hypertriglyceridaemia. Rare cases of large increases of plasma triglycerides leading to pancreatitis have been reported with oestrogen therapy in this condition. </w:t>
      </w:r>
      <w:r w:rsidRPr="0058433B">
        <w:rPr>
          <w:rFonts w:ascii="Arial Narrow" w:hAnsi="Arial Narrow" w:cs="Arial"/>
          <w:b/>
          <w:bCs/>
          <w:i/>
          <w:iCs/>
          <w:sz w:val="20"/>
          <w:szCs w:val="20"/>
        </w:rPr>
        <w:t>Therapy should be discontinued if a contraindication is discovered and in the following situations:</w:t>
      </w:r>
      <w:r w:rsidRPr="00080F83">
        <w:rPr>
          <w:rFonts w:ascii="Arial Narrow" w:hAnsi="Arial Narrow" w:cs="Arial"/>
          <w:sz w:val="20"/>
          <w:szCs w:val="20"/>
        </w:rPr>
        <w:t xml:space="preserve"> jaundice/deterioration in liver function, significant increase in blood pressure, new onset of migraine-type headache, pregnancy. </w:t>
      </w:r>
      <w:r w:rsidRPr="00257749">
        <w:rPr>
          <w:rFonts w:ascii="Arial Narrow" w:hAnsi="Arial Narrow" w:cs="Arial"/>
          <w:sz w:val="20"/>
          <w:szCs w:val="20"/>
        </w:rPr>
        <w:t xml:space="preserve">For Evorel 75 and 100 the endometrial safety of added progestogens has not been studied. </w:t>
      </w:r>
      <w:r w:rsidRPr="00080F83">
        <w:rPr>
          <w:rFonts w:ascii="Arial Narrow" w:hAnsi="Arial Narrow" w:cs="Arial"/>
          <w:b/>
          <w:sz w:val="20"/>
          <w:szCs w:val="20"/>
        </w:rPr>
        <w:t xml:space="preserve">Interactions: </w:t>
      </w:r>
      <w:r w:rsidRPr="00080F83">
        <w:rPr>
          <w:rFonts w:ascii="Arial Narrow" w:hAnsi="Arial Narrow" w:cs="Arial"/>
          <w:sz w:val="20"/>
          <w:szCs w:val="20"/>
        </w:rPr>
        <w:t xml:space="preserve">The metabolism of oestrogens </w:t>
      </w:r>
      <w:r>
        <w:rPr>
          <w:rFonts w:ascii="Arial Narrow" w:hAnsi="Arial Narrow" w:cs="Arial"/>
          <w:sz w:val="20"/>
          <w:szCs w:val="20"/>
        </w:rPr>
        <w:t>(</w:t>
      </w:r>
      <w:r w:rsidRPr="00080F83">
        <w:rPr>
          <w:rFonts w:ascii="Arial Narrow" w:hAnsi="Arial Narrow" w:cs="Arial"/>
          <w:sz w:val="20"/>
          <w:szCs w:val="20"/>
        </w:rPr>
        <w:t>and progestogens</w:t>
      </w:r>
      <w:r>
        <w:rPr>
          <w:rFonts w:ascii="Arial Narrow" w:hAnsi="Arial Narrow" w:cs="Arial"/>
          <w:sz w:val="20"/>
          <w:szCs w:val="20"/>
        </w:rPr>
        <w:t>)</w:t>
      </w:r>
      <w:r w:rsidRPr="00080F83">
        <w:rPr>
          <w:rFonts w:ascii="Arial Narrow" w:hAnsi="Arial Narrow" w:cs="Arial"/>
          <w:sz w:val="20"/>
          <w:szCs w:val="20"/>
        </w:rPr>
        <w:t xml:space="preserve"> may be increased by concomitant use of </w:t>
      </w:r>
      <w:r w:rsidRPr="00DD390F">
        <w:rPr>
          <w:rFonts w:ascii="Arial Narrow" w:hAnsi="Arial Narrow" w:cs="Arial"/>
          <w:sz w:val="20"/>
          <w:szCs w:val="20"/>
        </w:rPr>
        <w:t>substances known to induce drug-metabolising enzymes, specifically cytochrome P450 enzymes, such as anticonvulsants</w:t>
      </w:r>
      <w:r>
        <w:rPr>
          <w:rFonts w:ascii="Arial Narrow" w:hAnsi="Arial Narrow" w:cs="Arial"/>
          <w:sz w:val="20"/>
          <w:szCs w:val="20"/>
        </w:rPr>
        <w:t xml:space="preserve">, </w:t>
      </w:r>
      <w:r w:rsidRPr="00080F83">
        <w:rPr>
          <w:rFonts w:ascii="Arial Narrow" w:hAnsi="Arial Narrow" w:cs="Arial"/>
          <w:sz w:val="20"/>
          <w:szCs w:val="20"/>
        </w:rPr>
        <w:t>anti-infectives</w:t>
      </w:r>
      <w:r>
        <w:rPr>
          <w:rFonts w:ascii="Arial Narrow" w:hAnsi="Arial Narrow" w:cs="Arial"/>
          <w:sz w:val="20"/>
          <w:szCs w:val="20"/>
        </w:rPr>
        <w:t xml:space="preserve"> and bosentan</w:t>
      </w:r>
      <w:r w:rsidRPr="00080F83">
        <w:rPr>
          <w:rFonts w:ascii="Arial Narrow" w:hAnsi="Arial Narrow" w:cs="Arial"/>
          <w:sz w:val="20"/>
          <w:szCs w:val="20"/>
        </w:rPr>
        <w:t xml:space="preserve">. Ritonavir, nelfinavir and herbal preparations containing St. John's Wort may induce the metabolism of oestrogens and progestogens. Clinically, an increased metabolism of oestrogens and progestogens may lead to decreased effect and changes in the uterine bleeding profile. </w:t>
      </w:r>
      <w:r>
        <w:rPr>
          <w:rFonts w:ascii="Arial Narrow" w:hAnsi="Arial Narrow" w:cs="Arial"/>
          <w:sz w:val="20"/>
          <w:szCs w:val="20"/>
        </w:rPr>
        <w:t>Oe</w:t>
      </w:r>
      <w:r w:rsidRPr="001F1ECD">
        <w:rPr>
          <w:rFonts w:ascii="Arial Narrow" w:hAnsi="Arial Narrow" w:cs="Arial"/>
          <w:sz w:val="20"/>
          <w:szCs w:val="20"/>
        </w:rPr>
        <w:t xml:space="preserve">strogen-containing oral contraceptives have been shown to significantly decrease plasma concentrations of lamotrigine when co-administered due to induction of lamotrigine glucuronidation. This may reduce seizure control. Therefore, dose adjustment of lamotrigine may be necessary. </w:t>
      </w:r>
      <w:r w:rsidRPr="00080F83">
        <w:rPr>
          <w:rFonts w:ascii="Arial Narrow" w:hAnsi="Arial Narrow" w:cs="Arial"/>
          <w:b/>
          <w:bCs/>
          <w:sz w:val="20"/>
          <w:szCs w:val="20"/>
        </w:rPr>
        <w:t xml:space="preserve">Pregnancy and lactation: </w:t>
      </w:r>
      <w:r w:rsidRPr="00080F83">
        <w:rPr>
          <w:rFonts w:ascii="Arial Narrow" w:hAnsi="Arial Narrow" w:cs="Arial"/>
          <w:bCs/>
          <w:sz w:val="20"/>
          <w:szCs w:val="20"/>
        </w:rPr>
        <w:t xml:space="preserve">Not </w:t>
      </w:r>
      <w:r>
        <w:rPr>
          <w:rFonts w:ascii="Arial Narrow" w:hAnsi="Arial Narrow" w:cs="Arial"/>
          <w:bCs/>
          <w:sz w:val="20"/>
          <w:szCs w:val="20"/>
        </w:rPr>
        <w:t>indicated, treatment should be withdrawn immediately</w:t>
      </w:r>
      <w:r w:rsidRPr="00080F83">
        <w:rPr>
          <w:rFonts w:ascii="Arial Narrow" w:hAnsi="Arial Narrow" w:cs="Arial"/>
          <w:bCs/>
          <w:sz w:val="20"/>
          <w:szCs w:val="20"/>
        </w:rPr>
        <w:t xml:space="preserve">. </w:t>
      </w:r>
      <w:r w:rsidRPr="00080F83">
        <w:rPr>
          <w:rFonts w:ascii="Arial Narrow" w:hAnsi="Arial Narrow" w:cs="Arial"/>
          <w:b/>
          <w:sz w:val="20"/>
          <w:szCs w:val="20"/>
        </w:rPr>
        <w:t>Side effects:</w:t>
      </w:r>
      <w:r w:rsidRPr="00080F83">
        <w:rPr>
          <w:rFonts w:ascii="Arial Narrow" w:hAnsi="Arial Narrow" w:cs="Arial"/>
          <w:sz w:val="20"/>
          <w:szCs w:val="20"/>
        </w:rPr>
        <w:t xml:space="preserve"> Adverse reactions observed in clinical trials: Very common (≥1/10); common (≥1/100 to &lt;1/10); uncommon (≥1/1,000 to &lt;1/100); rare (≥1/10,000 to &lt;1/1,000); very rare (&lt;1/10,000); and not known (cannot be estimated from the available clinical trial data). </w:t>
      </w:r>
      <w:r w:rsidRPr="00080F83">
        <w:rPr>
          <w:rFonts w:ascii="Arial Narrow" w:hAnsi="Arial Narrow" w:cs="Arial"/>
          <w:b/>
          <w:bCs/>
          <w:sz w:val="20"/>
          <w:szCs w:val="20"/>
        </w:rPr>
        <w:t xml:space="preserve">Very common: </w:t>
      </w:r>
      <w:r w:rsidRPr="00080F83">
        <w:rPr>
          <w:rFonts w:ascii="Arial Narrow" w:hAnsi="Arial Narrow" w:cs="Arial"/>
          <w:sz w:val="20"/>
          <w:szCs w:val="20"/>
        </w:rPr>
        <w:t>Application site pruritus, Application site rash.</w:t>
      </w:r>
      <w:r w:rsidRPr="00080F83">
        <w:rPr>
          <w:rFonts w:ascii="Arial Narrow" w:hAnsi="Arial Narrow" w:cs="Arial"/>
          <w:b/>
          <w:bCs/>
          <w:sz w:val="20"/>
          <w:szCs w:val="20"/>
        </w:rPr>
        <w:t xml:space="preserve"> Common: </w:t>
      </w:r>
      <w:r w:rsidRPr="00080F83">
        <w:rPr>
          <w:rFonts w:ascii="Arial Narrow" w:hAnsi="Arial Narrow" w:cs="Arial"/>
          <w:sz w:val="20"/>
          <w:szCs w:val="20"/>
        </w:rPr>
        <w:t xml:space="preserve">Depressed mood, Migraine, Dizziness, Headache, </w:t>
      </w:r>
      <w:r>
        <w:rPr>
          <w:rFonts w:ascii="Arial Narrow" w:hAnsi="Arial Narrow" w:cs="Arial"/>
          <w:sz w:val="20"/>
          <w:szCs w:val="20"/>
        </w:rPr>
        <w:t>Abdominal</w:t>
      </w:r>
      <w:r w:rsidRPr="00080F83">
        <w:rPr>
          <w:rFonts w:ascii="Arial Narrow" w:hAnsi="Arial Narrow" w:cs="Arial"/>
          <w:sz w:val="20"/>
          <w:szCs w:val="20"/>
        </w:rPr>
        <w:t xml:space="preserve"> pain, Diarrhoea, Nausea, Pruritus, Rash, Arthralgia, Breast pain, Metrorrhagia, Pain, Application site erythema, Application site oedema, Application site reaction, Weight increased</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bCs/>
          <w:sz w:val="20"/>
          <w:szCs w:val="20"/>
        </w:rPr>
        <w:t>Uncommon</w:t>
      </w:r>
      <w:r>
        <w:rPr>
          <w:rFonts w:ascii="Arial Narrow" w:hAnsi="Arial Narrow" w:cs="Arial"/>
          <w:b/>
          <w:bCs/>
          <w:sz w:val="20"/>
          <w:szCs w:val="20"/>
        </w:rPr>
        <w:t xml:space="preserve"> include</w:t>
      </w:r>
      <w:r w:rsidRPr="00080F83">
        <w:rPr>
          <w:rFonts w:ascii="Arial Narrow" w:hAnsi="Arial Narrow" w:cs="Arial"/>
          <w:b/>
          <w:sz w:val="20"/>
          <w:szCs w:val="20"/>
        </w:rPr>
        <w:t xml:space="preserve">: </w:t>
      </w:r>
      <w:r w:rsidRPr="00080F83">
        <w:rPr>
          <w:rFonts w:ascii="Arial Narrow" w:hAnsi="Arial Narrow" w:cs="Arial"/>
          <w:bCs/>
          <w:sz w:val="20"/>
          <w:szCs w:val="20"/>
        </w:rPr>
        <w:t>Genital candidiasis,</w:t>
      </w:r>
      <w:r w:rsidRPr="00080F83">
        <w:rPr>
          <w:rFonts w:ascii="Arial Narrow" w:hAnsi="Arial Narrow" w:cs="Arial"/>
          <w:b/>
          <w:sz w:val="20"/>
          <w:szCs w:val="20"/>
        </w:rPr>
        <w:t xml:space="preserve"> </w:t>
      </w:r>
      <w:r w:rsidRPr="00080F83">
        <w:rPr>
          <w:rFonts w:ascii="Arial Narrow" w:hAnsi="Arial Narrow" w:cs="Arial"/>
          <w:bCs/>
          <w:sz w:val="20"/>
          <w:szCs w:val="20"/>
        </w:rPr>
        <w:t xml:space="preserve">Hypersensitivity, Palpitations, Myalgia, Dysmenorrhoea, Oedema, Oedema peripheral. </w:t>
      </w:r>
      <w:r w:rsidRPr="00080F83">
        <w:rPr>
          <w:rFonts w:ascii="Arial Narrow" w:hAnsi="Arial Narrow" w:cs="Arial"/>
          <w:b/>
          <w:sz w:val="20"/>
          <w:szCs w:val="20"/>
        </w:rPr>
        <w:t>Rare:</w:t>
      </w:r>
      <w:r w:rsidRPr="00080F83">
        <w:rPr>
          <w:rFonts w:ascii="Arial Narrow" w:hAnsi="Arial Narrow" w:cs="Arial"/>
          <w:bCs/>
          <w:sz w:val="20"/>
          <w:szCs w:val="20"/>
        </w:rPr>
        <w:t xml:space="preserve"> Breast cancer, Epilepsy, Thrombosis, Abdominal distension, Cholelithiasis, </w:t>
      </w:r>
      <w:r w:rsidRPr="00080F83">
        <w:rPr>
          <w:rFonts w:ascii="Arial Narrow" w:hAnsi="Arial Narrow" w:cs="Arial"/>
          <w:b/>
          <w:sz w:val="20"/>
          <w:szCs w:val="20"/>
        </w:rPr>
        <w:t xml:space="preserve">Frequency not known: </w:t>
      </w:r>
      <w:r w:rsidRPr="00080F83">
        <w:rPr>
          <w:rFonts w:ascii="Arial Narrow" w:hAnsi="Arial Narrow" w:cs="Arial"/>
          <w:bCs/>
          <w:sz w:val="20"/>
          <w:szCs w:val="20"/>
        </w:rPr>
        <w:t>Endometrial cancer</w:t>
      </w:r>
      <w:r w:rsidRPr="00080F83">
        <w:rPr>
          <w:rFonts w:ascii="Arial Narrow" w:hAnsi="Arial Narrow" w:cs="Arial"/>
          <w:b/>
          <w:sz w:val="20"/>
          <w:szCs w:val="20"/>
        </w:rPr>
        <w:t xml:space="preserve">, </w:t>
      </w:r>
      <w:r w:rsidRPr="00080F83">
        <w:rPr>
          <w:rFonts w:ascii="Arial Narrow" w:hAnsi="Arial Narrow" w:cs="Arial"/>
          <w:bCs/>
          <w:sz w:val="20"/>
          <w:szCs w:val="20"/>
        </w:rPr>
        <w:t xml:space="preserve">Cerebrovascular accident, Myocardial infarction, Deep vein thrombosis, Pulmonary embolism, Angioedema. </w:t>
      </w:r>
      <w:r w:rsidRPr="00080F83">
        <w:rPr>
          <w:rFonts w:ascii="Arial Narrow" w:hAnsi="Arial Narrow" w:cs="Arial"/>
          <w:b/>
          <w:sz w:val="20"/>
          <w:szCs w:val="20"/>
        </w:rPr>
        <w:t xml:space="preserve">Package Quantities &amp; Cost: </w:t>
      </w:r>
      <w:r w:rsidRPr="00F02619">
        <w:rPr>
          <w:rFonts w:ascii="Arial Narrow" w:hAnsi="Arial Narrow" w:cs="Arial"/>
          <w:sz w:val="20"/>
          <w:szCs w:val="20"/>
        </w:rPr>
        <w:t>Each Evorel patch size is presented in a sealed protective pouch. The pouches are packed in a cardboard carton. Cost: 25 (1x8) £3.42; 50 (1x8) £3.88; 50 (1x24) £11.66; 75 (1x8) £4.12; 100 (1x8) £4.28</w:t>
      </w:r>
      <w:r>
        <w:rPr>
          <w:rFonts w:ascii="Arial Narrow" w:hAnsi="Arial Narrow" w:cs="Arial"/>
          <w:sz w:val="20"/>
          <w:szCs w:val="20"/>
        </w:rPr>
        <w:t>.</w:t>
      </w:r>
      <w:r w:rsidRPr="00F02619">
        <w:rPr>
          <w:rFonts w:ascii="Arial Narrow" w:hAnsi="Arial Narrow" w:cs="Arial"/>
          <w:sz w:val="20"/>
          <w:szCs w:val="20"/>
        </w:rPr>
        <w:t xml:space="preserve"> </w:t>
      </w:r>
      <w:r w:rsidRPr="00F02619">
        <w:rPr>
          <w:rFonts w:ascii="Arial Narrow" w:hAnsi="Arial Narrow" w:cs="Arial"/>
          <w:b/>
          <w:sz w:val="20"/>
          <w:szCs w:val="20"/>
        </w:rPr>
        <w:t>Marketing authorisation</w:t>
      </w:r>
      <w:r w:rsidRPr="00080F83">
        <w:rPr>
          <w:rFonts w:ascii="Arial Narrow" w:hAnsi="Arial Narrow" w:cs="Arial"/>
          <w:b/>
          <w:sz w:val="20"/>
          <w:szCs w:val="20"/>
        </w:rPr>
        <w:t xml:space="preserve"> number: </w:t>
      </w:r>
      <w:r w:rsidRPr="00080F83">
        <w:rPr>
          <w:rFonts w:ascii="Arial Narrow" w:hAnsi="Arial Narrow" w:cs="Arial"/>
          <w:sz w:val="20"/>
          <w:szCs w:val="20"/>
        </w:rPr>
        <w:t>Evorel 25 PL 49105/0005; Evorel 50 PL 49105/000</w:t>
      </w:r>
      <w:r>
        <w:rPr>
          <w:rFonts w:ascii="Arial Narrow" w:hAnsi="Arial Narrow" w:cs="Arial"/>
          <w:sz w:val="20"/>
          <w:szCs w:val="20"/>
        </w:rPr>
        <w:t>6</w:t>
      </w:r>
      <w:r w:rsidRPr="00080F83">
        <w:rPr>
          <w:rFonts w:ascii="Arial Narrow" w:hAnsi="Arial Narrow" w:cs="Arial"/>
          <w:sz w:val="20"/>
          <w:szCs w:val="20"/>
        </w:rPr>
        <w:t>; Evorel 75 PL 49105/0007; Evorel 100 PL 49105/0008</w:t>
      </w:r>
      <w:r>
        <w:rPr>
          <w:rFonts w:ascii="Arial Narrow" w:hAnsi="Arial Narrow" w:cs="Arial"/>
          <w:sz w:val="20"/>
          <w:szCs w:val="20"/>
        </w:rPr>
        <w:t>.</w:t>
      </w:r>
      <w:r w:rsidRPr="00080F83">
        <w:rPr>
          <w:rFonts w:ascii="Arial Narrow" w:hAnsi="Arial Narrow" w:cs="Arial"/>
          <w:sz w:val="20"/>
          <w:szCs w:val="20"/>
        </w:rPr>
        <w:t xml:space="preserve"> </w:t>
      </w:r>
      <w:r w:rsidRPr="008849F5">
        <w:rPr>
          <w:rFonts w:ascii="Arial Narrow" w:hAnsi="Arial Narrow" w:cs="Arial"/>
          <w:b/>
          <w:bCs/>
          <w:sz w:val="20"/>
          <w:szCs w:val="20"/>
        </w:rPr>
        <w:t>Marketing authorisation holder:</w:t>
      </w:r>
      <w:r w:rsidRPr="00080F83">
        <w:rPr>
          <w:rFonts w:ascii="Arial Narrow" w:hAnsi="Arial Narrow" w:cs="Arial"/>
          <w:sz w:val="20"/>
          <w:szCs w:val="20"/>
        </w:rPr>
        <w:t xml:space="preserve"> Theramex HQ UK LTD, Sloane Square House, 1 Holbein Place, London SW1W 8NS, UK</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sz w:val="20"/>
          <w:szCs w:val="20"/>
        </w:rPr>
        <w:t>Legal classification:</w:t>
      </w:r>
      <w:r w:rsidRPr="00080F83">
        <w:rPr>
          <w:rFonts w:ascii="Arial Narrow" w:hAnsi="Arial Narrow" w:cs="Arial"/>
          <w:sz w:val="20"/>
          <w:szCs w:val="20"/>
        </w:rPr>
        <w:t xml:space="preserve"> POM</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sz w:val="20"/>
          <w:szCs w:val="20"/>
        </w:rPr>
        <w:t>Date of Preparation:</w:t>
      </w:r>
      <w:r w:rsidRPr="00080F83">
        <w:rPr>
          <w:rFonts w:ascii="Arial Narrow" w:hAnsi="Arial Narrow" w:cs="Arial"/>
          <w:sz w:val="20"/>
          <w:szCs w:val="20"/>
        </w:rPr>
        <w:t xml:space="preserve"> January 2020</w:t>
      </w:r>
      <w:r>
        <w:rPr>
          <w:rFonts w:ascii="Arial Narrow" w:hAnsi="Arial Narrow" w:cs="Arial"/>
          <w:sz w:val="20"/>
          <w:szCs w:val="20"/>
        </w:rPr>
        <w:t>:</w:t>
      </w:r>
      <w:r w:rsidRPr="00080F83">
        <w:rPr>
          <w:rFonts w:ascii="Arial Narrow" w:hAnsi="Arial Narrow" w:cs="Arial"/>
          <w:sz w:val="20"/>
          <w:szCs w:val="20"/>
        </w:rPr>
        <w:t xml:space="preserve"> </w:t>
      </w:r>
      <w:r w:rsidRPr="007E1AE1">
        <w:rPr>
          <w:rFonts w:ascii="Arial Narrow" w:hAnsi="Arial Narrow" w:cstheme="minorHAnsi"/>
          <w:sz w:val="20"/>
          <w:szCs w:val="20"/>
        </w:rPr>
        <w:t>THX_GB_PI_001472</w:t>
      </w:r>
      <w:r>
        <w:rPr>
          <w:rFonts w:ascii="Arial Narrow" w:hAnsi="Arial Narrow" w:cstheme="minorHAnsi"/>
          <w:sz w:val="20"/>
          <w:szCs w:val="20"/>
        </w:rPr>
        <w:t>.</w:t>
      </w:r>
    </w:p>
    <w:p w14:paraId="6A2D6FEA" w14:textId="1A6BAD7A" w:rsidR="0088676C" w:rsidRDefault="0088676C">
      <w:pPr>
        <w:spacing w:after="160" w:line="259" w:lineRule="auto"/>
        <w:rPr>
          <w:rFonts w:ascii="Arial Narrow" w:hAnsi="Arial Narrow" w:cstheme="minorHAnsi"/>
          <w:sz w:val="20"/>
          <w:szCs w:val="20"/>
        </w:rPr>
      </w:pPr>
      <w:r w:rsidRPr="0085685E">
        <w:rPr>
          <w:rFonts w:cstheme="minorHAnsi"/>
          <w:b/>
          <w:noProof/>
          <w:sz w:val="20"/>
          <w:szCs w:val="20"/>
        </w:rPr>
        <mc:AlternateContent>
          <mc:Choice Requires="wps">
            <w:drawing>
              <wp:anchor distT="91440" distB="91440" distL="365760" distR="365760" simplePos="0" relativeHeight="251670528" behindDoc="0" locked="0" layoutInCell="1" allowOverlap="1" wp14:anchorId="1ABEAB92" wp14:editId="48182F43">
                <wp:simplePos x="0" y="0"/>
                <wp:positionH relativeFrom="margin">
                  <wp:posOffset>-6350</wp:posOffset>
                </wp:positionH>
                <wp:positionV relativeFrom="margin">
                  <wp:posOffset>9457690</wp:posOffset>
                </wp:positionV>
                <wp:extent cx="6451600" cy="2066290"/>
                <wp:effectExtent l="0" t="0" r="25400" b="26670"/>
                <wp:wrapTopAndBottom/>
                <wp:docPr id="11" name="Rectangle 11"/>
                <wp:cNvGraphicFramePr/>
                <a:graphic xmlns:a="http://schemas.openxmlformats.org/drawingml/2006/main">
                  <a:graphicData uri="http://schemas.microsoft.com/office/word/2010/wordprocessingShape">
                    <wps:wsp>
                      <wps:cNvSpPr/>
                      <wps:spPr>
                        <a:xfrm>
                          <a:off x="0" y="0"/>
                          <a:ext cx="6451600" cy="2066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88832"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225DCDDE" w14:textId="77777777" w:rsidR="0088676C" w:rsidRPr="00507155" w:rsidRDefault="005D4BC9" w:rsidP="0088676C">
                            <w:pPr>
                              <w:jc w:val="center"/>
                              <w:rPr>
                                <w:rFonts w:ascii="Arial Narrow" w:hAnsi="Arial Narrow" w:cstheme="minorHAnsi"/>
                                <w:b/>
                                <w:color w:val="000000" w:themeColor="text1"/>
                                <w:sz w:val="20"/>
                                <w:szCs w:val="20"/>
                                <w:u w:val="single"/>
                                <w:lang w:val="en-US"/>
                              </w:rPr>
                            </w:pPr>
                            <w:hyperlink r:id="rId15" w:history="1">
                              <w:r w:rsidR="0088676C" w:rsidRPr="00507155">
                                <w:rPr>
                                  <w:rStyle w:val="Hyperlink"/>
                                  <w:rFonts w:ascii="Arial Narrow" w:hAnsi="Arial Narrow" w:cstheme="minorHAnsi"/>
                                  <w:b/>
                                  <w:sz w:val="20"/>
                                  <w:szCs w:val="20"/>
                                  <w:lang w:val="en-US"/>
                                </w:rPr>
                                <w:t>www.mhra.gov.uk/yellowcard</w:t>
                              </w:r>
                            </w:hyperlink>
                            <w:r w:rsidR="0088676C" w:rsidRPr="00507155">
                              <w:rPr>
                                <w:rFonts w:ascii="Arial Narrow" w:hAnsi="Arial Narrow" w:cstheme="minorHAnsi"/>
                                <w:b/>
                                <w:color w:val="000000" w:themeColor="text1"/>
                                <w:sz w:val="20"/>
                                <w:szCs w:val="20"/>
                                <w:u w:val="single"/>
                                <w:lang w:val="en-US"/>
                              </w:rPr>
                              <w:t xml:space="preserve"> or search for MHRA Yellowcard in the Google Play or Apple App store.</w:t>
                            </w:r>
                          </w:p>
                          <w:p w14:paraId="03AF801D" w14:textId="77777777" w:rsidR="0088676C" w:rsidRPr="00507155" w:rsidRDefault="0088676C" w:rsidP="0088676C">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ABEAB92" id="Rectangle 11" o:spid="_x0000_s1027" style="position:absolute;margin-left:-.5pt;margin-top:744.7pt;width:508pt;height:162.7pt;z-index:25167052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" filled="f" strokecolor="black [3213]" strokeweight="1pt">
                <v:textbox style="mso-fit-shape-to-text:t" inset="10.8pt,0,10.8pt,0">
                  <w:txbxContent>
                    <w:p w14:paraId="40088832"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225DCDDE"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hyperlink r:id="rId16" w:history="1">
                        <w:r w:rsidRPr="00507155">
                          <w:rPr>
                            <w:rStyle w:val="Hyperlink"/>
                            <w:rFonts w:ascii="Arial Narrow" w:hAnsi="Arial Narrow" w:cstheme="minorHAnsi"/>
                            <w:b/>
                            <w:sz w:val="20"/>
                            <w:szCs w:val="20"/>
                            <w:lang w:val="en-US"/>
                          </w:rPr>
                          <w:t>www.mhra.gov.uk/yellowcard</w:t>
                        </w:r>
                      </w:hyperlink>
                      <w:r w:rsidRPr="00507155">
                        <w:rPr>
                          <w:rFonts w:ascii="Arial Narrow" w:hAnsi="Arial Narrow" w:cstheme="minorHAnsi"/>
                          <w:b/>
                          <w:color w:val="000000" w:themeColor="text1"/>
                          <w:sz w:val="20"/>
                          <w:szCs w:val="20"/>
                          <w:u w:val="single"/>
                          <w:lang w:val="en-US"/>
                        </w:rPr>
                        <w:t xml:space="preserve"> or search for MHRA </w:t>
                      </w:r>
                      <w:proofErr w:type="spellStart"/>
                      <w:r w:rsidRPr="00507155">
                        <w:rPr>
                          <w:rFonts w:ascii="Arial Narrow" w:hAnsi="Arial Narrow" w:cstheme="minorHAnsi"/>
                          <w:b/>
                          <w:color w:val="000000" w:themeColor="text1"/>
                          <w:sz w:val="20"/>
                          <w:szCs w:val="20"/>
                          <w:u w:val="single"/>
                          <w:lang w:val="en-US"/>
                        </w:rPr>
                        <w:t>Yellowcard</w:t>
                      </w:r>
                      <w:proofErr w:type="spellEnd"/>
                      <w:r w:rsidRPr="00507155">
                        <w:rPr>
                          <w:rFonts w:ascii="Arial Narrow" w:hAnsi="Arial Narrow" w:cstheme="minorHAnsi"/>
                          <w:b/>
                          <w:color w:val="000000" w:themeColor="text1"/>
                          <w:sz w:val="20"/>
                          <w:szCs w:val="20"/>
                          <w:u w:val="single"/>
                          <w:lang w:val="en-US"/>
                        </w:rPr>
                        <w:t xml:space="preserve"> in the Google Play or Apple App store.</w:t>
                      </w:r>
                    </w:p>
                    <w:p w14:paraId="03AF801D" w14:textId="77777777" w:rsidR="0088676C" w:rsidRPr="00507155" w:rsidRDefault="0088676C" w:rsidP="0088676C">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 xml:space="preserve">Adverse events should also be reported to </w:t>
                      </w:r>
                      <w:proofErr w:type="spellStart"/>
                      <w:r w:rsidRPr="00507155">
                        <w:rPr>
                          <w:rFonts w:ascii="Arial Narrow" w:hAnsi="Arial Narrow" w:cstheme="minorHAnsi"/>
                          <w:b/>
                          <w:color w:val="000000" w:themeColor="text1"/>
                          <w:sz w:val="20"/>
                          <w:szCs w:val="20"/>
                          <w:u w:val="single"/>
                          <w:lang w:val="en-US"/>
                        </w:rPr>
                        <w:t>Theramex</w:t>
                      </w:r>
                      <w:proofErr w:type="spellEnd"/>
                      <w:r w:rsidRPr="00507155">
                        <w:rPr>
                          <w:rFonts w:ascii="Arial Narrow" w:hAnsi="Arial Narrow" w:cstheme="minorHAnsi"/>
                          <w:b/>
                          <w:color w:val="000000" w:themeColor="text1"/>
                          <w:sz w:val="20"/>
                          <w:szCs w:val="20"/>
                          <w:u w:val="single"/>
                          <w:lang w:val="en-US"/>
                        </w:rPr>
                        <w:t xml:space="preserve"> on medinfo.uk@theramex.com or Tel: 0333 0096795</w:t>
                      </w:r>
                    </w:p>
                  </w:txbxContent>
                </v:textbox>
                <w10:wrap type="topAndBottom" anchorx="margin" anchory="margin"/>
              </v:rect>
            </w:pict>
          </mc:Fallback>
        </mc:AlternateContent>
      </w:r>
      <w:r>
        <w:rPr>
          <w:rFonts w:ascii="Arial Narrow" w:hAnsi="Arial Narrow" w:cstheme="minorHAnsi"/>
          <w:sz w:val="20"/>
          <w:szCs w:val="20"/>
        </w:rPr>
        <w:br w:type="page"/>
      </w:r>
    </w:p>
    <w:p w14:paraId="2F53D5CD" w14:textId="4FDD7907" w:rsidR="0088676C" w:rsidRPr="00080F83" w:rsidRDefault="0088676C" w:rsidP="0088676C">
      <w:pPr>
        <w:pStyle w:val="NormalWeb"/>
        <w:shd w:val="clear" w:color="auto" w:fill="FFFFFF"/>
        <w:spacing w:after="100"/>
        <w:jc w:val="both"/>
        <w:rPr>
          <w:rFonts w:ascii="Arial Narrow" w:hAnsi="Arial Narrow" w:cs="Arial"/>
          <w:sz w:val="20"/>
          <w:szCs w:val="20"/>
        </w:rPr>
      </w:pPr>
    </w:p>
    <w:p w14:paraId="0A0DA7DC" w14:textId="77777777" w:rsidR="0088676C" w:rsidRPr="00B75924" w:rsidRDefault="0088676C" w:rsidP="0088676C">
      <w:pPr>
        <w:jc w:val="both"/>
        <w:rPr>
          <w:rFonts w:ascii="Arial Narrow" w:hAnsi="Arial Narrow" w:cs="Arial"/>
          <w:bCs/>
          <w:sz w:val="20"/>
          <w:szCs w:val="20"/>
        </w:rPr>
      </w:pPr>
      <w:r w:rsidRPr="00166C0D">
        <w:rPr>
          <w:rFonts w:ascii="Arial Narrow" w:hAnsi="Arial Narrow" w:cs="Arial"/>
          <w:b/>
          <w:noProof/>
          <w:sz w:val="20"/>
          <w:szCs w:val="20"/>
        </w:rPr>
        <mc:AlternateContent>
          <mc:Choice Requires="wps">
            <w:drawing>
              <wp:anchor distT="91440" distB="91440" distL="365760" distR="365760" simplePos="0" relativeHeight="251672576" behindDoc="0" locked="0" layoutInCell="1" allowOverlap="1" wp14:anchorId="48ED48FC" wp14:editId="5215CFE0">
                <wp:simplePos x="0" y="0"/>
                <wp:positionH relativeFrom="margin">
                  <wp:posOffset>-114300</wp:posOffset>
                </wp:positionH>
                <wp:positionV relativeFrom="margin">
                  <wp:posOffset>-114628</wp:posOffset>
                </wp:positionV>
                <wp:extent cx="6513830" cy="2066290"/>
                <wp:effectExtent l="0" t="0" r="0" b="0"/>
                <wp:wrapTopAndBottom/>
                <wp:docPr id="8" name="Rectangle 8"/>
                <wp:cNvGraphicFramePr/>
                <a:graphic xmlns:a="http://schemas.openxmlformats.org/drawingml/2006/main">
                  <a:graphicData uri="http://schemas.microsoft.com/office/word/2010/wordprocessingShape">
                    <wps:wsp>
                      <wps:cNvSpPr/>
                      <wps:spPr>
                        <a:xfrm>
                          <a:off x="0" y="0"/>
                          <a:ext cx="651383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9C1C92"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Conti (estradiol hemihydrate norethisterone acetate) Abbreviated Prescribing Information</w:t>
                            </w:r>
                          </w:p>
                          <w:p w14:paraId="7D00D1AC"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8ED48FC" id="Rectangle 8" o:spid="_x0000_s1028" style="position:absolute;left:0;text-align:left;margin-left:-9pt;margin-top:-9.05pt;width:512.9pt;height:162.7pt;z-index:25167257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" filled="f" stroked="f" strokeweight="1pt">
                <v:textbox style="mso-fit-shape-to-text:t" inset="10.8pt,0,10.8pt,0">
                  <w:txbxContent>
                    <w:p w14:paraId="219C1C92"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Conti (estradiol hemihydrate norethisterone acetate) Abbreviated Prescribing Information</w:t>
                      </w:r>
                    </w:p>
                    <w:p w14:paraId="7D00D1AC"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v:textbox>
                <w10:wrap type="topAndBottom" anchorx="margin" anchory="margin"/>
              </v:rect>
            </w:pict>
          </mc:Fallback>
        </mc:AlternateContent>
      </w:r>
      <w:r w:rsidRPr="00166C0D">
        <w:rPr>
          <w:rFonts w:ascii="Arial Narrow" w:hAnsi="Arial Narrow" w:cs="Arial"/>
          <w:b/>
          <w:sz w:val="20"/>
          <w:szCs w:val="20"/>
        </w:rPr>
        <w:t>Presentation:</w:t>
      </w:r>
      <w:r w:rsidRPr="00166C0D">
        <w:rPr>
          <w:rFonts w:ascii="Arial Narrow" w:hAnsi="Arial Narrow" w:cs="Arial"/>
          <w:sz w:val="20"/>
          <w:szCs w:val="20"/>
        </w:rPr>
        <w:t xml:space="preserve"> </w:t>
      </w:r>
      <w:r>
        <w:rPr>
          <w:rFonts w:ascii="Arial Narrow" w:hAnsi="Arial Narrow" w:cs="Arial"/>
          <w:sz w:val="20"/>
          <w:szCs w:val="20"/>
        </w:rPr>
        <w:t xml:space="preserve">Evorel Conti </w:t>
      </w:r>
      <w:r w:rsidRPr="003F2C62">
        <w:rPr>
          <w:rFonts w:ascii="Arial Narrow" w:hAnsi="Arial Narrow" w:cs="Arial"/>
          <w:sz w:val="20"/>
          <w:szCs w:val="20"/>
        </w:rPr>
        <w:t>3.2 mg of estradiol hemihydrate</w:t>
      </w:r>
      <w:r>
        <w:rPr>
          <w:rFonts w:ascii="Arial Narrow" w:hAnsi="Arial Narrow" w:cs="Arial"/>
          <w:sz w:val="20"/>
          <w:szCs w:val="20"/>
        </w:rPr>
        <w:t xml:space="preserve">, </w:t>
      </w:r>
      <w:r w:rsidRPr="003F2C62">
        <w:rPr>
          <w:rFonts w:ascii="Arial Narrow" w:hAnsi="Arial Narrow" w:cs="Arial"/>
          <w:sz w:val="20"/>
          <w:szCs w:val="20"/>
        </w:rPr>
        <w:t>11.2 mg of norethisterone acetate</w:t>
      </w:r>
      <w:r>
        <w:rPr>
          <w:rFonts w:ascii="Arial Narrow" w:hAnsi="Arial Narrow" w:cs="Arial"/>
          <w:sz w:val="20"/>
          <w:szCs w:val="20"/>
        </w:rPr>
        <w:t xml:space="preserve"> transdermal patch. </w:t>
      </w:r>
      <w:r w:rsidRPr="00166C0D">
        <w:rPr>
          <w:rFonts w:ascii="Arial Narrow" w:hAnsi="Arial Narrow" w:cs="Arial"/>
          <w:b/>
          <w:sz w:val="20"/>
          <w:szCs w:val="20"/>
        </w:rPr>
        <w:t>Indication:</w:t>
      </w:r>
      <w:r w:rsidRPr="00166C0D">
        <w:rPr>
          <w:rFonts w:ascii="Arial Narrow" w:hAnsi="Arial Narrow" w:cs="Arial"/>
          <w:sz w:val="20"/>
          <w:szCs w:val="20"/>
        </w:rPr>
        <w:t xml:space="preserve"> </w:t>
      </w:r>
      <w:r>
        <w:rPr>
          <w:rFonts w:ascii="Arial Narrow" w:hAnsi="Arial Narrow" w:cs="Arial"/>
          <w:sz w:val="20"/>
          <w:szCs w:val="20"/>
        </w:rPr>
        <w:t xml:space="preserve">HRT </w:t>
      </w:r>
      <w:r w:rsidRPr="00D6280C">
        <w:rPr>
          <w:rFonts w:ascii="Arial Narrow" w:hAnsi="Arial Narrow" w:cs="Arial"/>
          <w:sz w:val="20"/>
          <w:szCs w:val="20"/>
        </w:rPr>
        <w:t>for oestrogen deficiency symptoms in post-menopausal women more than 6 months post-menopause (or 18 months since last period).</w:t>
      </w:r>
      <w:r>
        <w:rPr>
          <w:rFonts w:ascii="Arial Narrow" w:hAnsi="Arial Narrow" w:cs="Arial"/>
          <w:sz w:val="20"/>
          <w:szCs w:val="20"/>
        </w:rPr>
        <w:t xml:space="preserve"> </w:t>
      </w:r>
      <w:r w:rsidRPr="00D6280C">
        <w:rPr>
          <w:rFonts w:ascii="Arial Narrow" w:hAnsi="Arial Narrow" w:cs="Arial"/>
          <w:sz w:val="20"/>
          <w:szCs w:val="20"/>
        </w:rPr>
        <w:t>Prevention of osteoporosis in postmenopausal women at high risk of future fractures who are intolerant of, or contraindicated for, other medicinal products approved for the prevention of osteoporosis</w:t>
      </w:r>
      <w:r>
        <w:rPr>
          <w:rFonts w:ascii="Arial Narrow" w:hAnsi="Arial Narrow" w:cs="Arial"/>
          <w:sz w:val="20"/>
          <w:szCs w:val="20"/>
        </w:rPr>
        <w:t xml:space="preserve">. </w:t>
      </w:r>
      <w:r w:rsidRPr="00166C0D">
        <w:rPr>
          <w:rFonts w:ascii="Arial Narrow" w:hAnsi="Arial Narrow" w:cs="Arial"/>
          <w:b/>
          <w:sz w:val="20"/>
          <w:szCs w:val="20"/>
        </w:rPr>
        <w:t xml:space="preserve">Dosage &amp; administration: </w:t>
      </w:r>
      <w:r w:rsidRPr="008A266F">
        <w:rPr>
          <w:rFonts w:ascii="Arial Narrow" w:hAnsi="Arial Narrow" w:cs="Arial"/>
          <w:b/>
          <w:bCs/>
          <w:i/>
          <w:iCs/>
          <w:sz w:val="20"/>
          <w:szCs w:val="20"/>
        </w:rPr>
        <w:t>Adults:</w:t>
      </w:r>
      <w:r>
        <w:rPr>
          <w:rFonts w:ascii="Arial Narrow" w:hAnsi="Arial Narrow" w:cs="Arial"/>
          <w:sz w:val="20"/>
          <w:szCs w:val="20"/>
        </w:rPr>
        <w:t xml:space="preserve"> </w:t>
      </w:r>
      <w:r w:rsidRPr="004E7B3A">
        <w:rPr>
          <w:rFonts w:ascii="Arial Narrow" w:hAnsi="Arial Narrow" w:cs="Arial"/>
          <w:sz w:val="20"/>
          <w:szCs w:val="20"/>
        </w:rPr>
        <w:t>Evorel Conti is a continuous combined HRT preparation. Patches are applied to the skin twice weekly.</w:t>
      </w:r>
      <w:r>
        <w:rPr>
          <w:rFonts w:ascii="Arial Narrow" w:hAnsi="Arial Narrow" w:cs="Arial"/>
          <w:sz w:val="20"/>
          <w:szCs w:val="20"/>
        </w:rPr>
        <w:t xml:space="preserve"> </w:t>
      </w:r>
      <w:r w:rsidRPr="004E7B3A">
        <w:rPr>
          <w:rFonts w:ascii="Arial Narrow" w:hAnsi="Arial Narrow" w:cs="Arial"/>
          <w:sz w:val="20"/>
          <w:szCs w:val="20"/>
        </w:rPr>
        <w:t xml:space="preserve">One Evorel Conti patch should be worn at all times, without interruptions. For initiation and continuation of treatment of menopausal symptoms, the lowest effective dose for the shortest duration </w:t>
      </w:r>
      <w:r>
        <w:rPr>
          <w:rFonts w:ascii="Arial Narrow" w:hAnsi="Arial Narrow" w:cs="Arial"/>
          <w:sz w:val="20"/>
          <w:szCs w:val="20"/>
        </w:rPr>
        <w:t>s</w:t>
      </w:r>
      <w:r w:rsidRPr="004E7B3A">
        <w:rPr>
          <w:rFonts w:ascii="Arial Narrow" w:hAnsi="Arial Narrow" w:cs="Arial"/>
          <w:sz w:val="20"/>
          <w:szCs w:val="20"/>
        </w:rPr>
        <w:t>hould be used.</w:t>
      </w:r>
      <w:r>
        <w:rPr>
          <w:rFonts w:ascii="Arial Narrow" w:hAnsi="Arial Narrow" w:cs="Arial"/>
          <w:sz w:val="20"/>
          <w:szCs w:val="20"/>
        </w:rPr>
        <w:t xml:space="preserve"> </w:t>
      </w:r>
      <w:r w:rsidRPr="00B450A7">
        <w:rPr>
          <w:rFonts w:ascii="Arial Narrow" w:hAnsi="Arial Narrow" w:cs="Arial"/>
          <w:b/>
          <w:bCs/>
          <w:i/>
          <w:iCs/>
          <w:sz w:val="20"/>
          <w:szCs w:val="20"/>
        </w:rPr>
        <w:t>Guidance on how to start therapy:</w:t>
      </w:r>
      <w:r>
        <w:rPr>
          <w:rFonts w:ascii="Arial Narrow" w:hAnsi="Arial Narrow" w:cs="Arial"/>
          <w:b/>
          <w:bCs/>
          <w:sz w:val="20"/>
          <w:szCs w:val="20"/>
        </w:rPr>
        <w:t xml:space="preserve"> </w:t>
      </w:r>
      <w:r w:rsidRPr="004D43EE">
        <w:rPr>
          <w:rFonts w:ascii="Arial Narrow" w:hAnsi="Arial Narrow" w:cs="Arial"/>
          <w:sz w:val="20"/>
          <w:szCs w:val="20"/>
        </w:rPr>
        <w:t>Post-menopausal women currently not on HRT may start Evorel Conti at any time.</w:t>
      </w:r>
      <w:r>
        <w:rPr>
          <w:rFonts w:ascii="Arial Narrow" w:hAnsi="Arial Narrow" w:cs="Arial"/>
          <w:sz w:val="20"/>
          <w:szCs w:val="20"/>
        </w:rPr>
        <w:t xml:space="preserve"> </w:t>
      </w:r>
      <w:r w:rsidRPr="00C95DD4">
        <w:rPr>
          <w:rFonts w:ascii="Arial Narrow" w:hAnsi="Arial Narrow" w:cs="Arial"/>
          <w:b/>
          <w:bCs/>
          <w:i/>
          <w:iCs/>
          <w:sz w:val="20"/>
          <w:szCs w:val="20"/>
        </w:rPr>
        <w:t>Switching from other HRT:</w:t>
      </w:r>
      <w:r>
        <w:rPr>
          <w:rFonts w:ascii="Arial Narrow" w:hAnsi="Arial Narrow" w:cs="Arial"/>
          <w:sz w:val="20"/>
          <w:szCs w:val="20"/>
        </w:rPr>
        <w:t xml:space="preserve"> </w:t>
      </w:r>
      <w:r w:rsidRPr="004D43EE">
        <w:rPr>
          <w:rFonts w:ascii="Arial Narrow" w:hAnsi="Arial Narrow" w:cs="Arial"/>
          <w:sz w:val="20"/>
          <w:szCs w:val="20"/>
        </w:rPr>
        <w:t>Women on a continuous combined regimen wishing to switch from another oestrogen to Evorel Conti may do so at any time.</w:t>
      </w:r>
      <w:r>
        <w:rPr>
          <w:rFonts w:ascii="Arial Narrow" w:hAnsi="Arial Narrow" w:cs="Arial"/>
          <w:sz w:val="20"/>
          <w:szCs w:val="20"/>
        </w:rPr>
        <w:t xml:space="preserve"> </w:t>
      </w:r>
      <w:r w:rsidRPr="004D43EE">
        <w:rPr>
          <w:rFonts w:ascii="Arial Narrow" w:hAnsi="Arial Narrow" w:cs="Arial"/>
          <w:sz w:val="20"/>
          <w:szCs w:val="20"/>
        </w:rPr>
        <w:t>Women on a cyclic or continuous sequential regimen wishing to switch from a sequential combined HRT preparation to Evorel Conti may do so at the end of a cycle of the current therapy or after a 7-day hormone free interval.</w:t>
      </w:r>
      <w:r>
        <w:rPr>
          <w:rFonts w:ascii="Arial Narrow" w:hAnsi="Arial Narrow" w:cs="Arial"/>
          <w:sz w:val="20"/>
          <w:szCs w:val="20"/>
        </w:rPr>
        <w:t xml:space="preserve"> </w:t>
      </w:r>
      <w:r w:rsidRPr="004D43EE">
        <w:rPr>
          <w:rFonts w:ascii="Arial Narrow" w:hAnsi="Arial Narrow" w:cs="Arial"/>
          <w:sz w:val="20"/>
          <w:szCs w:val="20"/>
        </w:rPr>
        <w:t>Unless there is a previous diagnosis of endometriosis, it is not recommended to add a progestogen in hysterectomised women.</w:t>
      </w:r>
      <w:r>
        <w:rPr>
          <w:rFonts w:ascii="Arial Narrow" w:hAnsi="Arial Narrow" w:cs="Arial"/>
          <w:sz w:val="20"/>
          <w:szCs w:val="20"/>
        </w:rPr>
        <w:t xml:space="preserve"> </w:t>
      </w:r>
      <w:r w:rsidRPr="00431188">
        <w:rPr>
          <w:rFonts w:ascii="Arial Narrow" w:hAnsi="Arial Narrow" w:cs="Arial"/>
          <w:b/>
          <w:bCs/>
          <w:sz w:val="20"/>
          <w:szCs w:val="20"/>
        </w:rPr>
        <w:t>Method of Administration</w:t>
      </w:r>
      <w:r>
        <w:rPr>
          <w:rFonts w:ascii="Arial Narrow" w:hAnsi="Arial Narrow" w:cs="Arial"/>
          <w:b/>
          <w:bCs/>
          <w:sz w:val="20"/>
          <w:szCs w:val="20"/>
        </w:rPr>
        <w:t>:</w:t>
      </w:r>
      <w:r>
        <w:rPr>
          <w:rFonts w:ascii="Arial Narrow" w:hAnsi="Arial Narrow" w:cs="Arial"/>
          <w:sz w:val="20"/>
          <w:szCs w:val="20"/>
        </w:rPr>
        <w:t xml:space="preserve"> </w:t>
      </w:r>
      <w:r w:rsidRPr="00F00EE4">
        <w:rPr>
          <w:rFonts w:ascii="Arial Narrow" w:hAnsi="Arial Narrow" w:cs="Arial"/>
          <w:sz w:val="20"/>
          <w:szCs w:val="20"/>
        </w:rPr>
        <w:t>The sachet containing one Evorel Conti patch should be opened and one part of the protective foil removed at the S- shaped incision. The patch should be applied to clean, dry, healthy, intact skin as soon as it is removed from the sachet.</w:t>
      </w:r>
      <w:r>
        <w:rPr>
          <w:rFonts w:ascii="Arial Narrow" w:hAnsi="Arial Narrow" w:cs="Arial"/>
          <w:sz w:val="20"/>
          <w:szCs w:val="20"/>
        </w:rPr>
        <w:t xml:space="preserve"> </w:t>
      </w:r>
      <w:r w:rsidRPr="00F00EE4">
        <w:rPr>
          <w:rFonts w:ascii="Arial Narrow" w:hAnsi="Arial Narrow" w:cs="Arial"/>
          <w:sz w:val="20"/>
          <w:szCs w:val="20"/>
        </w:rPr>
        <w:t>The patient should avoid contact between fingers and the adhesive part of the patch during application. Each application should be made to a different area of the skin, on the trunk below the waist. The patch should not be applied on or near the breasts</w:t>
      </w:r>
      <w:r>
        <w:rPr>
          <w:rFonts w:ascii="Arial Narrow" w:hAnsi="Arial Narrow" w:cs="Arial"/>
          <w:sz w:val="20"/>
          <w:szCs w:val="20"/>
        </w:rPr>
        <w:t xml:space="preserve">, </w:t>
      </w:r>
      <w:r w:rsidRPr="00F00EE4">
        <w:rPr>
          <w:rFonts w:ascii="Arial Narrow" w:hAnsi="Arial Narrow" w:cs="Arial"/>
          <w:sz w:val="20"/>
          <w:szCs w:val="20"/>
        </w:rPr>
        <w:t>the usual day of changing Evorel Conti patches should be maintained.</w:t>
      </w:r>
      <w:r>
        <w:rPr>
          <w:rFonts w:ascii="Arial Narrow" w:hAnsi="Arial Narrow" w:cs="Arial"/>
          <w:sz w:val="20"/>
          <w:szCs w:val="20"/>
        </w:rPr>
        <w:t xml:space="preserve"> </w:t>
      </w:r>
      <w:r w:rsidRPr="008A266F">
        <w:rPr>
          <w:rFonts w:ascii="Arial Narrow" w:hAnsi="Arial Narrow" w:cs="Arial"/>
          <w:b/>
          <w:bCs/>
          <w:i/>
          <w:iCs/>
          <w:sz w:val="20"/>
          <w:szCs w:val="20"/>
        </w:rPr>
        <w:t>Children</w:t>
      </w:r>
      <w:r w:rsidRPr="008A266F">
        <w:rPr>
          <w:rFonts w:ascii="Arial Narrow" w:hAnsi="Arial Narrow" w:cs="Arial"/>
          <w:b/>
          <w:bCs/>
          <w:sz w:val="20"/>
          <w:szCs w:val="20"/>
        </w:rPr>
        <w:t>:</w:t>
      </w:r>
      <w:r w:rsidRPr="00080F83">
        <w:rPr>
          <w:rFonts w:ascii="Arial Narrow" w:hAnsi="Arial Narrow" w:cs="Arial"/>
          <w:sz w:val="20"/>
          <w:szCs w:val="20"/>
        </w:rPr>
        <w:t xml:space="preserve"> </w:t>
      </w:r>
      <w:r w:rsidRPr="00896C89">
        <w:rPr>
          <w:rFonts w:ascii="Arial Narrow" w:hAnsi="Arial Narrow" w:cs="Arial"/>
          <w:sz w:val="20"/>
          <w:szCs w:val="20"/>
        </w:rPr>
        <w:t>N</w:t>
      </w:r>
      <w:r w:rsidRPr="00080F83">
        <w:rPr>
          <w:rFonts w:ascii="Arial Narrow" w:hAnsi="Arial Narrow" w:cs="Arial"/>
          <w:sz w:val="20"/>
          <w:szCs w:val="20"/>
        </w:rPr>
        <w:t xml:space="preserve">ot indicated in children. </w:t>
      </w:r>
      <w:r w:rsidRPr="008A266F">
        <w:rPr>
          <w:rFonts w:ascii="Arial Narrow" w:hAnsi="Arial Narrow" w:cs="Arial"/>
          <w:b/>
          <w:bCs/>
          <w:i/>
          <w:iCs/>
          <w:sz w:val="20"/>
          <w:szCs w:val="20"/>
        </w:rPr>
        <w:t>Elderly:</w:t>
      </w:r>
      <w:r w:rsidRPr="00080F83">
        <w:rPr>
          <w:rFonts w:ascii="Arial Narrow" w:hAnsi="Arial Narrow" w:cs="Arial"/>
          <w:sz w:val="20"/>
          <w:szCs w:val="20"/>
        </w:rPr>
        <w:t xml:space="preserve"> Data are insufficient in the elderly (&gt;65 years old). </w:t>
      </w:r>
      <w:r w:rsidRPr="008A266F">
        <w:rPr>
          <w:rFonts w:ascii="Arial Narrow" w:hAnsi="Arial Narrow" w:cs="Arial"/>
          <w:b/>
          <w:bCs/>
          <w:i/>
          <w:iCs/>
          <w:sz w:val="20"/>
          <w:szCs w:val="20"/>
        </w:rPr>
        <w:t>Route of administration:</w:t>
      </w:r>
      <w:r w:rsidRPr="00080F83">
        <w:rPr>
          <w:rFonts w:ascii="Arial Narrow" w:hAnsi="Arial Narrow" w:cs="Arial"/>
          <w:sz w:val="20"/>
          <w:szCs w:val="20"/>
        </w:rPr>
        <w:t xml:space="preserve"> Transdermal use. </w:t>
      </w:r>
      <w:r w:rsidRPr="00080F83">
        <w:rPr>
          <w:rFonts w:ascii="Arial Narrow" w:hAnsi="Arial Narrow" w:cs="Arial"/>
          <w:b/>
          <w:sz w:val="20"/>
          <w:szCs w:val="20"/>
        </w:rPr>
        <w:t xml:space="preserve">Contraindications: </w:t>
      </w:r>
      <w:r w:rsidRPr="00080F83">
        <w:rPr>
          <w:rFonts w:ascii="Arial Narrow" w:hAnsi="Arial Narrow" w:cs="Arial"/>
          <w:sz w:val="20"/>
          <w:szCs w:val="20"/>
        </w:rPr>
        <w:t>Known</w:t>
      </w:r>
      <w:r>
        <w:rPr>
          <w:rFonts w:ascii="Arial Narrow" w:hAnsi="Arial Narrow" w:cs="Arial"/>
          <w:sz w:val="20"/>
          <w:szCs w:val="20"/>
        </w:rPr>
        <w:t>,</w:t>
      </w:r>
      <w:r w:rsidRPr="00080F83">
        <w:rPr>
          <w:rFonts w:ascii="Arial Narrow" w:hAnsi="Arial Narrow" w:cs="Arial"/>
          <w:sz w:val="20"/>
          <w:szCs w:val="20"/>
        </w:rPr>
        <w:t xml:space="preserve"> past or suspected breast cancer. Known or suspected oestrogen-dependent malignant tumours or pre-malignant tumours. Undiagnosed genital bleeding. Previous idiopathic or current </w:t>
      </w:r>
      <w:r>
        <w:rPr>
          <w:rFonts w:ascii="Arial Narrow" w:hAnsi="Arial Narrow" w:cs="Arial"/>
          <w:sz w:val="20"/>
          <w:szCs w:val="20"/>
        </w:rPr>
        <w:t>VTE</w:t>
      </w:r>
      <w:r w:rsidRPr="00080F83">
        <w:rPr>
          <w:rFonts w:ascii="Arial Narrow" w:hAnsi="Arial Narrow" w:cs="Arial"/>
          <w:sz w:val="20"/>
          <w:szCs w:val="20"/>
        </w:rPr>
        <w:t xml:space="preserve">. Active or recent past </w:t>
      </w:r>
      <w:r>
        <w:rPr>
          <w:rFonts w:ascii="Arial Narrow" w:hAnsi="Arial Narrow" w:cs="Arial"/>
          <w:sz w:val="20"/>
          <w:szCs w:val="20"/>
        </w:rPr>
        <w:t>ATE</w:t>
      </w:r>
      <w:r w:rsidRPr="00080F83">
        <w:rPr>
          <w:rFonts w:ascii="Arial Narrow" w:hAnsi="Arial Narrow" w:cs="Arial"/>
          <w:sz w:val="20"/>
          <w:szCs w:val="20"/>
        </w:rPr>
        <w:t xml:space="preserve"> disease. Acute liver disease, or a history of liver disease if liver function tests have failed to return to normal. Known </w:t>
      </w:r>
      <w:r w:rsidRPr="00F64A55">
        <w:rPr>
          <w:rFonts w:ascii="Arial Narrow" w:hAnsi="Arial Narrow" w:cs="Arial"/>
          <w:sz w:val="20"/>
          <w:szCs w:val="20"/>
        </w:rPr>
        <w:t>thrombophilic</w:t>
      </w:r>
      <w:r w:rsidRPr="00080F83">
        <w:rPr>
          <w:rFonts w:ascii="Arial Narrow" w:hAnsi="Arial Narrow" w:cs="Arial"/>
          <w:sz w:val="20"/>
          <w:szCs w:val="20"/>
        </w:rPr>
        <w:t xml:space="preserve"> conditions. Known hypersensitivity to the active substances or to any of the excipients</w:t>
      </w:r>
      <w:r>
        <w:rPr>
          <w:rFonts w:ascii="Arial Narrow" w:hAnsi="Arial Narrow" w:cs="Arial"/>
          <w:sz w:val="20"/>
          <w:szCs w:val="20"/>
        </w:rPr>
        <w:t>.</w:t>
      </w:r>
      <w:r w:rsidRPr="00080F83">
        <w:rPr>
          <w:rFonts w:ascii="Arial Narrow" w:hAnsi="Arial Narrow" w:cs="Arial"/>
          <w:sz w:val="20"/>
          <w:szCs w:val="20"/>
        </w:rPr>
        <w:t xml:space="preserve"> Porphyria. </w:t>
      </w:r>
      <w:r w:rsidRPr="00080F83">
        <w:rPr>
          <w:rFonts w:ascii="Arial Narrow" w:hAnsi="Arial Narrow" w:cs="Arial"/>
          <w:b/>
          <w:sz w:val="20"/>
          <w:szCs w:val="20"/>
        </w:rPr>
        <w:t xml:space="preserve">Special warnings and precautions for use: </w:t>
      </w:r>
      <w:r w:rsidRPr="00080F83">
        <w:rPr>
          <w:rFonts w:ascii="Arial Narrow" w:hAnsi="Arial Narrow" w:cs="Arial"/>
          <w:sz w:val="20"/>
          <w:szCs w:val="20"/>
        </w:rPr>
        <w:t>Before initiating or re-instituting HRT, a complete personal and family medical history should be taken</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i/>
          <w:sz w:val="20"/>
          <w:szCs w:val="20"/>
        </w:rPr>
        <w:t xml:space="preserve">Conditions which need supervision: </w:t>
      </w:r>
      <w:r w:rsidRPr="00080F83">
        <w:rPr>
          <w:rFonts w:ascii="Arial Narrow" w:hAnsi="Arial Narrow" w:cs="Arial"/>
          <w:sz w:val="20"/>
          <w:szCs w:val="20"/>
        </w:rPr>
        <w:t xml:space="preserve">If any of the following conditions are present, occurred previously, have been aggravated during pregnancy or previous hormone treatment, supervise patient closely. Conditions may recur or be aggravated during treatment, in particular: Leiomyoma or endometriosis, </w:t>
      </w:r>
      <w:r>
        <w:rPr>
          <w:rFonts w:ascii="Arial Narrow" w:hAnsi="Arial Narrow" w:cs="Arial"/>
          <w:sz w:val="20"/>
          <w:szCs w:val="20"/>
        </w:rPr>
        <w:t>a</w:t>
      </w:r>
      <w:r w:rsidRPr="00B815B8">
        <w:rPr>
          <w:rFonts w:ascii="Arial Narrow" w:hAnsi="Arial Narrow" w:cs="Arial"/>
          <w:sz w:val="20"/>
          <w:szCs w:val="20"/>
        </w:rPr>
        <w:t xml:space="preserve"> history of, or risk factors for, thrombo-embolic disorders</w:t>
      </w:r>
      <w:r w:rsidRPr="00080F83">
        <w:rPr>
          <w:rFonts w:ascii="Arial Narrow" w:hAnsi="Arial Narrow" w:cs="Arial"/>
          <w:sz w:val="20"/>
          <w:szCs w:val="20"/>
        </w:rPr>
        <w:t xml:space="preserve"> or oestrogen dependent tumours, hypertension, liver disorders, diabetes mellitus, cholelithiasis, migraine or </w:t>
      </w:r>
      <w:r>
        <w:rPr>
          <w:rFonts w:ascii="Arial Narrow" w:hAnsi="Arial Narrow" w:cs="Arial"/>
          <w:sz w:val="20"/>
          <w:szCs w:val="20"/>
        </w:rPr>
        <w:t>(</w:t>
      </w:r>
      <w:r w:rsidRPr="00080F83">
        <w:rPr>
          <w:rFonts w:ascii="Arial Narrow" w:hAnsi="Arial Narrow" w:cs="Arial"/>
          <w:sz w:val="20"/>
          <w:szCs w:val="20"/>
        </w:rPr>
        <w:t>severe</w:t>
      </w:r>
      <w:r>
        <w:rPr>
          <w:rFonts w:ascii="Arial Narrow" w:hAnsi="Arial Narrow" w:cs="Arial"/>
          <w:sz w:val="20"/>
          <w:szCs w:val="20"/>
        </w:rPr>
        <w:t>)</w:t>
      </w:r>
      <w:r w:rsidRPr="00080F83">
        <w:rPr>
          <w:rFonts w:ascii="Arial Narrow" w:hAnsi="Arial Narrow" w:cs="Arial"/>
          <w:sz w:val="20"/>
          <w:szCs w:val="20"/>
        </w:rPr>
        <w:t xml:space="preserve"> headache, systemic lupus erythematosus, history of endometrial hyperplasia, epilepsy, asthma, otosclerosis</w:t>
      </w:r>
      <w:r>
        <w:rPr>
          <w:rFonts w:ascii="Arial Narrow" w:hAnsi="Arial Narrow" w:cs="Arial"/>
          <w:sz w:val="20"/>
          <w:szCs w:val="20"/>
        </w:rPr>
        <w:t xml:space="preserve"> </w:t>
      </w:r>
      <w:r w:rsidRPr="00080F83">
        <w:rPr>
          <w:rFonts w:ascii="Arial Narrow" w:hAnsi="Arial Narrow" w:cs="Arial"/>
          <w:sz w:val="20"/>
          <w:szCs w:val="20"/>
        </w:rPr>
        <w:t xml:space="preserve">and mastopathy. </w:t>
      </w:r>
      <w:r w:rsidRPr="0085685E">
        <w:rPr>
          <w:rFonts w:cstheme="minorHAnsi"/>
          <w:b/>
          <w:noProof/>
          <w:sz w:val="20"/>
          <w:szCs w:val="20"/>
        </w:rPr>
        <mc:AlternateContent>
          <mc:Choice Requires="wps">
            <w:drawing>
              <wp:anchor distT="91440" distB="91440" distL="365760" distR="365760" simplePos="0" relativeHeight="251673600" behindDoc="0" locked="0" layoutInCell="1" allowOverlap="1" wp14:anchorId="29D4A688" wp14:editId="5E05874C">
                <wp:simplePos x="0" y="0"/>
                <wp:positionH relativeFrom="margin">
                  <wp:posOffset>158134</wp:posOffset>
                </wp:positionH>
                <wp:positionV relativeFrom="margin">
                  <wp:posOffset>9450667</wp:posOffset>
                </wp:positionV>
                <wp:extent cx="6451600" cy="2066290"/>
                <wp:effectExtent l="0" t="0" r="25400" b="19050"/>
                <wp:wrapTopAndBottom/>
                <wp:docPr id="9" name="Rectangle 9"/>
                <wp:cNvGraphicFramePr/>
                <a:graphic xmlns:a="http://schemas.openxmlformats.org/drawingml/2006/main">
                  <a:graphicData uri="http://schemas.microsoft.com/office/word/2010/wordprocessingShape">
                    <wps:wsp>
                      <wps:cNvSpPr/>
                      <wps:spPr>
                        <a:xfrm>
                          <a:off x="0" y="0"/>
                          <a:ext cx="6451600" cy="2066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89C03"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6505E18D" w14:textId="77777777" w:rsidR="0088676C" w:rsidRPr="00507155" w:rsidRDefault="005D4BC9" w:rsidP="0088676C">
                            <w:pPr>
                              <w:jc w:val="center"/>
                              <w:rPr>
                                <w:rFonts w:ascii="Arial Narrow" w:hAnsi="Arial Narrow" w:cstheme="minorHAnsi"/>
                                <w:b/>
                                <w:color w:val="000000" w:themeColor="text1"/>
                                <w:sz w:val="20"/>
                                <w:szCs w:val="20"/>
                                <w:u w:val="single"/>
                                <w:lang w:val="en-US"/>
                              </w:rPr>
                            </w:pPr>
                            <w:hyperlink r:id="rId17" w:history="1">
                              <w:r w:rsidR="0088676C" w:rsidRPr="00507155">
                                <w:rPr>
                                  <w:rStyle w:val="Hyperlink"/>
                                  <w:rFonts w:ascii="Arial Narrow" w:hAnsi="Arial Narrow" w:cstheme="minorHAnsi"/>
                                  <w:b/>
                                  <w:sz w:val="20"/>
                                  <w:szCs w:val="20"/>
                                  <w:lang w:val="en-US"/>
                                </w:rPr>
                                <w:t>www.mhra.gov.uk/yellowcard</w:t>
                              </w:r>
                            </w:hyperlink>
                            <w:r w:rsidR="0088676C" w:rsidRPr="00507155">
                              <w:rPr>
                                <w:rFonts w:ascii="Arial Narrow" w:hAnsi="Arial Narrow" w:cstheme="minorHAnsi"/>
                                <w:b/>
                                <w:color w:val="000000" w:themeColor="text1"/>
                                <w:sz w:val="20"/>
                                <w:szCs w:val="20"/>
                                <w:u w:val="single"/>
                                <w:lang w:val="en-US"/>
                              </w:rPr>
                              <w:t xml:space="preserve"> or search for MHRA Yellowcard in the Google Play or Apple App store.</w:t>
                            </w:r>
                          </w:p>
                          <w:p w14:paraId="2DAABC7C" w14:textId="77777777" w:rsidR="0088676C" w:rsidRPr="00507155" w:rsidRDefault="0088676C" w:rsidP="0088676C">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9D4A688" id="Rectangle 9" o:spid="_x0000_s1029" style="position:absolute;left:0;text-align:left;margin-left:12.45pt;margin-top:744.15pt;width:508pt;height:162.7pt;z-index:25167360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" filled="f" strokecolor="black [3213]" strokeweight="1pt">
                <v:textbox style="mso-fit-shape-to-text:t" inset="10.8pt,0,10.8pt,0">
                  <w:txbxContent>
                    <w:p w14:paraId="23789C03"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6505E18D"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hyperlink r:id="rId18" w:history="1">
                        <w:r w:rsidRPr="00507155">
                          <w:rPr>
                            <w:rStyle w:val="Hyperlink"/>
                            <w:rFonts w:ascii="Arial Narrow" w:hAnsi="Arial Narrow" w:cstheme="minorHAnsi"/>
                            <w:b/>
                            <w:sz w:val="20"/>
                            <w:szCs w:val="20"/>
                            <w:lang w:val="en-US"/>
                          </w:rPr>
                          <w:t>www.mhra.gov.uk/yellowcard</w:t>
                        </w:r>
                      </w:hyperlink>
                      <w:r w:rsidRPr="00507155">
                        <w:rPr>
                          <w:rFonts w:ascii="Arial Narrow" w:hAnsi="Arial Narrow" w:cstheme="minorHAnsi"/>
                          <w:b/>
                          <w:color w:val="000000" w:themeColor="text1"/>
                          <w:sz w:val="20"/>
                          <w:szCs w:val="20"/>
                          <w:u w:val="single"/>
                          <w:lang w:val="en-US"/>
                        </w:rPr>
                        <w:t xml:space="preserve"> or search for MHRA </w:t>
                      </w:r>
                      <w:proofErr w:type="spellStart"/>
                      <w:r w:rsidRPr="00507155">
                        <w:rPr>
                          <w:rFonts w:ascii="Arial Narrow" w:hAnsi="Arial Narrow" w:cstheme="minorHAnsi"/>
                          <w:b/>
                          <w:color w:val="000000" w:themeColor="text1"/>
                          <w:sz w:val="20"/>
                          <w:szCs w:val="20"/>
                          <w:u w:val="single"/>
                          <w:lang w:val="en-US"/>
                        </w:rPr>
                        <w:t>Yellowcard</w:t>
                      </w:r>
                      <w:proofErr w:type="spellEnd"/>
                      <w:r w:rsidRPr="00507155">
                        <w:rPr>
                          <w:rFonts w:ascii="Arial Narrow" w:hAnsi="Arial Narrow" w:cstheme="minorHAnsi"/>
                          <w:b/>
                          <w:color w:val="000000" w:themeColor="text1"/>
                          <w:sz w:val="20"/>
                          <w:szCs w:val="20"/>
                          <w:u w:val="single"/>
                          <w:lang w:val="en-US"/>
                        </w:rPr>
                        <w:t xml:space="preserve"> in the Google Play or Apple App store.</w:t>
                      </w:r>
                    </w:p>
                    <w:p w14:paraId="2DAABC7C" w14:textId="77777777" w:rsidR="0088676C" w:rsidRPr="00507155" w:rsidRDefault="0088676C" w:rsidP="0088676C">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 xml:space="preserve">Adverse events should also be reported to </w:t>
                      </w:r>
                      <w:proofErr w:type="spellStart"/>
                      <w:r w:rsidRPr="00507155">
                        <w:rPr>
                          <w:rFonts w:ascii="Arial Narrow" w:hAnsi="Arial Narrow" w:cstheme="minorHAnsi"/>
                          <w:b/>
                          <w:color w:val="000000" w:themeColor="text1"/>
                          <w:sz w:val="20"/>
                          <w:szCs w:val="20"/>
                          <w:u w:val="single"/>
                          <w:lang w:val="en-US"/>
                        </w:rPr>
                        <w:t>Theramex</w:t>
                      </w:r>
                      <w:proofErr w:type="spellEnd"/>
                      <w:r w:rsidRPr="00507155">
                        <w:rPr>
                          <w:rFonts w:ascii="Arial Narrow" w:hAnsi="Arial Narrow" w:cstheme="minorHAnsi"/>
                          <w:b/>
                          <w:color w:val="000000" w:themeColor="text1"/>
                          <w:sz w:val="20"/>
                          <w:szCs w:val="20"/>
                          <w:u w:val="single"/>
                          <w:lang w:val="en-US"/>
                        </w:rPr>
                        <w:t xml:space="preserve"> on medinfo.uk@theramex.com or Tel: 0333 0096795</w:t>
                      </w:r>
                    </w:p>
                  </w:txbxContent>
                </v:textbox>
                <w10:wrap type="topAndBottom" anchorx="margin" anchory="margin"/>
              </v:rect>
            </w:pict>
          </mc:Fallback>
        </mc:AlternateContent>
      </w:r>
      <w:r w:rsidRPr="00F90279">
        <w:rPr>
          <w:rFonts w:ascii="Arial Narrow" w:hAnsi="Arial Narrow" w:cs="Arial"/>
          <w:b/>
          <w:bCs/>
          <w:i/>
          <w:iCs/>
          <w:sz w:val="20"/>
          <w:szCs w:val="20"/>
        </w:rPr>
        <w:t>Conditions which require monitoring while on oestrogen therapy:</w:t>
      </w:r>
      <w:r w:rsidRPr="00080F83">
        <w:rPr>
          <w:rFonts w:ascii="Arial Narrow" w:hAnsi="Arial Narrow" w:cs="Arial"/>
          <w:sz w:val="20"/>
          <w:szCs w:val="20"/>
        </w:rPr>
        <w:t xml:space="preserve"> Oestrogens may cause fluid retention. Cardiac or renal dysfunction should be carefully observed</w:t>
      </w:r>
      <w:r>
        <w:rPr>
          <w:rFonts w:ascii="Arial Narrow" w:hAnsi="Arial Narrow" w:cs="Arial"/>
          <w:sz w:val="20"/>
          <w:szCs w:val="20"/>
        </w:rPr>
        <w:t>.</w:t>
      </w:r>
      <w:r w:rsidRPr="00080F83">
        <w:rPr>
          <w:rFonts w:ascii="Arial Narrow" w:hAnsi="Arial Narrow" w:cs="Arial"/>
          <w:sz w:val="20"/>
          <w:szCs w:val="20"/>
        </w:rPr>
        <w:t xml:space="preserve"> Disturbances or mild impairment of liver function. History of cholestatic jaundice. Pre-existing hypertriglyceridaemia. Rare cases of large increases of plasma triglycerides leading to pancreatitis have been reported with oestrogen therapy in this condition. </w:t>
      </w:r>
      <w:r w:rsidRPr="00557F8F">
        <w:rPr>
          <w:rFonts w:ascii="Arial Narrow" w:hAnsi="Arial Narrow" w:cs="Arial"/>
          <w:b/>
          <w:bCs/>
          <w:i/>
          <w:iCs/>
          <w:sz w:val="20"/>
          <w:szCs w:val="20"/>
        </w:rPr>
        <w:t>Therapy should be discontinued if a contraindication is discovered and in the following situation</w:t>
      </w:r>
      <w:r>
        <w:rPr>
          <w:rFonts w:ascii="Arial Narrow" w:hAnsi="Arial Narrow" w:cs="Arial"/>
          <w:b/>
          <w:bCs/>
          <w:i/>
          <w:iCs/>
          <w:sz w:val="20"/>
          <w:szCs w:val="20"/>
        </w:rPr>
        <w:t>s</w:t>
      </w:r>
      <w:r w:rsidRPr="00557F8F">
        <w:rPr>
          <w:rFonts w:ascii="Arial Narrow" w:hAnsi="Arial Narrow" w:cs="Arial"/>
          <w:b/>
          <w:bCs/>
          <w:i/>
          <w:iCs/>
          <w:sz w:val="20"/>
          <w:szCs w:val="20"/>
        </w:rPr>
        <w:t>:</w:t>
      </w:r>
      <w:r w:rsidRPr="00557F8F">
        <w:rPr>
          <w:rFonts w:ascii="Arial Narrow" w:hAnsi="Arial Narrow" w:cs="Arial"/>
          <w:i/>
          <w:iCs/>
          <w:sz w:val="20"/>
          <w:szCs w:val="20"/>
        </w:rPr>
        <w:t xml:space="preserve"> </w:t>
      </w:r>
      <w:r w:rsidRPr="00080F83">
        <w:rPr>
          <w:rFonts w:ascii="Arial Narrow" w:hAnsi="Arial Narrow" w:cs="Arial"/>
          <w:sz w:val="20"/>
          <w:szCs w:val="20"/>
        </w:rPr>
        <w:t xml:space="preserve">jaundice/deterioration in liver function, significant increase in blood pressure, new onset of migraine-type headache, pregnancy. </w:t>
      </w:r>
      <w:r w:rsidRPr="00080F83">
        <w:rPr>
          <w:rFonts w:ascii="Arial Narrow" w:hAnsi="Arial Narrow" w:cs="Arial"/>
          <w:b/>
          <w:sz w:val="20"/>
          <w:szCs w:val="20"/>
        </w:rPr>
        <w:t xml:space="preserve">Interactions: </w:t>
      </w:r>
      <w:r w:rsidRPr="003D5A30">
        <w:rPr>
          <w:rFonts w:ascii="Arial Narrow" w:hAnsi="Arial Narrow" w:cs="Arial"/>
          <w:sz w:val="20"/>
          <w:szCs w:val="20"/>
        </w:rPr>
        <w:t>The metabolism of oestrogens and progestogens may be increased by concomitant use of substances known to induce drug-metabolising enzymes, specifically cytochrome P450 enzymes, such as anticonvulsants,</w:t>
      </w:r>
      <w:r>
        <w:rPr>
          <w:rFonts w:ascii="Arial Narrow" w:hAnsi="Arial Narrow" w:cs="Arial"/>
          <w:sz w:val="20"/>
          <w:szCs w:val="20"/>
        </w:rPr>
        <w:t xml:space="preserve"> </w:t>
      </w:r>
      <w:r w:rsidRPr="00080F83">
        <w:rPr>
          <w:rFonts w:ascii="Arial Narrow" w:hAnsi="Arial Narrow" w:cs="Arial"/>
          <w:sz w:val="20"/>
          <w:szCs w:val="20"/>
        </w:rPr>
        <w:t>anti-infectives</w:t>
      </w:r>
      <w:r>
        <w:rPr>
          <w:rFonts w:ascii="Arial Narrow" w:hAnsi="Arial Narrow" w:cs="Arial"/>
          <w:sz w:val="20"/>
          <w:szCs w:val="20"/>
        </w:rPr>
        <w:t xml:space="preserve"> and bosentan.</w:t>
      </w:r>
      <w:r w:rsidRPr="00080F83">
        <w:rPr>
          <w:rFonts w:ascii="Arial Narrow" w:hAnsi="Arial Narrow" w:cs="Arial"/>
          <w:sz w:val="20"/>
          <w:szCs w:val="20"/>
        </w:rPr>
        <w:t xml:space="preserve"> Ritonavir, </w:t>
      </w:r>
      <w:r>
        <w:rPr>
          <w:rFonts w:ascii="Arial Narrow" w:hAnsi="Arial Narrow" w:cs="Arial"/>
          <w:sz w:val="20"/>
          <w:szCs w:val="20"/>
        </w:rPr>
        <w:t xml:space="preserve">telaprevir, </w:t>
      </w:r>
      <w:r w:rsidRPr="00080F83">
        <w:rPr>
          <w:rFonts w:ascii="Arial Narrow" w:hAnsi="Arial Narrow" w:cs="Arial"/>
          <w:sz w:val="20"/>
          <w:szCs w:val="20"/>
        </w:rPr>
        <w:t xml:space="preserve">nelfinavir and herbal preparations containing St. John's Wort may induce the metabolism of oestrogens and progestogens. Clinically, an increased metabolism of oestrogens and progestogens may lead to decreased effect and changes in the uterine bleeding profile. </w:t>
      </w:r>
      <w:r>
        <w:rPr>
          <w:rFonts w:ascii="Arial Narrow" w:hAnsi="Arial Narrow" w:cs="Arial"/>
          <w:sz w:val="20"/>
          <w:szCs w:val="20"/>
        </w:rPr>
        <w:t>Oe</w:t>
      </w:r>
      <w:r w:rsidRPr="00EB77E8">
        <w:rPr>
          <w:rFonts w:ascii="Arial Narrow" w:hAnsi="Arial Narrow" w:cs="Arial"/>
          <w:sz w:val="20"/>
          <w:szCs w:val="20"/>
        </w:rPr>
        <w:t>strogen-containing oral contraceptives have been shown to significantly decrease plasma concentrations of lamotrigine when co-administered due to induction of lamotrigine glucuronidation. This may reduce seizure control. Therefore, dose adjustment of lamotrigine may be necessary.</w:t>
      </w:r>
      <w:r>
        <w:rPr>
          <w:rFonts w:ascii="Arial Narrow" w:hAnsi="Arial Narrow" w:cs="Arial"/>
          <w:sz w:val="20"/>
          <w:szCs w:val="20"/>
        </w:rPr>
        <w:t xml:space="preserve"> </w:t>
      </w:r>
      <w:r w:rsidRPr="00E86E10">
        <w:rPr>
          <w:rFonts w:ascii="Arial Narrow" w:hAnsi="Arial Narrow" w:cs="Arial"/>
          <w:b/>
          <w:bCs/>
          <w:sz w:val="20"/>
          <w:szCs w:val="20"/>
        </w:rPr>
        <w:t>Fertility</w:t>
      </w:r>
      <w:r>
        <w:rPr>
          <w:rFonts w:ascii="Arial Narrow" w:hAnsi="Arial Narrow" w:cs="Arial"/>
          <w:sz w:val="20"/>
          <w:szCs w:val="20"/>
        </w:rPr>
        <w:t xml:space="preserve">, </w:t>
      </w:r>
      <w:r w:rsidRPr="00080F83">
        <w:rPr>
          <w:rFonts w:ascii="Arial Narrow" w:hAnsi="Arial Narrow" w:cs="Arial"/>
          <w:b/>
          <w:bCs/>
          <w:sz w:val="20"/>
          <w:szCs w:val="20"/>
        </w:rPr>
        <w:t xml:space="preserve">Pregnancy and lactation: </w:t>
      </w:r>
      <w:r w:rsidRPr="00CD73D6">
        <w:rPr>
          <w:rFonts w:ascii="Arial Narrow" w:hAnsi="Arial Narrow" w:cs="Arial"/>
          <w:bCs/>
          <w:sz w:val="20"/>
          <w:szCs w:val="20"/>
        </w:rPr>
        <w:t>N</w:t>
      </w:r>
      <w:r w:rsidRPr="00080F83">
        <w:rPr>
          <w:rFonts w:ascii="Arial Narrow" w:hAnsi="Arial Narrow" w:cs="Arial"/>
          <w:bCs/>
          <w:sz w:val="20"/>
          <w:szCs w:val="20"/>
        </w:rPr>
        <w:t xml:space="preserve">ot </w:t>
      </w:r>
      <w:r>
        <w:rPr>
          <w:rFonts w:ascii="Arial Narrow" w:hAnsi="Arial Narrow" w:cs="Arial"/>
          <w:bCs/>
          <w:sz w:val="20"/>
          <w:szCs w:val="20"/>
        </w:rPr>
        <w:t>indicated, treatment should be withdrawn immediately</w:t>
      </w:r>
      <w:r w:rsidRPr="00080F83">
        <w:rPr>
          <w:rFonts w:ascii="Arial Narrow" w:hAnsi="Arial Narrow" w:cs="Arial"/>
          <w:bCs/>
          <w:sz w:val="20"/>
          <w:szCs w:val="20"/>
        </w:rPr>
        <w:t>.</w:t>
      </w:r>
      <w:r>
        <w:rPr>
          <w:rFonts w:ascii="Arial Narrow" w:hAnsi="Arial Narrow" w:cs="Arial"/>
          <w:bCs/>
          <w:sz w:val="20"/>
          <w:szCs w:val="20"/>
        </w:rPr>
        <w:t xml:space="preserve"> </w:t>
      </w:r>
      <w:r w:rsidRPr="00AA7A54">
        <w:rPr>
          <w:rFonts w:ascii="Arial Narrow" w:hAnsi="Arial Narrow" w:cs="Arial"/>
          <w:bCs/>
          <w:sz w:val="20"/>
          <w:szCs w:val="20"/>
        </w:rPr>
        <w:t>Data on a limited number of exposed pregnancies indicate adverse effects of norethisterone on the foetus. At doses higher than normally used in oral contraceptives and HRT formulations, masculinisation of female foetuses was observed.</w:t>
      </w:r>
      <w:r>
        <w:rPr>
          <w:rFonts w:ascii="Arial Narrow" w:hAnsi="Arial Narrow" w:cs="Arial"/>
          <w:bCs/>
          <w:sz w:val="20"/>
          <w:szCs w:val="20"/>
        </w:rPr>
        <w:t xml:space="preserve"> </w:t>
      </w:r>
      <w:r w:rsidRPr="00080F83">
        <w:rPr>
          <w:rFonts w:ascii="Arial Narrow" w:hAnsi="Arial Narrow" w:cs="Arial"/>
          <w:b/>
          <w:sz w:val="20"/>
          <w:szCs w:val="20"/>
        </w:rPr>
        <w:t>Side effects:</w:t>
      </w:r>
      <w:r w:rsidRPr="00080F83">
        <w:rPr>
          <w:rFonts w:ascii="Arial Narrow" w:hAnsi="Arial Narrow" w:cs="Arial"/>
          <w:sz w:val="20"/>
          <w:szCs w:val="20"/>
        </w:rPr>
        <w:t xml:space="preserve"> Adverse reactions observed in clinical trials: Very common (≥1/10); common (≥1/100 to &lt;1/10); uncommon (≥1/1,000 to &lt;1/100); rare (≥1/10,000 to &lt;1/1,000); very rare (&lt;1/10,000); and not known (cannot be estimated from the available clinical trial data). </w:t>
      </w:r>
      <w:r w:rsidRPr="00080F83">
        <w:rPr>
          <w:rFonts w:ascii="Arial Narrow" w:hAnsi="Arial Narrow" w:cs="Arial"/>
          <w:b/>
          <w:bCs/>
          <w:sz w:val="20"/>
          <w:szCs w:val="20"/>
        </w:rPr>
        <w:t xml:space="preserve">Very common: </w:t>
      </w:r>
      <w:r w:rsidRPr="00080F83">
        <w:rPr>
          <w:rFonts w:ascii="Arial Narrow" w:hAnsi="Arial Narrow" w:cs="Arial"/>
          <w:sz w:val="20"/>
          <w:szCs w:val="20"/>
        </w:rPr>
        <w:t xml:space="preserve">Application site </w:t>
      </w:r>
      <w:r>
        <w:rPr>
          <w:rFonts w:ascii="Arial Narrow" w:hAnsi="Arial Narrow" w:cs="Arial"/>
          <w:sz w:val="20"/>
          <w:szCs w:val="20"/>
        </w:rPr>
        <w:t>erythema,</w:t>
      </w:r>
      <w:r w:rsidRPr="00080F83">
        <w:rPr>
          <w:rFonts w:ascii="Arial Narrow" w:hAnsi="Arial Narrow" w:cs="Arial"/>
          <w:sz w:val="20"/>
          <w:szCs w:val="20"/>
        </w:rPr>
        <w:t xml:space="preserve"> Application site pruritus, Application site rash</w:t>
      </w:r>
      <w:r>
        <w:rPr>
          <w:rFonts w:ascii="Arial Narrow" w:hAnsi="Arial Narrow" w:cs="Arial"/>
          <w:sz w:val="20"/>
          <w:szCs w:val="20"/>
        </w:rPr>
        <w:t xml:space="preserve">, </w:t>
      </w:r>
      <w:r w:rsidRPr="00080F83">
        <w:rPr>
          <w:rFonts w:ascii="Arial Narrow" w:hAnsi="Arial Narrow" w:cs="Arial"/>
          <w:sz w:val="20"/>
          <w:szCs w:val="20"/>
        </w:rPr>
        <w:t xml:space="preserve">Application site </w:t>
      </w:r>
      <w:r>
        <w:rPr>
          <w:rFonts w:ascii="Arial Narrow" w:hAnsi="Arial Narrow" w:cs="Arial"/>
          <w:sz w:val="20"/>
          <w:szCs w:val="20"/>
        </w:rPr>
        <w:t xml:space="preserve">reaction. </w:t>
      </w:r>
      <w:r w:rsidRPr="00080F83">
        <w:rPr>
          <w:rFonts w:ascii="Arial Narrow" w:hAnsi="Arial Narrow" w:cs="Arial"/>
          <w:b/>
          <w:bCs/>
          <w:sz w:val="20"/>
          <w:szCs w:val="20"/>
        </w:rPr>
        <w:t xml:space="preserve">Common: </w:t>
      </w:r>
      <w:r w:rsidRPr="00FA22AC">
        <w:rPr>
          <w:rFonts w:ascii="Arial Narrow" w:hAnsi="Arial Narrow" w:cs="Arial"/>
          <w:sz w:val="20"/>
          <w:szCs w:val="20"/>
        </w:rPr>
        <w:t>Hypersensitivity</w:t>
      </w:r>
      <w:r>
        <w:rPr>
          <w:rFonts w:ascii="Arial Narrow" w:hAnsi="Arial Narrow" w:cs="Arial"/>
          <w:b/>
          <w:bCs/>
          <w:sz w:val="20"/>
          <w:szCs w:val="20"/>
        </w:rPr>
        <w:t xml:space="preserve">, </w:t>
      </w:r>
      <w:r w:rsidRPr="00080F83">
        <w:rPr>
          <w:rFonts w:ascii="Arial Narrow" w:hAnsi="Arial Narrow" w:cs="Arial"/>
          <w:sz w:val="20"/>
          <w:szCs w:val="20"/>
        </w:rPr>
        <w:t>Depress</w:t>
      </w:r>
      <w:r>
        <w:rPr>
          <w:rFonts w:ascii="Arial Narrow" w:hAnsi="Arial Narrow" w:cs="Arial"/>
          <w:sz w:val="20"/>
          <w:szCs w:val="20"/>
        </w:rPr>
        <w:t>ion</w:t>
      </w:r>
      <w:r w:rsidRPr="00080F83">
        <w:rPr>
          <w:rFonts w:ascii="Arial Narrow" w:hAnsi="Arial Narrow" w:cs="Arial"/>
          <w:sz w:val="20"/>
          <w:szCs w:val="20"/>
        </w:rPr>
        <w:t xml:space="preserve">, </w:t>
      </w:r>
      <w:r>
        <w:rPr>
          <w:rFonts w:ascii="Arial Narrow" w:hAnsi="Arial Narrow" w:cs="Arial"/>
          <w:sz w:val="20"/>
          <w:szCs w:val="20"/>
        </w:rPr>
        <w:t xml:space="preserve">Insomnia, Anxiety Nervousness, Paraesthesia, </w:t>
      </w:r>
      <w:r w:rsidRPr="00080F83">
        <w:rPr>
          <w:rFonts w:ascii="Arial Narrow" w:hAnsi="Arial Narrow" w:cs="Arial"/>
          <w:sz w:val="20"/>
          <w:szCs w:val="20"/>
        </w:rPr>
        <w:t xml:space="preserve">Headache, </w:t>
      </w:r>
      <w:r w:rsidRPr="00080F83">
        <w:rPr>
          <w:rFonts w:ascii="Arial Narrow" w:hAnsi="Arial Narrow" w:cs="Arial"/>
          <w:bCs/>
          <w:sz w:val="20"/>
          <w:szCs w:val="20"/>
        </w:rPr>
        <w:t>Palpitations</w:t>
      </w:r>
      <w:r>
        <w:rPr>
          <w:rFonts w:ascii="Arial Narrow" w:hAnsi="Arial Narrow" w:cs="Arial"/>
          <w:bCs/>
          <w:sz w:val="20"/>
          <w:szCs w:val="20"/>
        </w:rPr>
        <w:t xml:space="preserve">, Hypertension, Varicose veins, Vasodilation, </w:t>
      </w:r>
      <w:r w:rsidRPr="00080F83">
        <w:rPr>
          <w:rFonts w:ascii="Arial Narrow" w:hAnsi="Arial Narrow" w:cs="Arial"/>
          <w:sz w:val="20"/>
          <w:szCs w:val="20"/>
        </w:rPr>
        <w:t>A</w:t>
      </w:r>
      <w:r>
        <w:rPr>
          <w:rFonts w:ascii="Arial Narrow" w:hAnsi="Arial Narrow" w:cs="Arial"/>
          <w:sz w:val="20"/>
          <w:szCs w:val="20"/>
        </w:rPr>
        <w:t>bdominal</w:t>
      </w:r>
      <w:r w:rsidRPr="00080F83">
        <w:rPr>
          <w:rFonts w:ascii="Arial Narrow" w:hAnsi="Arial Narrow" w:cs="Arial"/>
          <w:sz w:val="20"/>
          <w:szCs w:val="20"/>
        </w:rPr>
        <w:t xml:space="preserve"> pain, Diarrhoea, Nausea, Rash</w:t>
      </w:r>
      <w:r>
        <w:rPr>
          <w:rFonts w:ascii="Arial Narrow" w:hAnsi="Arial Narrow" w:cs="Arial"/>
          <w:sz w:val="20"/>
          <w:szCs w:val="20"/>
        </w:rPr>
        <w:t xml:space="preserve"> erythematous, </w:t>
      </w:r>
      <w:r w:rsidRPr="00080F83">
        <w:rPr>
          <w:rFonts w:ascii="Arial Narrow" w:hAnsi="Arial Narrow" w:cs="Arial"/>
          <w:sz w:val="20"/>
          <w:szCs w:val="20"/>
        </w:rPr>
        <w:t xml:space="preserve">Arthralgia, </w:t>
      </w:r>
      <w:r>
        <w:rPr>
          <w:rFonts w:ascii="Arial Narrow" w:hAnsi="Arial Narrow" w:cs="Arial"/>
          <w:sz w:val="20"/>
          <w:szCs w:val="20"/>
        </w:rPr>
        <w:t>Back</w:t>
      </w:r>
      <w:r w:rsidRPr="00080F83">
        <w:rPr>
          <w:rFonts w:ascii="Arial Narrow" w:hAnsi="Arial Narrow" w:cs="Arial"/>
          <w:sz w:val="20"/>
          <w:szCs w:val="20"/>
        </w:rPr>
        <w:t xml:space="preserve"> pain,</w:t>
      </w:r>
      <w:r>
        <w:rPr>
          <w:rFonts w:ascii="Arial Narrow" w:hAnsi="Arial Narrow" w:cs="Arial"/>
          <w:sz w:val="20"/>
          <w:szCs w:val="20"/>
        </w:rPr>
        <w:t xml:space="preserve"> </w:t>
      </w:r>
      <w:r w:rsidRPr="00472666">
        <w:rPr>
          <w:rFonts w:ascii="Arial Narrow" w:hAnsi="Arial Narrow" w:cs="Arial"/>
          <w:sz w:val="20"/>
          <w:szCs w:val="20"/>
        </w:rPr>
        <w:t>Breast pain, Cervical polyp, Endometrial hyperplasia, Genital discharge, Dysmenorrhoea, Menorrhagia, Menstrual disorder, Metrorrhagia</w:t>
      </w:r>
      <w:r>
        <w:rPr>
          <w:rFonts w:ascii="Arial Narrow" w:hAnsi="Arial Narrow" w:cs="Arial"/>
          <w:sz w:val="20"/>
          <w:szCs w:val="20"/>
        </w:rPr>
        <w:t xml:space="preserve">, </w:t>
      </w:r>
      <w:r w:rsidRPr="00E97C54">
        <w:rPr>
          <w:rFonts w:ascii="Arial Narrow" w:hAnsi="Arial Narrow" w:cs="Arial"/>
          <w:sz w:val="20"/>
          <w:szCs w:val="20"/>
        </w:rPr>
        <w:t>Pain, Oedema, Application site oedema</w:t>
      </w:r>
      <w:r>
        <w:rPr>
          <w:rFonts w:ascii="Arial Narrow" w:hAnsi="Arial Narrow" w:cs="Arial"/>
          <w:sz w:val="20"/>
          <w:szCs w:val="20"/>
        </w:rPr>
        <w:t>,</w:t>
      </w:r>
      <w:r w:rsidRPr="00E97C54">
        <w:rPr>
          <w:rFonts w:ascii="Arial Narrow" w:hAnsi="Arial Narrow" w:cs="Arial"/>
          <w:sz w:val="20"/>
          <w:szCs w:val="20"/>
        </w:rPr>
        <w:t xml:space="preserve"> Fatigue</w:t>
      </w:r>
      <w:r>
        <w:rPr>
          <w:rFonts w:ascii="Arial Narrow" w:hAnsi="Arial Narrow" w:cs="Arial"/>
          <w:sz w:val="20"/>
          <w:szCs w:val="20"/>
        </w:rPr>
        <w:t xml:space="preserve">, </w:t>
      </w:r>
      <w:r w:rsidRPr="003240E1">
        <w:rPr>
          <w:rFonts w:ascii="Arial Narrow" w:hAnsi="Arial Narrow" w:cs="Arial"/>
          <w:sz w:val="20"/>
          <w:szCs w:val="20"/>
        </w:rPr>
        <w:t>Weight increased</w:t>
      </w:r>
      <w:r>
        <w:rPr>
          <w:rFonts w:ascii="Arial Narrow" w:hAnsi="Arial Narrow" w:cs="Arial"/>
          <w:sz w:val="20"/>
          <w:szCs w:val="20"/>
        </w:rPr>
        <w:t xml:space="preserve">. </w:t>
      </w:r>
      <w:r w:rsidRPr="00080F83">
        <w:rPr>
          <w:rFonts w:ascii="Arial Narrow" w:hAnsi="Arial Narrow" w:cs="Arial"/>
          <w:b/>
          <w:bCs/>
          <w:sz w:val="20"/>
          <w:szCs w:val="20"/>
        </w:rPr>
        <w:t>Uncommon</w:t>
      </w:r>
      <w:r>
        <w:rPr>
          <w:rFonts w:ascii="Arial Narrow" w:hAnsi="Arial Narrow" w:cs="Arial"/>
          <w:b/>
          <w:bCs/>
          <w:sz w:val="20"/>
          <w:szCs w:val="20"/>
        </w:rPr>
        <w:t xml:space="preserve"> include</w:t>
      </w:r>
      <w:r w:rsidRPr="00080F83">
        <w:rPr>
          <w:rFonts w:ascii="Arial Narrow" w:hAnsi="Arial Narrow" w:cs="Arial"/>
          <w:b/>
          <w:sz w:val="20"/>
          <w:szCs w:val="20"/>
        </w:rPr>
        <w:t xml:space="preserve">: </w:t>
      </w:r>
      <w:r w:rsidRPr="000A1449">
        <w:rPr>
          <w:rFonts w:ascii="Arial Narrow" w:hAnsi="Arial Narrow" w:cs="Arial"/>
          <w:bCs/>
          <w:sz w:val="20"/>
          <w:szCs w:val="20"/>
        </w:rPr>
        <w:t>C</w:t>
      </w:r>
      <w:r w:rsidRPr="00080F83">
        <w:rPr>
          <w:rFonts w:ascii="Arial Narrow" w:hAnsi="Arial Narrow" w:cs="Arial"/>
          <w:bCs/>
          <w:sz w:val="20"/>
          <w:szCs w:val="20"/>
        </w:rPr>
        <w:t>andidiasis,</w:t>
      </w:r>
      <w:r w:rsidRPr="00080F83">
        <w:rPr>
          <w:rFonts w:ascii="Arial Narrow" w:hAnsi="Arial Narrow" w:cs="Arial"/>
          <w:b/>
          <w:sz w:val="20"/>
          <w:szCs w:val="20"/>
        </w:rPr>
        <w:t xml:space="preserve"> </w:t>
      </w:r>
      <w:r w:rsidRPr="00080F83">
        <w:rPr>
          <w:rFonts w:ascii="Arial Narrow" w:hAnsi="Arial Narrow" w:cs="Arial"/>
          <w:bCs/>
          <w:sz w:val="20"/>
          <w:szCs w:val="20"/>
        </w:rPr>
        <w:t xml:space="preserve">Myalgia, </w:t>
      </w:r>
      <w:r>
        <w:rPr>
          <w:rFonts w:ascii="Arial Narrow" w:hAnsi="Arial Narrow" w:cs="Arial"/>
          <w:bCs/>
          <w:sz w:val="20"/>
          <w:szCs w:val="20"/>
        </w:rPr>
        <w:t>O</w:t>
      </w:r>
      <w:r w:rsidRPr="003240E1">
        <w:rPr>
          <w:rFonts w:ascii="Arial Narrow" w:hAnsi="Arial Narrow" w:cs="Arial"/>
          <w:bCs/>
          <w:sz w:val="20"/>
          <w:szCs w:val="20"/>
        </w:rPr>
        <w:t>edema, Oedema peripheral</w:t>
      </w:r>
      <w:r>
        <w:rPr>
          <w:rFonts w:ascii="Arial Narrow" w:hAnsi="Arial Narrow" w:cs="Arial"/>
          <w:bCs/>
          <w:sz w:val="20"/>
          <w:szCs w:val="20"/>
        </w:rPr>
        <w:t xml:space="preserve">. </w:t>
      </w:r>
      <w:r w:rsidRPr="00080F83">
        <w:rPr>
          <w:rFonts w:ascii="Arial Narrow" w:hAnsi="Arial Narrow" w:cs="Arial"/>
          <w:b/>
          <w:sz w:val="20"/>
          <w:szCs w:val="20"/>
        </w:rPr>
        <w:t>Rare:</w:t>
      </w:r>
      <w:r w:rsidRPr="00080F83">
        <w:rPr>
          <w:rFonts w:ascii="Arial Narrow" w:hAnsi="Arial Narrow" w:cs="Arial"/>
          <w:bCs/>
          <w:sz w:val="20"/>
          <w:szCs w:val="20"/>
        </w:rPr>
        <w:t xml:space="preserve"> Epilepsy</w:t>
      </w:r>
      <w:r>
        <w:rPr>
          <w:rFonts w:ascii="Arial Narrow" w:hAnsi="Arial Narrow" w:cs="Arial"/>
          <w:bCs/>
          <w:sz w:val="20"/>
          <w:szCs w:val="20"/>
        </w:rPr>
        <w:t>,</w:t>
      </w:r>
      <w:r w:rsidRPr="00B75924">
        <w:rPr>
          <w:rFonts w:ascii="Arial Narrow" w:hAnsi="Arial Narrow" w:cs="Arial"/>
          <w:bCs/>
          <w:sz w:val="20"/>
          <w:szCs w:val="20"/>
        </w:rPr>
        <w:t xml:space="preserve"> </w:t>
      </w:r>
      <w:r w:rsidRPr="00080F83">
        <w:rPr>
          <w:rFonts w:ascii="Arial Narrow" w:hAnsi="Arial Narrow" w:cs="Arial"/>
          <w:bCs/>
          <w:sz w:val="20"/>
          <w:szCs w:val="20"/>
        </w:rPr>
        <w:t>Thrombosis</w:t>
      </w:r>
      <w:r>
        <w:rPr>
          <w:rFonts w:ascii="Arial Narrow" w:hAnsi="Arial Narrow" w:cs="Arial"/>
          <w:bCs/>
          <w:sz w:val="20"/>
          <w:szCs w:val="20"/>
        </w:rPr>
        <w:t xml:space="preserve">. </w:t>
      </w:r>
      <w:r w:rsidRPr="00080F83">
        <w:rPr>
          <w:rFonts w:ascii="Arial Narrow" w:hAnsi="Arial Narrow" w:cs="Arial"/>
          <w:b/>
          <w:sz w:val="20"/>
          <w:szCs w:val="20"/>
        </w:rPr>
        <w:t>Frequency not known</w:t>
      </w:r>
      <w:r>
        <w:rPr>
          <w:rFonts w:ascii="Arial Narrow" w:hAnsi="Arial Narrow" w:cs="Arial"/>
          <w:b/>
          <w:sz w:val="20"/>
          <w:szCs w:val="20"/>
        </w:rPr>
        <w:t xml:space="preserve"> include</w:t>
      </w:r>
      <w:r w:rsidRPr="00080F83">
        <w:rPr>
          <w:rFonts w:ascii="Arial Narrow" w:hAnsi="Arial Narrow" w:cs="Arial"/>
          <w:b/>
          <w:sz w:val="20"/>
          <w:szCs w:val="20"/>
        </w:rPr>
        <w:t xml:space="preserve">: </w:t>
      </w:r>
      <w:r w:rsidRPr="00FA22AC">
        <w:rPr>
          <w:rFonts w:ascii="Arial Narrow" w:hAnsi="Arial Narrow" w:cs="Arial"/>
          <w:bCs/>
          <w:sz w:val="20"/>
          <w:szCs w:val="20"/>
        </w:rPr>
        <w:t>Breast neoplasms, Endometrial cancer</w:t>
      </w:r>
      <w:r w:rsidRPr="00080F83">
        <w:rPr>
          <w:rFonts w:ascii="Arial Narrow" w:hAnsi="Arial Narrow" w:cs="Arial"/>
          <w:b/>
          <w:sz w:val="20"/>
          <w:szCs w:val="20"/>
        </w:rPr>
        <w:t xml:space="preserve">, </w:t>
      </w:r>
      <w:r w:rsidRPr="00080F83">
        <w:rPr>
          <w:rFonts w:ascii="Arial Narrow" w:hAnsi="Arial Narrow" w:cs="Arial"/>
          <w:bCs/>
          <w:sz w:val="20"/>
          <w:szCs w:val="20"/>
        </w:rPr>
        <w:t xml:space="preserve">Cerebrovascular accident, </w:t>
      </w:r>
      <w:r>
        <w:rPr>
          <w:rFonts w:ascii="Arial Narrow" w:hAnsi="Arial Narrow" w:cs="Arial"/>
          <w:bCs/>
          <w:sz w:val="20"/>
          <w:szCs w:val="20"/>
        </w:rPr>
        <w:t xml:space="preserve">Deep vein thrombosis, </w:t>
      </w:r>
      <w:r w:rsidRPr="00080F83">
        <w:rPr>
          <w:rFonts w:ascii="Arial Narrow" w:hAnsi="Arial Narrow" w:cs="Arial"/>
          <w:bCs/>
          <w:sz w:val="20"/>
          <w:szCs w:val="20"/>
        </w:rPr>
        <w:t xml:space="preserve">Pulmonary embolism, </w:t>
      </w:r>
      <w:r>
        <w:rPr>
          <w:rFonts w:ascii="Arial Narrow" w:hAnsi="Arial Narrow" w:cs="Arial"/>
          <w:bCs/>
          <w:sz w:val="20"/>
          <w:szCs w:val="20"/>
        </w:rPr>
        <w:t xml:space="preserve">Abdominal distension, </w:t>
      </w:r>
      <w:r w:rsidRPr="00080F83">
        <w:rPr>
          <w:rFonts w:ascii="Arial Narrow" w:hAnsi="Arial Narrow" w:cs="Arial"/>
          <w:bCs/>
          <w:sz w:val="20"/>
          <w:szCs w:val="20"/>
        </w:rPr>
        <w:t>Cholelithiasis,</w:t>
      </w:r>
      <w:r w:rsidRPr="000E4D82">
        <w:t xml:space="preserve"> </w:t>
      </w:r>
      <w:r w:rsidRPr="000E4D82">
        <w:rPr>
          <w:rFonts w:ascii="Arial Narrow" w:hAnsi="Arial Narrow" w:cs="Arial"/>
          <w:bCs/>
          <w:sz w:val="20"/>
          <w:szCs w:val="20"/>
        </w:rPr>
        <w:t>Stevens-Johnson syndrome</w:t>
      </w:r>
      <w:r>
        <w:rPr>
          <w:rFonts w:ascii="Arial Narrow" w:hAnsi="Arial Narrow" w:cs="Arial"/>
          <w:bCs/>
          <w:sz w:val="20"/>
          <w:szCs w:val="20"/>
        </w:rPr>
        <w:t xml:space="preserve">. </w:t>
      </w:r>
      <w:r w:rsidRPr="008A20B0">
        <w:rPr>
          <w:rFonts w:ascii="Arial Narrow" w:hAnsi="Arial Narrow" w:cs="Arial"/>
          <w:b/>
          <w:sz w:val="20"/>
          <w:szCs w:val="20"/>
        </w:rPr>
        <w:t>Package Quantities &amp; Cost</w:t>
      </w:r>
      <w:r>
        <w:rPr>
          <w:rFonts w:ascii="Arial Narrow" w:hAnsi="Arial Narrow" w:cs="Arial"/>
          <w:b/>
          <w:sz w:val="20"/>
          <w:szCs w:val="20"/>
        </w:rPr>
        <w:t>:</w:t>
      </w:r>
      <w:r w:rsidRPr="008A20B0">
        <w:t xml:space="preserve"> </w:t>
      </w:r>
      <w:r w:rsidRPr="008A20B0">
        <w:rPr>
          <w:rFonts w:ascii="Arial Narrow" w:hAnsi="Arial Narrow" w:cs="Arial"/>
          <w:bCs/>
          <w:sz w:val="20"/>
          <w:szCs w:val="20"/>
        </w:rPr>
        <w:t xml:space="preserve">Each carton box has 8 or 24 TDSs in individual foil-lined sachets. </w:t>
      </w:r>
      <w:r w:rsidRPr="008A20B0">
        <w:rPr>
          <w:rFonts w:ascii="Arial Narrow" w:hAnsi="Arial Narrow" w:cs="Arial"/>
          <w:sz w:val="20"/>
          <w:szCs w:val="20"/>
        </w:rPr>
        <w:t xml:space="preserve">Cost – 1x8 £13.00; 1x24 £37.22. </w:t>
      </w:r>
      <w:r w:rsidRPr="008A20B0">
        <w:rPr>
          <w:rFonts w:ascii="Arial Narrow" w:hAnsi="Arial Narrow" w:cs="Arial"/>
          <w:b/>
          <w:sz w:val="20"/>
          <w:szCs w:val="20"/>
        </w:rPr>
        <w:t>Mar</w:t>
      </w:r>
      <w:r w:rsidRPr="00080F83">
        <w:rPr>
          <w:rFonts w:ascii="Arial Narrow" w:hAnsi="Arial Narrow" w:cs="Arial"/>
          <w:b/>
          <w:sz w:val="20"/>
          <w:szCs w:val="20"/>
        </w:rPr>
        <w:t xml:space="preserve">keting authorisation number: </w:t>
      </w:r>
      <w:r w:rsidRPr="00194F5D">
        <w:rPr>
          <w:rFonts w:ascii="Arial Narrow" w:hAnsi="Arial Narrow" w:cs="Arial"/>
          <w:sz w:val="20"/>
          <w:szCs w:val="20"/>
          <w:lang w:eastAsia="en-GB"/>
        </w:rPr>
        <w:t>PL 49105/0009</w:t>
      </w:r>
      <w:r>
        <w:rPr>
          <w:rFonts w:ascii="Arial Narrow" w:hAnsi="Arial Narrow" w:cs="Arial"/>
          <w:sz w:val="20"/>
          <w:szCs w:val="20"/>
          <w:lang w:eastAsia="en-GB"/>
        </w:rPr>
        <w:t xml:space="preserve"> </w:t>
      </w:r>
      <w:r w:rsidRPr="00194F5D">
        <w:rPr>
          <w:rFonts w:ascii="Arial Narrow" w:hAnsi="Arial Narrow" w:cs="Arial"/>
          <w:b/>
          <w:bCs/>
          <w:sz w:val="20"/>
          <w:szCs w:val="20"/>
        </w:rPr>
        <w:t xml:space="preserve">Marketing authorisation holder: </w:t>
      </w:r>
      <w:r w:rsidRPr="00080F83">
        <w:rPr>
          <w:rFonts w:ascii="Arial Narrow" w:hAnsi="Arial Narrow" w:cs="Arial"/>
          <w:sz w:val="20"/>
          <w:szCs w:val="20"/>
        </w:rPr>
        <w:t>Theramex HQ UK LTD, Sloane Square House, 1 Holbein Place, London SW1W 8NS, UK</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sz w:val="20"/>
          <w:szCs w:val="20"/>
        </w:rPr>
        <w:t>Legal classification:</w:t>
      </w:r>
      <w:r w:rsidRPr="00080F83">
        <w:rPr>
          <w:rFonts w:ascii="Arial Narrow" w:hAnsi="Arial Narrow" w:cs="Arial"/>
          <w:sz w:val="20"/>
          <w:szCs w:val="20"/>
        </w:rPr>
        <w:t xml:space="preserve"> POM</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sz w:val="20"/>
          <w:szCs w:val="20"/>
        </w:rPr>
        <w:t>Date of Preparation:</w:t>
      </w:r>
      <w:r w:rsidRPr="00080F83">
        <w:rPr>
          <w:rFonts w:ascii="Arial Narrow" w:hAnsi="Arial Narrow" w:cs="Arial"/>
          <w:sz w:val="20"/>
          <w:szCs w:val="20"/>
        </w:rPr>
        <w:t xml:space="preserve"> January 2020</w:t>
      </w:r>
      <w:r>
        <w:rPr>
          <w:rFonts w:ascii="Arial Narrow" w:hAnsi="Arial Narrow" w:cs="Arial"/>
          <w:sz w:val="20"/>
          <w:szCs w:val="20"/>
        </w:rPr>
        <w:t>:</w:t>
      </w:r>
      <w:r w:rsidRPr="00080F83">
        <w:rPr>
          <w:rFonts w:ascii="Arial Narrow" w:hAnsi="Arial Narrow" w:cs="Arial"/>
          <w:sz w:val="20"/>
          <w:szCs w:val="20"/>
        </w:rPr>
        <w:t xml:space="preserve"> </w:t>
      </w:r>
      <w:r w:rsidRPr="00C513CC">
        <w:rPr>
          <w:rFonts w:ascii="Arial Narrow" w:hAnsi="Arial Narrow" w:cstheme="minorHAnsi"/>
          <w:sz w:val="20"/>
          <w:szCs w:val="20"/>
        </w:rPr>
        <w:t>THX_GB_PI_001473</w:t>
      </w:r>
      <w:r>
        <w:rPr>
          <w:rFonts w:ascii="Arial Narrow" w:hAnsi="Arial Narrow" w:cstheme="minorHAnsi"/>
          <w:sz w:val="20"/>
          <w:szCs w:val="20"/>
        </w:rPr>
        <w:t>.</w:t>
      </w:r>
    </w:p>
    <w:p w14:paraId="6D2D568A" w14:textId="3CAEFC8F" w:rsidR="0088676C" w:rsidRDefault="0088676C">
      <w:pPr>
        <w:spacing w:after="160" w:line="259" w:lineRule="auto"/>
        <w:rPr>
          <w:rFonts w:ascii="Times New Roman" w:hAnsi="Times New Roman"/>
          <w:sz w:val="20"/>
          <w:szCs w:val="22"/>
        </w:rPr>
      </w:pPr>
      <w:r>
        <w:rPr>
          <w:sz w:val="20"/>
          <w:szCs w:val="22"/>
        </w:rPr>
        <w:br w:type="page"/>
      </w:r>
    </w:p>
    <w:p w14:paraId="107492D6" w14:textId="77777777" w:rsidR="0088676C" w:rsidRPr="00B75924" w:rsidRDefault="0088676C" w:rsidP="0088676C">
      <w:pPr>
        <w:jc w:val="both"/>
        <w:rPr>
          <w:rFonts w:ascii="Arial Narrow" w:hAnsi="Arial Narrow" w:cs="Arial"/>
          <w:bCs/>
          <w:sz w:val="20"/>
          <w:szCs w:val="20"/>
        </w:rPr>
      </w:pPr>
      <w:r w:rsidRPr="0085685E">
        <w:rPr>
          <w:rFonts w:cstheme="minorHAnsi"/>
          <w:b/>
          <w:noProof/>
          <w:sz w:val="20"/>
          <w:szCs w:val="20"/>
        </w:rPr>
        <mc:AlternateContent>
          <mc:Choice Requires="wps">
            <w:drawing>
              <wp:anchor distT="91440" distB="91440" distL="365760" distR="365760" simplePos="0" relativeHeight="251676672" behindDoc="0" locked="0" layoutInCell="1" allowOverlap="1" wp14:anchorId="6331DEBA" wp14:editId="0B3A6E40">
                <wp:simplePos x="0" y="0"/>
                <wp:positionH relativeFrom="margin">
                  <wp:posOffset>174625</wp:posOffset>
                </wp:positionH>
                <wp:positionV relativeFrom="margin">
                  <wp:posOffset>9490710</wp:posOffset>
                </wp:positionV>
                <wp:extent cx="6451600" cy="2066290"/>
                <wp:effectExtent l="0" t="0" r="25400" b="19050"/>
                <wp:wrapTopAndBottom/>
                <wp:docPr id="10" name="Rectangle 10"/>
                <wp:cNvGraphicFramePr/>
                <a:graphic xmlns:a="http://schemas.openxmlformats.org/drawingml/2006/main">
                  <a:graphicData uri="http://schemas.microsoft.com/office/word/2010/wordprocessingShape">
                    <wps:wsp>
                      <wps:cNvSpPr/>
                      <wps:spPr>
                        <a:xfrm>
                          <a:off x="0" y="0"/>
                          <a:ext cx="6451600" cy="2066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4EE06"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430C14E7" w14:textId="77777777" w:rsidR="0088676C" w:rsidRPr="00507155" w:rsidRDefault="005D4BC9" w:rsidP="0088676C">
                            <w:pPr>
                              <w:jc w:val="center"/>
                              <w:rPr>
                                <w:rFonts w:ascii="Arial Narrow" w:hAnsi="Arial Narrow" w:cstheme="minorHAnsi"/>
                                <w:b/>
                                <w:color w:val="000000" w:themeColor="text1"/>
                                <w:sz w:val="20"/>
                                <w:szCs w:val="20"/>
                                <w:u w:val="single"/>
                                <w:lang w:val="en-US"/>
                              </w:rPr>
                            </w:pPr>
                            <w:hyperlink r:id="rId19" w:history="1">
                              <w:r w:rsidR="0088676C" w:rsidRPr="00507155">
                                <w:rPr>
                                  <w:rStyle w:val="Hyperlink"/>
                                  <w:rFonts w:ascii="Arial Narrow" w:hAnsi="Arial Narrow" w:cstheme="minorHAnsi"/>
                                  <w:b/>
                                  <w:sz w:val="20"/>
                                  <w:szCs w:val="20"/>
                                  <w:lang w:val="en-US"/>
                                </w:rPr>
                                <w:t>www.mhra.gov.uk/yellowcard</w:t>
                              </w:r>
                            </w:hyperlink>
                            <w:r w:rsidR="0088676C" w:rsidRPr="00507155">
                              <w:rPr>
                                <w:rFonts w:ascii="Arial Narrow" w:hAnsi="Arial Narrow" w:cstheme="minorHAnsi"/>
                                <w:b/>
                                <w:color w:val="000000" w:themeColor="text1"/>
                                <w:sz w:val="20"/>
                                <w:szCs w:val="20"/>
                                <w:u w:val="single"/>
                                <w:lang w:val="en-US"/>
                              </w:rPr>
                              <w:t xml:space="preserve"> or search for MHRA Yellowcard in the Google Play or Apple App store.</w:t>
                            </w:r>
                          </w:p>
                          <w:p w14:paraId="418AA8A7" w14:textId="77777777" w:rsidR="0088676C" w:rsidRPr="00507155" w:rsidRDefault="0088676C" w:rsidP="0088676C">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Adverse events should also be reported to Theramex on medinfo.uk@theramex.com or Tel: 0333 0096795</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331DEBA" id="Rectangle 10" o:spid="_x0000_s1030" style="position:absolute;left:0;text-align:left;margin-left:13.75pt;margin-top:747.3pt;width:508pt;height:162.7pt;z-index:25167667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" filled="f" strokecolor="black [3213]" strokeweight="1pt">
                <v:textbox style="mso-fit-shape-to-text:t" inset="10.8pt,0,10.8pt,0">
                  <w:txbxContent>
                    <w:p w14:paraId="2864EE06"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r w:rsidRPr="00507155">
                        <w:rPr>
                          <w:rFonts w:ascii="Arial Narrow" w:hAnsi="Arial Narrow" w:cstheme="minorHAnsi"/>
                          <w:b/>
                          <w:color w:val="000000" w:themeColor="text1"/>
                          <w:sz w:val="20"/>
                          <w:szCs w:val="20"/>
                          <w:u w:val="single"/>
                          <w:lang w:val="en-US"/>
                        </w:rPr>
                        <w:t>Adverse events should be reported. Reporting forms and information can be found at</w:t>
                      </w:r>
                    </w:p>
                    <w:p w14:paraId="430C14E7" w14:textId="77777777" w:rsidR="0088676C" w:rsidRPr="00507155" w:rsidRDefault="0088676C" w:rsidP="0088676C">
                      <w:pPr>
                        <w:jc w:val="center"/>
                        <w:rPr>
                          <w:rFonts w:ascii="Arial Narrow" w:hAnsi="Arial Narrow" w:cstheme="minorHAnsi"/>
                          <w:b/>
                          <w:color w:val="000000" w:themeColor="text1"/>
                          <w:sz w:val="20"/>
                          <w:szCs w:val="20"/>
                          <w:u w:val="single"/>
                          <w:lang w:val="en-US"/>
                        </w:rPr>
                      </w:pPr>
                      <w:hyperlink r:id="rId20" w:history="1">
                        <w:r w:rsidRPr="00507155">
                          <w:rPr>
                            <w:rStyle w:val="Hyperlink"/>
                            <w:rFonts w:ascii="Arial Narrow" w:hAnsi="Arial Narrow" w:cstheme="minorHAnsi"/>
                            <w:b/>
                            <w:sz w:val="20"/>
                            <w:szCs w:val="20"/>
                            <w:lang w:val="en-US"/>
                          </w:rPr>
                          <w:t>www.mhra.gov.uk/yellowcard</w:t>
                        </w:r>
                      </w:hyperlink>
                      <w:r w:rsidRPr="00507155">
                        <w:rPr>
                          <w:rFonts w:ascii="Arial Narrow" w:hAnsi="Arial Narrow" w:cstheme="minorHAnsi"/>
                          <w:b/>
                          <w:color w:val="000000" w:themeColor="text1"/>
                          <w:sz w:val="20"/>
                          <w:szCs w:val="20"/>
                          <w:u w:val="single"/>
                          <w:lang w:val="en-US"/>
                        </w:rPr>
                        <w:t xml:space="preserve"> or search for MHRA </w:t>
                      </w:r>
                      <w:proofErr w:type="spellStart"/>
                      <w:r w:rsidRPr="00507155">
                        <w:rPr>
                          <w:rFonts w:ascii="Arial Narrow" w:hAnsi="Arial Narrow" w:cstheme="minorHAnsi"/>
                          <w:b/>
                          <w:color w:val="000000" w:themeColor="text1"/>
                          <w:sz w:val="20"/>
                          <w:szCs w:val="20"/>
                          <w:u w:val="single"/>
                          <w:lang w:val="en-US"/>
                        </w:rPr>
                        <w:t>Yellowcard</w:t>
                      </w:r>
                      <w:proofErr w:type="spellEnd"/>
                      <w:r w:rsidRPr="00507155">
                        <w:rPr>
                          <w:rFonts w:ascii="Arial Narrow" w:hAnsi="Arial Narrow" w:cstheme="minorHAnsi"/>
                          <w:b/>
                          <w:color w:val="000000" w:themeColor="text1"/>
                          <w:sz w:val="20"/>
                          <w:szCs w:val="20"/>
                          <w:u w:val="single"/>
                          <w:lang w:val="en-US"/>
                        </w:rPr>
                        <w:t xml:space="preserve"> in the Google Play or Apple App store.</w:t>
                      </w:r>
                    </w:p>
                    <w:p w14:paraId="418AA8A7" w14:textId="77777777" w:rsidR="0088676C" w:rsidRPr="00507155" w:rsidRDefault="0088676C" w:rsidP="0088676C">
                      <w:pPr>
                        <w:jc w:val="center"/>
                        <w:rPr>
                          <w:rFonts w:ascii="Arial Narrow" w:hAnsi="Arial Narrow"/>
                          <w:color w:val="5B9BD5" w:themeColor="accent1"/>
                          <w:sz w:val="20"/>
                          <w:szCs w:val="20"/>
                        </w:rPr>
                      </w:pPr>
                      <w:r w:rsidRPr="00507155">
                        <w:rPr>
                          <w:rFonts w:ascii="Arial Narrow" w:hAnsi="Arial Narrow" w:cstheme="minorHAnsi"/>
                          <w:b/>
                          <w:color w:val="000000" w:themeColor="text1"/>
                          <w:sz w:val="20"/>
                          <w:szCs w:val="20"/>
                          <w:u w:val="single"/>
                          <w:lang w:val="en-US"/>
                        </w:rPr>
                        <w:t xml:space="preserve">Adverse events should also be reported to </w:t>
                      </w:r>
                      <w:proofErr w:type="spellStart"/>
                      <w:r w:rsidRPr="00507155">
                        <w:rPr>
                          <w:rFonts w:ascii="Arial Narrow" w:hAnsi="Arial Narrow" w:cstheme="minorHAnsi"/>
                          <w:b/>
                          <w:color w:val="000000" w:themeColor="text1"/>
                          <w:sz w:val="20"/>
                          <w:szCs w:val="20"/>
                          <w:u w:val="single"/>
                          <w:lang w:val="en-US"/>
                        </w:rPr>
                        <w:t>Theramex</w:t>
                      </w:r>
                      <w:proofErr w:type="spellEnd"/>
                      <w:r w:rsidRPr="00507155">
                        <w:rPr>
                          <w:rFonts w:ascii="Arial Narrow" w:hAnsi="Arial Narrow" w:cstheme="minorHAnsi"/>
                          <w:b/>
                          <w:color w:val="000000" w:themeColor="text1"/>
                          <w:sz w:val="20"/>
                          <w:szCs w:val="20"/>
                          <w:u w:val="single"/>
                          <w:lang w:val="en-US"/>
                        </w:rPr>
                        <w:t xml:space="preserve"> on medinfo.uk@theramex.com or Tel: 0333 0096795</w:t>
                      </w:r>
                    </w:p>
                  </w:txbxContent>
                </v:textbox>
                <w10:wrap type="topAndBottom" anchorx="margin" anchory="margin"/>
              </v:rect>
            </w:pict>
          </mc:Fallback>
        </mc:AlternateContent>
      </w:r>
      <w:r w:rsidRPr="00166C0D">
        <w:rPr>
          <w:rFonts w:ascii="Arial Narrow" w:hAnsi="Arial Narrow" w:cs="Arial"/>
          <w:b/>
          <w:noProof/>
          <w:sz w:val="20"/>
          <w:szCs w:val="20"/>
        </w:rPr>
        <mc:AlternateContent>
          <mc:Choice Requires="wps">
            <w:drawing>
              <wp:anchor distT="91440" distB="91440" distL="365760" distR="365760" simplePos="0" relativeHeight="251675648" behindDoc="0" locked="0" layoutInCell="1" allowOverlap="1" wp14:anchorId="5BA43735" wp14:editId="45E6E1AB">
                <wp:simplePos x="0" y="0"/>
                <wp:positionH relativeFrom="margin">
                  <wp:posOffset>-114300</wp:posOffset>
                </wp:positionH>
                <wp:positionV relativeFrom="margin">
                  <wp:posOffset>-114628</wp:posOffset>
                </wp:positionV>
                <wp:extent cx="6513830" cy="2066290"/>
                <wp:effectExtent l="0" t="0" r="0" b="0"/>
                <wp:wrapTopAndBottom/>
                <wp:docPr id="12" name="Rectangle 12"/>
                <wp:cNvGraphicFramePr/>
                <a:graphic xmlns:a="http://schemas.openxmlformats.org/drawingml/2006/main">
                  <a:graphicData uri="http://schemas.microsoft.com/office/word/2010/wordprocessingShape">
                    <wps:wsp>
                      <wps:cNvSpPr/>
                      <wps:spPr>
                        <a:xfrm>
                          <a:off x="0" y="0"/>
                          <a:ext cx="651383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4D41F"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w:t>
                            </w:r>
                            <w:r>
                              <w:rPr>
                                <w:rFonts w:ascii="Arial Narrow" w:hAnsi="Arial Narrow"/>
                                <w:bCs/>
                                <w:color w:val="000000" w:themeColor="text1"/>
                                <w:sz w:val="20"/>
                                <w:szCs w:val="20"/>
                              </w:rPr>
                              <w:t>Sequi</w:t>
                            </w:r>
                            <w:r w:rsidRPr="00EB5EC0">
                              <w:rPr>
                                <w:rFonts w:ascii="Arial Narrow" w:hAnsi="Arial Narrow"/>
                                <w:bCs/>
                                <w:color w:val="000000" w:themeColor="text1"/>
                                <w:sz w:val="20"/>
                                <w:szCs w:val="20"/>
                              </w:rPr>
                              <w:t xml:space="preserve"> (estradiol hemihydrate norethisterone acetate) Abbreviated Prescribing Information</w:t>
                            </w:r>
                          </w:p>
                          <w:p w14:paraId="3FFAB813"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BA43735" id="Rectangle 12" o:spid="_x0000_s1031" style="position:absolute;left:0;text-align:left;margin-left:-9pt;margin-top:-9.05pt;width:512.9pt;height:162.7pt;z-index:25167564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" filled="f" stroked="f" strokeweight="1pt">
                <v:textbox style="mso-fit-shape-to-text:t" inset="10.8pt,0,10.8pt,0">
                  <w:txbxContent>
                    <w:p w14:paraId="7F74D41F"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bCs/>
                          <w:color w:val="000000" w:themeColor="text1"/>
                          <w:sz w:val="20"/>
                          <w:szCs w:val="20"/>
                        </w:rPr>
                      </w:pPr>
                      <w:r w:rsidRPr="00EB5EC0">
                        <w:rPr>
                          <w:rFonts w:ascii="Arial Narrow" w:hAnsi="Arial Narrow"/>
                          <w:bCs/>
                          <w:color w:val="000000" w:themeColor="text1"/>
                          <w:sz w:val="20"/>
                          <w:szCs w:val="20"/>
                        </w:rPr>
                        <w:t>EVOREL</w:t>
                      </w:r>
                      <w:r w:rsidRPr="00621614">
                        <w:rPr>
                          <w:rFonts w:ascii="Arial Narrow" w:hAnsi="Arial Narrow"/>
                          <w:bCs/>
                          <w:color w:val="000000" w:themeColor="text1"/>
                          <w:sz w:val="20"/>
                          <w:szCs w:val="20"/>
                          <w:vertAlign w:val="superscript"/>
                        </w:rPr>
                        <w:t>®</w:t>
                      </w:r>
                      <w:r w:rsidRPr="00EB5EC0">
                        <w:rPr>
                          <w:rFonts w:ascii="Arial Narrow" w:hAnsi="Arial Narrow"/>
                          <w:bCs/>
                          <w:color w:val="000000" w:themeColor="text1"/>
                          <w:sz w:val="20"/>
                          <w:szCs w:val="20"/>
                        </w:rPr>
                        <w:t xml:space="preserve"> </w:t>
                      </w:r>
                      <w:r>
                        <w:rPr>
                          <w:rFonts w:ascii="Arial Narrow" w:hAnsi="Arial Narrow"/>
                          <w:bCs/>
                          <w:color w:val="000000" w:themeColor="text1"/>
                          <w:sz w:val="20"/>
                          <w:szCs w:val="20"/>
                        </w:rPr>
                        <w:t>Sequi</w:t>
                      </w:r>
                      <w:r w:rsidRPr="00EB5EC0">
                        <w:rPr>
                          <w:rFonts w:ascii="Arial Narrow" w:hAnsi="Arial Narrow"/>
                          <w:bCs/>
                          <w:color w:val="000000" w:themeColor="text1"/>
                          <w:sz w:val="20"/>
                          <w:szCs w:val="20"/>
                        </w:rPr>
                        <w:t xml:space="preserve"> (estradiol hemihydrate norethisterone acetate) Abbreviated Prescribing Information</w:t>
                      </w:r>
                    </w:p>
                    <w:p w14:paraId="3FFAB813" w14:textId="77777777" w:rsidR="0088676C" w:rsidRPr="00EB5EC0" w:rsidRDefault="0088676C" w:rsidP="0088676C">
                      <w:pPr>
                        <w:numPr>
                          <w:ilvl w:val="0"/>
                          <w:numId w:val="32"/>
                        </w:numPr>
                        <w:shd w:val="clear" w:color="auto" w:fill="FFFFFF"/>
                        <w:spacing w:before="100" w:beforeAutospacing="1" w:afterAutospacing="1"/>
                        <w:ind w:left="0"/>
                        <w:jc w:val="both"/>
                        <w:rPr>
                          <w:rFonts w:ascii="Arial Narrow" w:hAnsi="Arial Narrow"/>
                          <w:color w:val="5B9BD5" w:themeColor="accent1"/>
                          <w:sz w:val="20"/>
                          <w:szCs w:val="20"/>
                        </w:rPr>
                      </w:pPr>
                      <w:r w:rsidRPr="00EB5EC0">
                        <w:rPr>
                          <w:rFonts w:ascii="Arial Narrow" w:hAnsi="Arial Narrow"/>
                          <w:b/>
                          <w:color w:val="000000" w:themeColor="text1"/>
                          <w:sz w:val="20"/>
                          <w:szCs w:val="20"/>
                        </w:rPr>
                        <w:t>Please consult the Summary of Product Characteristics for other adverse reactions and full prescribing information</w:t>
                      </w:r>
                    </w:p>
                  </w:txbxContent>
                </v:textbox>
                <w10:wrap type="topAndBottom" anchorx="margin" anchory="margin"/>
              </v:rect>
            </w:pict>
          </mc:Fallback>
        </mc:AlternateContent>
      </w:r>
      <w:r w:rsidRPr="00166C0D">
        <w:rPr>
          <w:rFonts w:ascii="Arial Narrow" w:hAnsi="Arial Narrow" w:cs="Arial"/>
          <w:b/>
          <w:sz w:val="20"/>
          <w:szCs w:val="20"/>
        </w:rPr>
        <w:t>Presentation:</w:t>
      </w:r>
      <w:r w:rsidRPr="00166C0D">
        <w:rPr>
          <w:rFonts w:ascii="Arial Narrow" w:hAnsi="Arial Narrow" w:cs="Arial"/>
          <w:sz w:val="20"/>
          <w:szCs w:val="20"/>
        </w:rPr>
        <w:t xml:space="preserve"> </w:t>
      </w:r>
      <w:r>
        <w:rPr>
          <w:rFonts w:ascii="Arial Narrow" w:hAnsi="Arial Narrow" w:cs="Arial"/>
          <w:sz w:val="20"/>
          <w:szCs w:val="20"/>
        </w:rPr>
        <w:t xml:space="preserve">Evorel Sequi </w:t>
      </w:r>
      <w:r w:rsidRPr="00E25395">
        <w:rPr>
          <w:rFonts w:ascii="Arial Narrow" w:hAnsi="Arial Narrow" w:cs="Arial"/>
          <w:sz w:val="20"/>
          <w:szCs w:val="20"/>
        </w:rPr>
        <w:t>is a transdermal therapy comprising</w:t>
      </w:r>
      <w:r>
        <w:rPr>
          <w:rFonts w:ascii="Arial Narrow" w:hAnsi="Arial Narrow" w:cs="Arial"/>
          <w:sz w:val="20"/>
          <w:szCs w:val="20"/>
        </w:rPr>
        <w:t xml:space="preserve"> </w:t>
      </w:r>
      <w:r w:rsidRPr="00E25395">
        <w:rPr>
          <w:rFonts w:ascii="Arial Narrow" w:hAnsi="Arial Narrow" w:cs="Arial"/>
          <w:sz w:val="20"/>
          <w:szCs w:val="20"/>
        </w:rPr>
        <w:t>a) 4 E</w:t>
      </w:r>
      <w:r>
        <w:rPr>
          <w:rFonts w:ascii="Arial Narrow" w:hAnsi="Arial Narrow" w:cs="Arial"/>
          <w:sz w:val="20"/>
          <w:szCs w:val="20"/>
        </w:rPr>
        <w:t>vorel</w:t>
      </w:r>
      <w:r w:rsidRPr="00E25395">
        <w:rPr>
          <w:rFonts w:ascii="Arial Narrow" w:hAnsi="Arial Narrow" w:cs="Arial"/>
          <w:sz w:val="20"/>
          <w:szCs w:val="20"/>
        </w:rPr>
        <w:t xml:space="preserve"> 50 </w:t>
      </w:r>
      <w:r>
        <w:rPr>
          <w:rFonts w:ascii="Arial" w:hAnsi="Arial" w:cs="Arial"/>
          <w:color w:val="000000"/>
          <w:sz w:val="19"/>
          <w:szCs w:val="19"/>
          <w:shd w:val="clear" w:color="auto" w:fill="FFFFFF"/>
        </w:rPr>
        <w:t>Transdermal Delivery Systems (</w:t>
      </w:r>
      <w:r w:rsidRPr="00E25395">
        <w:rPr>
          <w:rFonts w:ascii="Arial Narrow" w:hAnsi="Arial Narrow" w:cs="Arial"/>
          <w:sz w:val="20"/>
          <w:szCs w:val="20"/>
        </w:rPr>
        <w:t>TDSs</w:t>
      </w:r>
      <w:r>
        <w:rPr>
          <w:rFonts w:ascii="Arial Narrow" w:hAnsi="Arial Narrow" w:cs="Arial"/>
          <w:sz w:val="20"/>
          <w:szCs w:val="20"/>
        </w:rPr>
        <w:t>)</w:t>
      </w:r>
      <w:r w:rsidRPr="00E25395">
        <w:rPr>
          <w:rFonts w:ascii="Arial Narrow" w:hAnsi="Arial Narrow" w:cs="Arial"/>
          <w:sz w:val="20"/>
          <w:szCs w:val="20"/>
        </w:rPr>
        <w:t>, each containing:</w:t>
      </w:r>
      <w:r>
        <w:rPr>
          <w:rFonts w:ascii="Arial Narrow" w:hAnsi="Arial Narrow" w:cs="Arial"/>
          <w:sz w:val="20"/>
          <w:szCs w:val="20"/>
        </w:rPr>
        <w:t xml:space="preserve"> </w:t>
      </w:r>
      <w:r w:rsidRPr="00E25395">
        <w:rPr>
          <w:rFonts w:ascii="Arial Narrow" w:hAnsi="Arial Narrow" w:cs="Arial"/>
          <w:sz w:val="20"/>
          <w:szCs w:val="20"/>
        </w:rPr>
        <w:t>3.2 mg of estradiol hemihydrate</w:t>
      </w:r>
      <w:r>
        <w:rPr>
          <w:rFonts w:ascii="Arial Narrow" w:hAnsi="Arial Narrow" w:cs="Arial"/>
          <w:sz w:val="20"/>
          <w:szCs w:val="20"/>
        </w:rPr>
        <w:t xml:space="preserve">. </w:t>
      </w:r>
      <w:r w:rsidRPr="00E25395">
        <w:rPr>
          <w:rFonts w:ascii="Arial Narrow" w:hAnsi="Arial Narrow" w:cs="Arial"/>
          <w:sz w:val="20"/>
          <w:szCs w:val="20"/>
        </w:rPr>
        <w:t>b) 4 E</w:t>
      </w:r>
      <w:r>
        <w:rPr>
          <w:rFonts w:ascii="Arial Narrow" w:hAnsi="Arial Narrow" w:cs="Arial"/>
          <w:sz w:val="20"/>
          <w:szCs w:val="20"/>
        </w:rPr>
        <w:t xml:space="preserve">vorel Conti </w:t>
      </w:r>
      <w:r>
        <w:rPr>
          <w:rFonts w:ascii="Arial" w:hAnsi="Arial" w:cs="Arial"/>
          <w:color w:val="000000"/>
          <w:sz w:val="19"/>
          <w:szCs w:val="19"/>
          <w:shd w:val="clear" w:color="auto" w:fill="FFFFFF"/>
        </w:rPr>
        <w:t>TDSs</w:t>
      </w:r>
      <w:r w:rsidRPr="00E25395">
        <w:rPr>
          <w:rFonts w:ascii="Arial Narrow" w:hAnsi="Arial Narrow" w:cs="Arial"/>
          <w:sz w:val="20"/>
          <w:szCs w:val="20"/>
        </w:rPr>
        <w:t>, each containing:</w:t>
      </w:r>
      <w:r>
        <w:rPr>
          <w:rFonts w:ascii="Arial Narrow" w:hAnsi="Arial Narrow" w:cs="Arial"/>
          <w:sz w:val="20"/>
          <w:szCs w:val="20"/>
        </w:rPr>
        <w:t xml:space="preserve"> </w:t>
      </w:r>
      <w:r w:rsidRPr="00E25395">
        <w:rPr>
          <w:rFonts w:ascii="Arial Narrow" w:hAnsi="Arial Narrow" w:cs="Arial"/>
          <w:sz w:val="20"/>
          <w:szCs w:val="20"/>
        </w:rPr>
        <w:t>3.2 mg of estradiol hemihydrate</w:t>
      </w:r>
      <w:r>
        <w:rPr>
          <w:rFonts w:ascii="Arial Narrow" w:hAnsi="Arial Narrow" w:cs="Arial"/>
          <w:sz w:val="20"/>
          <w:szCs w:val="20"/>
        </w:rPr>
        <w:t xml:space="preserve">, </w:t>
      </w:r>
      <w:r w:rsidRPr="00C07560">
        <w:rPr>
          <w:rFonts w:ascii="Arial Narrow" w:hAnsi="Arial Narrow" w:cs="Arial"/>
          <w:sz w:val="20"/>
          <w:szCs w:val="20"/>
        </w:rPr>
        <w:t>11.2 mg of norethisterone acetate</w:t>
      </w:r>
      <w:r>
        <w:rPr>
          <w:rFonts w:ascii="Arial Narrow" w:hAnsi="Arial Narrow" w:cs="Arial"/>
          <w:sz w:val="20"/>
          <w:szCs w:val="20"/>
        </w:rPr>
        <w:t xml:space="preserve">. </w:t>
      </w:r>
      <w:r w:rsidRPr="00166C0D">
        <w:rPr>
          <w:rFonts w:ascii="Arial Narrow" w:hAnsi="Arial Narrow" w:cs="Arial"/>
          <w:b/>
          <w:sz w:val="20"/>
          <w:szCs w:val="20"/>
        </w:rPr>
        <w:t>Indication:</w:t>
      </w:r>
      <w:r w:rsidRPr="00166C0D">
        <w:rPr>
          <w:rFonts w:ascii="Arial Narrow" w:hAnsi="Arial Narrow" w:cs="Arial"/>
          <w:sz w:val="20"/>
          <w:szCs w:val="20"/>
        </w:rPr>
        <w:t xml:space="preserve"> </w:t>
      </w:r>
      <w:r>
        <w:rPr>
          <w:rFonts w:ascii="Arial Narrow" w:hAnsi="Arial Narrow" w:cs="Arial"/>
          <w:sz w:val="20"/>
          <w:szCs w:val="20"/>
        </w:rPr>
        <w:t>HRT</w:t>
      </w:r>
      <w:r w:rsidRPr="0090671C">
        <w:rPr>
          <w:rFonts w:ascii="Arial Narrow" w:hAnsi="Arial Narrow" w:cs="Arial"/>
          <w:sz w:val="20"/>
          <w:szCs w:val="20"/>
        </w:rPr>
        <w:t xml:space="preserve"> for oestrogen deficiency symptoms in peri- and post-menopausal women.</w:t>
      </w:r>
      <w:r>
        <w:rPr>
          <w:rFonts w:ascii="Arial Narrow" w:hAnsi="Arial Narrow" w:cs="Arial"/>
          <w:sz w:val="20"/>
          <w:szCs w:val="20"/>
        </w:rPr>
        <w:t xml:space="preserve"> </w:t>
      </w:r>
      <w:r w:rsidRPr="0090671C">
        <w:rPr>
          <w:rFonts w:ascii="Arial Narrow" w:hAnsi="Arial Narrow" w:cs="Arial"/>
          <w:sz w:val="20"/>
          <w:szCs w:val="20"/>
        </w:rPr>
        <w:t>Prevention of osteoporosis in postmenopausal women at high risk of future fractures who are intolerant of, or contraindicated for, other medicinal products approved for the prevention of osteoporosis.</w:t>
      </w:r>
      <w:r>
        <w:rPr>
          <w:rFonts w:ascii="Arial Narrow" w:hAnsi="Arial Narrow" w:cs="Arial"/>
          <w:sz w:val="20"/>
          <w:szCs w:val="20"/>
        </w:rPr>
        <w:t xml:space="preserve"> </w:t>
      </w:r>
      <w:r w:rsidRPr="00166C0D">
        <w:rPr>
          <w:rFonts w:ascii="Arial Narrow" w:hAnsi="Arial Narrow" w:cs="Arial"/>
          <w:b/>
          <w:sz w:val="20"/>
          <w:szCs w:val="20"/>
        </w:rPr>
        <w:t xml:space="preserve">Dosage &amp; administration: </w:t>
      </w:r>
      <w:r w:rsidRPr="008B12DD">
        <w:rPr>
          <w:rFonts w:ascii="Arial Narrow" w:hAnsi="Arial Narrow" w:cs="Arial"/>
          <w:b/>
          <w:i/>
          <w:iCs/>
          <w:sz w:val="20"/>
          <w:szCs w:val="20"/>
        </w:rPr>
        <w:t>Adults:</w:t>
      </w:r>
      <w:r>
        <w:rPr>
          <w:rFonts w:ascii="Arial Narrow" w:hAnsi="Arial Narrow" w:cs="Arial"/>
          <w:bCs/>
          <w:sz w:val="20"/>
          <w:szCs w:val="20"/>
        </w:rPr>
        <w:t xml:space="preserve"> </w:t>
      </w:r>
      <w:r w:rsidRPr="00953683">
        <w:rPr>
          <w:rFonts w:ascii="Arial Narrow" w:hAnsi="Arial Narrow" w:cs="Arial"/>
          <w:bCs/>
          <w:sz w:val="20"/>
          <w:szCs w:val="20"/>
        </w:rPr>
        <w:t>Evorel Sequi is a continuous sequential HRT preparation. Patches are applied to the skin twice weekly.</w:t>
      </w:r>
      <w:r>
        <w:rPr>
          <w:rFonts w:ascii="Arial Narrow" w:hAnsi="Arial Narrow" w:cs="Arial"/>
          <w:bCs/>
          <w:sz w:val="20"/>
          <w:szCs w:val="20"/>
        </w:rPr>
        <w:t xml:space="preserve"> </w:t>
      </w:r>
      <w:r w:rsidRPr="00953683">
        <w:rPr>
          <w:rFonts w:ascii="Arial Narrow" w:hAnsi="Arial Narrow" w:cs="Arial"/>
          <w:bCs/>
          <w:sz w:val="20"/>
          <w:szCs w:val="20"/>
        </w:rPr>
        <w:t>One Evorel Sequi patch should be worn at all times, without interruptions. For initiation and continuation of treatment of menopausal symptoms, the lowest effective dose for the shortest duration should be used.</w:t>
      </w:r>
      <w:r>
        <w:rPr>
          <w:rFonts w:ascii="Arial Narrow" w:hAnsi="Arial Narrow" w:cs="Arial"/>
          <w:bCs/>
          <w:sz w:val="20"/>
          <w:szCs w:val="20"/>
        </w:rPr>
        <w:t xml:space="preserve"> </w:t>
      </w:r>
      <w:r w:rsidRPr="00FA47A8">
        <w:rPr>
          <w:rFonts w:ascii="Arial Narrow" w:hAnsi="Arial Narrow" w:cs="Arial"/>
          <w:b/>
          <w:i/>
          <w:iCs/>
          <w:sz w:val="20"/>
          <w:szCs w:val="20"/>
        </w:rPr>
        <w:t xml:space="preserve">Guidance on how to start therapy: </w:t>
      </w:r>
      <w:r w:rsidRPr="00953683">
        <w:rPr>
          <w:rFonts w:ascii="Arial Narrow" w:hAnsi="Arial Narrow" w:cs="Arial"/>
          <w:bCs/>
          <w:sz w:val="20"/>
          <w:szCs w:val="20"/>
        </w:rPr>
        <w:t>Any previous therapy with HRT must be stopped prior to starting Evorel Sequi. Post-menopausal women currently not on HRT may start Evorel Sequi at any time.</w:t>
      </w:r>
      <w:r>
        <w:rPr>
          <w:rFonts w:ascii="Arial Narrow" w:hAnsi="Arial Narrow" w:cs="Arial"/>
          <w:bCs/>
          <w:sz w:val="20"/>
          <w:szCs w:val="20"/>
        </w:rPr>
        <w:t xml:space="preserve"> </w:t>
      </w:r>
      <w:r w:rsidRPr="00953683">
        <w:rPr>
          <w:rFonts w:ascii="Arial Narrow" w:hAnsi="Arial Narrow" w:cs="Arial"/>
          <w:bCs/>
          <w:sz w:val="20"/>
          <w:szCs w:val="20"/>
        </w:rPr>
        <w:t xml:space="preserve">Peri-menopausal women who are still having regular menstrual cycles and are not currently on HRT should start Evorel Sequi within 5 days of the start of bleeding. Peri-menopausal women with irregular menstrual cycles, for whom pregnancy has been </w:t>
      </w:r>
      <w:r>
        <w:rPr>
          <w:rFonts w:ascii="Arial Narrow" w:hAnsi="Arial Narrow" w:cs="Arial"/>
          <w:bCs/>
          <w:sz w:val="20"/>
          <w:szCs w:val="20"/>
        </w:rPr>
        <w:t>e</w:t>
      </w:r>
      <w:r w:rsidRPr="00953683">
        <w:rPr>
          <w:rFonts w:ascii="Arial Narrow" w:hAnsi="Arial Narrow" w:cs="Arial"/>
          <w:bCs/>
          <w:sz w:val="20"/>
          <w:szCs w:val="20"/>
        </w:rPr>
        <w:t>xcluded, can start Evorel Sequi at any time.</w:t>
      </w:r>
      <w:r>
        <w:rPr>
          <w:rFonts w:ascii="Arial Narrow" w:hAnsi="Arial Narrow" w:cs="Arial"/>
          <w:bCs/>
          <w:sz w:val="20"/>
          <w:szCs w:val="20"/>
        </w:rPr>
        <w:t xml:space="preserve"> </w:t>
      </w:r>
      <w:r w:rsidRPr="00843045">
        <w:rPr>
          <w:rFonts w:ascii="Arial Narrow" w:hAnsi="Arial Narrow" w:cs="Arial"/>
          <w:b/>
          <w:bCs/>
          <w:i/>
          <w:iCs/>
          <w:sz w:val="20"/>
          <w:szCs w:val="20"/>
        </w:rPr>
        <w:t>Switching from other HRT:</w:t>
      </w:r>
      <w:r>
        <w:rPr>
          <w:rFonts w:ascii="Arial Narrow" w:hAnsi="Arial Narrow" w:cs="Arial"/>
          <w:sz w:val="20"/>
          <w:szCs w:val="20"/>
        </w:rPr>
        <w:t xml:space="preserve"> </w:t>
      </w:r>
      <w:r w:rsidRPr="00807A4D">
        <w:rPr>
          <w:rFonts w:ascii="Arial Narrow" w:hAnsi="Arial Narrow" w:cs="Arial"/>
          <w:sz w:val="20"/>
          <w:szCs w:val="20"/>
        </w:rPr>
        <w:t>Women on a continuous combined regimen wishing to switch from another oestrogen to Evorel Sequi may do so at any time.</w:t>
      </w:r>
      <w:r>
        <w:rPr>
          <w:rFonts w:ascii="Arial Narrow" w:hAnsi="Arial Narrow" w:cs="Arial"/>
          <w:sz w:val="20"/>
          <w:szCs w:val="20"/>
        </w:rPr>
        <w:t xml:space="preserve"> </w:t>
      </w:r>
      <w:r w:rsidRPr="00807A4D">
        <w:rPr>
          <w:rFonts w:ascii="Arial Narrow" w:hAnsi="Arial Narrow" w:cs="Arial"/>
          <w:sz w:val="20"/>
          <w:szCs w:val="20"/>
          <w:lang w:eastAsia="en-GB"/>
        </w:rPr>
        <w:t xml:space="preserve">Women on a cyclic or continuous sequential regimen wishing to switch from a sequential combined HRT preparation to Evorel Sequi may do so at the end of a cycle of the current therapy or after a </w:t>
      </w:r>
      <w:r w:rsidRPr="00807A4D">
        <w:rPr>
          <w:rFonts w:ascii="Arial Narrow" w:hAnsi="Arial Narrow" w:cs="Arial"/>
          <w:sz w:val="20"/>
          <w:szCs w:val="20"/>
        </w:rPr>
        <w:t>7-day</w:t>
      </w:r>
      <w:r w:rsidRPr="00807A4D">
        <w:rPr>
          <w:rFonts w:ascii="Arial Narrow" w:hAnsi="Arial Narrow" w:cs="Arial"/>
          <w:sz w:val="20"/>
          <w:szCs w:val="20"/>
          <w:lang w:eastAsia="en-GB"/>
        </w:rPr>
        <w:t xml:space="preserve"> hormone free interval.</w:t>
      </w:r>
      <w:r>
        <w:rPr>
          <w:rFonts w:ascii="Arial Narrow" w:hAnsi="Arial Narrow" w:cs="Arial"/>
          <w:sz w:val="20"/>
          <w:szCs w:val="20"/>
        </w:rPr>
        <w:t xml:space="preserve"> </w:t>
      </w:r>
      <w:r w:rsidRPr="00807A4D">
        <w:rPr>
          <w:rFonts w:ascii="Arial Narrow" w:hAnsi="Arial Narrow" w:cs="Arial"/>
          <w:sz w:val="20"/>
          <w:szCs w:val="20"/>
          <w:lang w:eastAsia="en-GB"/>
        </w:rPr>
        <w:t>Unless there is a previous diagnosis of endometriosis, it is not recommended to add a progestogen in hysterectomised women.</w:t>
      </w:r>
      <w:r>
        <w:rPr>
          <w:rFonts w:ascii="Arial Narrow" w:hAnsi="Arial Narrow" w:cs="Arial"/>
          <w:sz w:val="20"/>
          <w:szCs w:val="20"/>
        </w:rPr>
        <w:t xml:space="preserve"> </w:t>
      </w:r>
      <w:r w:rsidRPr="00843045">
        <w:rPr>
          <w:rFonts w:ascii="Arial Narrow" w:hAnsi="Arial Narrow" w:cs="Arial"/>
          <w:b/>
          <w:bCs/>
          <w:i/>
          <w:iCs/>
          <w:sz w:val="20"/>
          <w:szCs w:val="20"/>
        </w:rPr>
        <w:t>Method of Administrati</w:t>
      </w:r>
      <w:r>
        <w:rPr>
          <w:rFonts w:ascii="Arial Narrow" w:hAnsi="Arial Narrow" w:cs="Arial"/>
          <w:b/>
          <w:bCs/>
          <w:i/>
          <w:iCs/>
          <w:sz w:val="20"/>
          <w:szCs w:val="20"/>
        </w:rPr>
        <w:t>on:</w:t>
      </w:r>
      <w:r>
        <w:rPr>
          <w:rFonts w:ascii="Arial Narrow" w:hAnsi="Arial Narrow" w:cs="Arial"/>
          <w:sz w:val="20"/>
          <w:szCs w:val="20"/>
        </w:rPr>
        <w:t xml:space="preserve"> </w:t>
      </w:r>
      <w:r w:rsidRPr="00F6213C">
        <w:rPr>
          <w:rFonts w:ascii="Arial Narrow" w:hAnsi="Arial Narrow" w:cs="Arial"/>
          <w:sz w:val="20"/>
          <w:szCs w:val="20"/>
        </w:rPr>
        <w:t>A treatment cycle with Evorel Sequi is 28 days. During the first 14 days, one estradiol-only (Evorel 50) patch should be worn at all times, without interruption. During days 15-28, one estradiol + norethisterone (Evorel Conti) patch should be worn at all times, without interruption. A subsequent treatment cycle should follow immediately, without a treatment free interval.</w:t>
      </w:r>
      <w:r>
        <w:rPr>
          <w:rFonts w:ascii="Arial Narrow" w:hAnsi="Arial Narrow" w:cs="Arial"/>
          <w:sz w:val="20"/>
          <w:szCs w:val="20"/>
        </w:rPr>
        <w:t xml:space="preserve"> </w:t>
      </w:r>
      <w:r w:rsidRPr="00F6213C">
        <w:rPr>
          <w:rFonts w:ascii="Arial Narrow" w:hAnsi="Arial Narrow" w:cs="Arial"/>
          <w:sz w:val="20"/>
          <w:szCs w:val="20"/>
        </w:rPr>
        <w:t>Patches should be applied to the trunk, below the waist. Patches should be changed twice a week, i.e. every three to four days. Application of a new patch should be to a site different from the previous application site. The patch should not be applied on or near the breasts.</w:t>
      </w:r>
      <w:r>
        <w:rPr>
          <w:rFonts w:ascii="Arial Narrow" w:hAnsi="Arial Narrow" w:cs="Arial"/>
          <w:sz w:val="20"/>
          <w:szCs w:val="20"/>
        </w:rPr>
        <w:t xml:space="preserve"> </w:t>
      </w:r>
      <w:r w:rsidRPr="00FB4FF4">
        <w:rPr>
          <w:rFonts w:ascii="Arial Narrow" w:hAnsi="Arial Narrow" w:cs="Arial"/>
          <w:sz w:val="20"/>
          <w:szCs w:val="20"/>
        </w:rPr>
        <w:t>Wearing a patch for more than 4 days by mistake or any period without a patch may increase the likelihood of breakthrough bleeding or spotting.</w:t>
      </w:r>
      <w:r>
        <w:rPr>
          <w:rFonts w:ascii="Arial Narrow" w:hAnsi="Arial Narrow" w:cs="Arial"/>
          <w:sz w:val="20"/>
          <w:szCs w:val="20"/>
        </w:rPr>
        <w:t xml:space="preserve"> </w:t>
      </w:r>
      <w:r w:rsidRPr="008B12DD">
        <w:rPr>
          <w:rFonts w:ascii="Arial Narrow" w:hAnsi="Arial Narrow" w:cs="Arial"/>
          <w:b/>
          <w:bCs/>
          <w:i/>
          <w:iCs/>
          <w:sz w:val="20"/>
          <w:szCs w:val="20"/>
        </w:rPr>
        <w:t>Children</w:t>
      </w:r>
      <w:r w:rsidRPr="008B12DD">
        <w:rPr>
          <w:rFonts w:ascii="Arial Narrow" w:hAnsi="Arial Narrow" w:cs="Arial"/>
          <w:b/>
          <w:bCs/>
          <w:sz w:val="20"/>
          <w:szCs w:val="20"/>
        </w:rPr>
        <w:t>:</w:t>
      </w:r>
      <w:r w:rsidRPr="00080F83">
        <w:rPr>
          <w:rFonts w:ascii="Arial Narrow" w:hAnsi="Arial Narrow" w:cs="Arial"/>
          <w:sz w:val="20"/>
          <w:szCs w:val="20"/>
        </w:rPr>
        <w:t xml:space="preserve"> </w:t>
      </w:r>
      <w:r>
        <w:rPr>
          <w:rFonts w:ascii="Arial Narrow" w:hAnsi="Arial Narrow" w:cs="Arial"/>
          <w:sz w:val="20"/>
          <w:szCs w:val="20"/>
        </w:rPr>
        <w:t>N</w:t>
      </w:r>
      <w:r w:rsidRPr="00080F83">
        <w:rPr>
          <w:rFonts w:ascii="Arial Narrow" w:hAnsi="Arial Narrow" w:cs="Arial"/>
          <w:sz w:val="20"/>
          <w:szCs w:val="20"/>
        </w:rPr>
        <w:t xml:space="preserve">ot indicated. </w:t>
      </w:r>
      <w:r w:rsidRPr="008B12DD">
        <w:rPr>
          <w:rFonts w:ascii="Arial Narrow" w:hAnsi="Arial Narrow" w:cs="Arial"/>
          <w:b/>
          <w:bCs/>
          <w:i/>
          <w:iCs/>
          <w:sz w:val="20"/>
          <w:szCs w:val="20"/>
        </w:rPr>
        <w:t>Elderly:</w:t>
      </w:r>
      <w:r w:rsidRPr="00080F83">
        <w:rPr>
          <w:rFonts w:ascii="Arial Narrow" w:hAnsi="Arial Narrow" w:cs="Arial"/>
          <w:sz w:val="20"/>
          <w:szCs w:val="20"/>
        </w:rPr>
        <w:t xml:space="preserve"> Data are insufficient in the elderly (&gt;65 years old). </w:t>
      </w:r>
      <w:r w:rsidRPr="008B12DD">
        <w:rPr>
          <w:rFonts w:ascii="Arial Narrow" w:hAnsi="Arial Narrow" w:cs="Arial"/>
          <w:b/>
          <w:bCs/>
          <w:i/>
          <w:iCs/>
          <w:sz w:val="20"/>
          <w:szCs w:val="20"/>
        </w:rPr>
        <w:t>Route of administration:</w:t>
      </w:r>
      <w:r w:rsidRPr="00080F83">
        <w:rPr>
          <w:rFonts w:ascii="Arial Narrow" w:hAnsi="Arial Narrow" w:cs="Arial"/>
          <w:sz w:val="20"/>
          <w:szCs w:val="20"/>
        </w:rPr>
        <w:t xml:space="preserve"> Transdermal use. </w:t>
      </w:r>
      <w:r w:rsidRPr="00080F83">
        <w:rPr>
          <w:rFonts w:ascii="Arial Narrow" w:hAnsi="Arial Narrow" w:cs="Arial"/>
          <w:b/>
          <w:sz w:val="20"/>
          <w:szCs w:val="20"/>
        </w:rPr>
        <w:t xml:space="preserve">Contraindications: </w:t>
      </w:r>
      <w:r w:rsidRPr="00080F83">
        <w:rPr>
          <w:rFonts w:ascii="Arial Narrow" w:hAnsi="Arial Narrow" w:cs="Arial"/>
          <w:sz w:val="20"/>
          <w:szCs w:val="20"/>
        </w:rPr>
        <w:t>Known</w:t>
      </w:r>
      <w:r>
        <w:rPr>
          <w:rFonts w:ascii="Arial Narrow" w:hAnsi="Arial Narrow" w:cs="Arial"/>
          <w:sz w:val="20"/>
          <w:szCs w:val="20"/>
        </w:rPr>
        <w:t>,</w:t>
      </w:r>
      <w:r w:rsidRPr="00080F83">
        <w:rPr>
          <w:rFonts w:ascii="Arial Narrow" w:hAnsi="Arial Narrow" w:cs="Arial"/>
          <w:sz w:val="20"/>
          <w:szCs w:val="20"/>
        </w:rPr>
        <w:t xml:space="preserve"> past or suspected breast cancer. Known or suspected oestrogen-dependent malignant tumours or pre-malignant tumours. Undiagnosed genital bleeding. </w:t>
      </w:r>
      <w:r w:rsidRPr="001E3CEC">
        <w:rPr>
          <w:rFonts w:ascii="Arial Narrow" w:hAnsi="Arial Narrow" w:cs="Arial"/>
          <w:sz w:val="20"/>
          <w:szCs w:val="20"/>
        </w:rPr>
        <w:t>Untreated endometrial hyperplasia</w:t>
      </w:r>
      <w:r>
        <w:rPr>
          <w:rFonts w:ascii="Arial Narrow" w:hAnsi="Arial Narrow" w:cs="Arial"/>
          <w:sz w:val="20"/>
          <w:szCs w:val="20"/>
        </w:rPr>
        <w:t xml:space="preserve">, </w:t>
      </w:r>
      <w:r w:rsidRPr="00080F83">
        <w:rPr>
          <w:rFonts w:ascii="Arial Narrow" w:hAnsi="Arial Narrow" w:cs="Arial"/>
          <w:sz w:val="20"/>
          <w:szCs w:val="20"/>
        </w:rPr>
        <w:t xml:space="preserve">Previous idiopathic or current </w:t>
      </w:r>
      <w:r>
        <w:rPr>
          <w:rFonts w:ascii="Arial Narrow" w:hAnsi="Arial Narrow" w:cs="Arial"/>
          <w:sz w:val="20"/>
          <w:szCs w:val="20"/>
        </w:rPr>
        <w:t>VTE</w:t>
      </w:r>
      <w:r w:rsidRPr="00080F83">
        <w:rPr>
          <w:rFonts w:ascii="Arial Narrow" w:hAnsi="Arial Narrow" w:cs="Arial"/>
          <w:sz w:val="20"/>
          <w:szCs w:val="20"/>
        </w:rPr>
        <w:t xml:space="preserve">. Active or recent past </w:t>
      </w:r>
      <w:r>
        <w:rPr>
          <w:rFonts w:ascii="Arial Narrow" w:hAnsi="Arial Narrow" w:cs="Arial"/>
          <w:sz w:val="20"/>
          <w:szCs w:val="20"/>
        </w:rPr>
        <w:t>ATE</w:t>
      </w:r>
      <w:r w:rsidRPr="00080F83">
        <w:rPr>
          <w:rFonts w:ascii="Arial Narrow" w:hAnsi="Arial Narrow" w:cs="Arial"/>
          <w:sz w:val="20"/>
          <w:szCs w:val="20"/>
        </w:rPr>
        <w:t xml:space="preserve"> disease. Acute liver disease, or a history of liver disease if liver function tests have failed to return to normal. Known </w:t>
      </w:r>
      <w:r w:rsidRPr="00F64A55">
        <w:rPr>
          <w:rFonts w:ascii="Arial Narrow" w:hAnsi="Arial Narrow" w:cs="Arial"/>
          <w:sz w:val="20"/>
          <w:szCs w:val="20"/>
        </w:rPr>
        <w:t>thrombophilic</w:t>
      </w:r>
      <w:r w:rsidRPr="00080F83">
        <w:rPr>
          <w:rFonts w:ascii="Arial Narrow" w:hAnsi="Arial Narrow" w:cs="Arial"/>
          <w:sz w:val="20"/>
          <w:szCs w:val="20"/>
        </w:rPr>
        <w:t xml:space="preserve"> conditions. Known hypersensitivity to the active substances or to any of the excipients</w:t>
      </w:r>
      <w:r>
        <w:rPr>
          <w:rFonts w:ascii="Arial Narrow" w:hAnsi="Arial Narrow" w:cs="Arial"/>
          <w:sz w:val="20"/>
          <w:szCs w:val="20"/>
        </w:rPr>
        <w:t>.</w:t>
      </w:r>
      <w:r w:rsidRPr="00080F83">
        <w:rPr>
          <w:rFonts w:ascii="Arial Narrow" w:hAnsi="Arial Narrow" w:cs="Arial"/>
          <w:sz w:val="20"/>
          <w:szCs w:val="20"/>
        </w:rPr>
        <w:t xml:space="preserve"> Porphyria. </w:t>
      </w:r>
      <w:r w:rsidRPr="00080F83">
        <w:rPr>
          <w:rFonts w:ascii="Arial Narrow" w:hAnsi="Arial Narrow" w:cs="Arial"/>
          <w:b/>
          <w:sz w:val="20"/>
          <w:szCs w:val="20"/>
        </w:rPr>
        <w:t xml:space="preserve">Special warnings and precautions for use: </w:t>
      </w:r>
      <w:r w:rsidRPr="00080F83">
        <w:rPr>
          <w:rFonts w:ascii="Arial Narrow" w:hAnsi="Arial Narrow" w:cs="Arial"/>
          <w:sz w:val="20"/>
          <w:szCs w:val="20"/>
        </w:rPr>
        <w:t>Before initiating or re-instituting HRT, a complete personal and family medical history should be taken</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i/>
          <w:sz w:val="20"/>
          <w:szCs w:val="20"/>
        </w:rPr>
        <w:t xml:space="preserve">Conditions which need supervision: </w:t>
      </w:r>
      <w:r w:rsidRPr="00080F83">
        <w:rPr>
          <w:rFonts w:ascii="Arial Narrow" w:hAnsi="Arial Narrow" w:cs="Arial"/>
          <w:sz w:val="20"/>
          <w:szCs w:val="20"/>
        </w:rPr>
        <w:t>If any of the following conditions are present, occurred previously, have been aggravated during pregnancy or previous hormone treatment, supervise patient closely. Conditions may recur or be aggravated during treatment, in particular: Leiomyoma or endometriosis</w:t>
      </w:r>
      <w:r>
        <w:rPr>
          <w:rFonts w:ascii="Arial Narrow" w:hAnsi="Arial Narrow" w:cs="Arial"/>
          <w:sz w:val="20"/>
          <w:szCs w:val="20"/>
        </w:rPr>
        <w:t>, a</w:t>
      </w:r>
      <w:r w:rsidRPr="00B815B8">
        <w:rPr>
          <w:rFonts w:ascii="Arial Narrow" w:hAnsi="Arial Narrow" w:cs="Arial"/>
          <w:sz w:val="20"/>
          <w:szCs w:val="20"/>
        </w:rPr>
        <w:t xml:space="preserve"> history of, or risk factors for, thrombo-embolic disorders</w:t>
      </w:r>
      <w:r w:rsidRPr="00080F83">
        <w:rPr>
          <w:rFonts w:ascii="Arial Narrow" w:hAnsi="Arial Narrow" w:cs="Arial"/>
          <w:sz w:val="20"/>
          <w:szCs w:val="20"/>
        </w:rPr>
        <w:t xml:space="preserve"> or oestrogen dependent tumours</w:t>
      </w:r>
      <w:r>
        <w:rPr>
          <w:rFonts w:ascii="Arial Narrow" w:hAnsi="Arial Narrow" w:cs="Arial"/>
          <w:sz w:val="20"/>
          <w:szCs w:val="20"/>
        </w:rPr>
        <w:t xml:space="preserve">, </w:t>
      </w:r>
      <w:r w:rsidRPr="00080F83">
        <w:rPr>
          <w:rFonts w:ascii="Arial Narrow" w:hAnsi="Arial Narrow" w:cs="Arial"/>
          <w:sz w:val="20"/>
          <w:szCs w:val="20"/>
        </w:rPr>
        <w:t xml:space="preserve">hypertension, liver disorders, diabetes mellitus, cholelithiasis, migraine or </w:t>
      </w:r>
      <w:r>
        <w:rPr>
          <w:rFonts w:ascii="Arial Narrow" w:hAnsi="Arial Narrow" w:cs="Arial"/>
          <w:sz w:val="20"/>
          <w:szCs w:val="20"/>
        </w:rPr>
        <w:t>(</w:t>
      </w:r>
      <w:r w:rsidRPr="00080F83">
        <w:rPr>
          <w:rFonts w:ascii="Arial Narrow" w:hAnsi="Arial Narrow" w:cs="Arial"/>
          <w:sz w:val="20"/>
          <w:szCs w:val="20"/>
        </w:rPr>
        <w:t>severe</w:t>
      </w:r>
      <w:r>
        <w:rPr>
          <w:rFonts w:ascii="Arial Narrow" w:hAnsi="Arial Narrow" w:cs="Arial"/>
          <w:sz w:val="20"/>
          <w:szCs w:val="20"/>
        </w:rPr>
        <w:t>)</w:t>
      </w:r>
      <w:r w:rsidRPr="00080F83">
        <w:rPr>
          <w:rFonts w:ascii="Arial Narrow" w:hAnsi="Arial Narrow" w:cs="Arial"/>
          <w:sz w:val="20"/>
          <w:szCs w:val="20"/>
        </w:rPr>
        <w:t xml:space="preserve"> headache, systemic lupus</w:t>
      </w:r>
      <w:r>
        <w:rPr>
          <w:rFonts w:ascii="Arial Narrow" w:hAnsi="Arial Narrow" w:cs="Arial"/>
          <w:sz w:val="20"/>
          <w:szCs w:val="20"/>
        </w:rPr>
        <w:t>;</w:t>
      </w:r>
      <w:r w:rsidRPr="00080F83">
        <w:rPr>
          <w:rFonts w:ascii="Arial Narrow" w:hAnsi="Arial Narrow" w:cs="Arial"/>
          <w:sz w:val="20"/>
          <w:szCs w:val="20"/>
        </w:rPr>
        <w:t xml:space="preserve"> erythematosus, history of endometrial hyperplasia, epilepsy, asthma, otosclerosis</w:t>
      </w:r>
      <w:r>
        <w:rPr>
          <w:rFonts w:ascii="Arial Narrow" w:hAnsi="Arial Narrow" w:cs="Arial"/>
          <w:sz w:val="20"/>
          <w:szCs w:val="20"/>
        </w:rPr>
        <w:t xml:space="preserve">, hereditary angioedema </w:t>
      </w:r>
      <w:r w:rsidRPr="00080F83">
        <w:rPr>
          <w:rFonts w:ascii="Arial Narrow" w:hAnsi="Arial Narrow" w:cs="Arial"/>
          <w:sz w:val="20"/>
          <w:szCs w:val="20"/>
        </w:rPr>
        <w:t xml:space="preserve">and mastopathy. </w:t>
      </w:r>
      <w:r w:rsidRPr="00F90279">
        <w:rPr>
          <w:rFonts w:ascii="Arial Narrow" w:hAnsi="Arial Narrow" w:cs="Arial"/>
          <w:b/>
          <w:bCs/>
          <w:i/>
          <w:iCs/>
          <w:sz w:val="20"/>
          <w:szCs w:val="20"/>
        </w:rPr>
        <w:t>Conditions which require monitoring while on oestrogen therapy:</w:t>
      </w:r>
      <w:r w:rsidRPr="00080F83">
        <w:rPr>
          <w:rFonts w:ascii="Arial Narrow" w:hAnsi="Arial Narrow" w:cs="Arial"/>
          <w:sz w:val="20"/>
          <w:szCs w:val="20"/>
        </w:rPr>
        <w:t xml:space="preserve"> Oestrogens may cause fluid retention. Cardiac or renal dysfunction should be carefully observed</w:t>
      </w:r>
      <w:r>
        <w:rPr>
          <w:rFonts w:ascii="Arial Narrow" w:hAnsi="Arial Narrow" w:cs="Arial"/>
          <w:sz w:val="20"/>
          <w:szCs w:val="20"/>
        </w:rPr>
        <w:t>.</w:t>
      </w:r>
      <w:r w:rsidRPr="00080F83">
        <w:rPr>
          <w:rFonts w:ascii="Arial Narrow" w:hAnsi="Arial Narrow" w:cs="Arial"/>
          <w:sz w:val="20"/>
          <w:szCs w:val="20"/>
        </w:rPr>
        <w:t xml:space="preserve"> Disturbances or mild impairment of liver function. History of cholestatic jaundice. Pre-existing hypertriglyceridaemia. Rare cases of large increases of plasma triglycerides leading to pancreatitis have been reported with oestrogen therapy in this condition. </w:t>
      </w:r>
      <w:r w:rsidRPr="00557F8F">
        <w:rPr>
          <w:rFonts w:ascii="Arial Narrow" w:hAnsi="Arial Narrow" w:cs="Arial"/>
          <w:b/>
          <w:bCs/>
          <w:i/>
          <w:iCs/>
          <w:sz w:val="20"/>
          <w:szCs w:val="20"/>
        </w:rPr>
        <w:t>Therapy should be discontinued if a contraindication is discovered and in the following situation</w:t>
      </w:r>
      <w:r>
        <w:rPr>
          <w:rFonts w:ascii="Arial Narrow" w:hAnsi="Arial Narrow" w:cs="Arial"/>
          <w:b/>
          <w:bCs/>
          <w:i/>
          <w:iCs/>
          <w:sz w:val="20"/>
          <w:szCs w:val="20"/>
        </w:rPr>
        <w:t>s</w:t>
      </w:r>
      <w:r w:rsidRPr="00557F8F">
        <w:rPr>
          <w:rFonts w:ascii="Arial Narrow" w:hAnsi="Arial Narrow" w:cs="Arial"/>
          <w:b/>
          <w:bCs/>
          <w:i/>
          <w:iCs/>
          <w:sz w:val="20"/>
          <w:szCs w:val="20"/>
        </w:rPr>
        <w:t>:</w:t>
      </w:r>
      <w:r w:rsidRPr="00557F8F">
        <w:rPr>
          <w:rFonts w:ascii="Arial Narrow" w:hAnsi="Arial Narrow" w:cs="Arial"/>
          <w:i/>
          <w:iCs/>
          <w:sz w:val="20"/>
          <w:szCs w:val="20"/>
        </w:rPr>
        <w:t xml:space="preserve"> </w:t>
      </w:r>
      <w:r w:rsidRPr="00080F83">
        <w:rPr>
          <w:rFonts w:ascii="Arial Narrow" w:hAnsi="Arial Narrow" w:cs="Arial"/>
          <w:sz w:val="20"/>
          <w:szCs w:val="20"/>
        </w:rPr>
        <w:t xml:space="preserve">jaundice/deterioration in liver function, significant increase in blood pressure, new onset of migraine-type headache, pregnancy. </w:t>
      </w:r>
      <w:r w:rsidRPr="00080F83">
        <w:rPr>
          <w:rFonts w:ascii="Arial Narrow" w:hAnsi="Arial Narrow" w:cs="Arial"/>
          <w:b/>
          <w:sz w:val="20"/>
          <w:szCs w:val="20"/>
        </w:rPr>
        <w:t xml:space="preserve">Interactions: </w:t>
      </w:r>
      <w:r w:rsidRPr="00080F83">
        <w:rPr>
          <w:rFonts w:ascii="Arial Narrow" w:hAnsi="Arial Narrow" w:cs="Arial"/>
          <w:sz w:val="20"/>
          <w:szCs w:val="20"/>
        </w:rPr>
        <w:t xml:space="preserve">The metabolism of oestrogens and progestogens may be increased by concomitant use of </w:t>
      </w:r>
      <w:r w:rsidRPr="00DD390F">
        <w:rPr>
          <w:rFonts w:ascii="Arial Narrow" w:hAnsi="Arial Narrow" w:cs="Arial"/>
          <w:sz w:val="20"/>
          <w:szCs w:val="20"/>
        </w:rPr>
        <w:t>substances known to induce drug-metabolising enzymes, specifically cytochrome P450 enzymes, such as anticonvulsants</w:t>
      </w:r>
      <w:r>
        <w:rPr>
          <w:rFonts w:ascii="Arial Narrow" w:hAnsi="Arial Narrow" w:cs="Arial"/>
          <w:sz w:val="20"/>
          <w:szCs w:val="20"/>
        </w:rPr>
        <w:t xml:space="preserve">, </w:t>
      </w:r>
      <w:r w:rsidRPr="00080F83">
        <w:rPr>
          <w:rFonts w:ascii="Arial Narrow" w:hAnsi="Arial Narrow" w:cs="Arial"/>
          <w:sz w:val="20"/>
          <w:szCs w:val="20"/>
        </w:rPr>
        <w:t>anti-infectives</w:t>
      </w:r>
      <w:r>
        <w:rPr>
          <w:rFonts w:ascii="Arial Narrow" w:hAnsi="Arial Narrow" w:cs="Arial"/>
          <w:sz w:val="20"/>
          <w:szCs w:val="20"/>
        </w:rPr>
        <w:t xml:space="preserve"> and bosentan.</w:t>
      </w:r>
      <w:r w:rsidRPr="00080F83">
        <w:rPr>
          <w:rFonts w:ascii="Arial Narrow" w:hAnsi="Arial Narrow" w:cs="Arial"/>
          <w:sz w:val="20"/>
          <w:szCs w:val="20"/>
        </w:rPr>
        <w:t xml:space="preserve"> Ritonavir, </w:t>
      </w:r>
      <w:r>
        <w:rPr>
          <w:rFonts w:ascii="Arial Narrow" w:hAnsi="Arial Narrow" w:cs="Arial"/>
          <w:sz w:val="20"/>
          <w:szCs w:val="20"/>
        </w:rPr>
        <w:t xml:space="preserve">telaprevir, </w:t>
      </w:r>
      <w:r w:rsidRPr="00080F83">
        <w:rPr>
          <w:rFonts w:ascii="Arial Narrow" w:hAnsi="Arial Narrow" w:cs="Arial"/>
          <w:sz w:val="20"/>
          <w:szCs w:val="20"/>
        </w:rPr>
        <w:t xml:space="preserve">nelfinavir and herbal preparations containing St. John's Wort may induce the metabolism of oestrogens and progestogens. Clinically, an increased metabolism of oestrogens and progestogens may lead to decreased effect and changes in the uterine bleeding profile. </w:t>
      </w:r>
      <w:r>
        <w:rPr>
          <w:rFonts w:ascii="Arial Narrow" w:hAnsi="Arial Narrow" w:cs="Arial"/>
          <w:sz w:val="20"/>
          <w:szCs w:val="20"/>
        </w:rPr>
        <w:t>Oe</w:t>
      </w:r>
      <w:r w:rsidRPr="00EB77E8">
        <w:rPr>
          <w:rFonts w:ascii="Arial Narrow" w:hAnsi="Arial Narrow" w:cs="Arial"/>
          <w:sz w:val="20"/>
          <w:szCs w:val="20"/>
        </w:rPr>
        <w:t>strogen-containing oral contraceptives have been shown to significantly decrease plasma concentrations of lamotrigine when co-administered due to induction of lamotrigine glucuronidation. This may reduce seizure control. Therefore, dose adjustment of lamotrigine may be necessary.</w:t>
      </w:r>
      <w:r>
        <w:rPr>
          <w:rFonts w:ascii="Arial Narrow" w:hAnsi="Arial Narrow" w:cs="Arial"/>
          <w:sz w:val="20"/>
          <w:szCs w:val="20"/>
        </w:rPr>
        <w:t xml:space="preserve"> </w:t>
      </w:r>
      <w:r w:rsidRPr="00E86E10">
        <w:rPr>
          <w:rFonts w:ascii="Arial Narrow" w:hAnsi="Arial Narrow" w:cs="Arial"/>
          <w:b/>
          <w:bCs/>
          <w:sz w:val="20"/>
          <w:szCs w:val="20"/>
        </w:rPr>
        <w:t>Fertility</w:t>
      </w:r>
      <w:r>
        <w:rPr>
          <w:rFonts w:ascii="Arial Narrow" w:hAnsi="Arial Narrow" w:cs="Arial"/>
          <w:sz w:val="20"/>
          <w:szCs w:val="20"/>
        </w:rPr>
        <w:t xml:space="preserve">, </w:t>
      </w:r>
      <w:r w:rsidRPr="00080F83">
        <w:rPr>
          <w:rFonts w:ascii="Arial Narrow" w:hAnsi="Arial Narrow" w:cs="Arial"/>
          <w:b/>
          <w:bCs/>
          <w:sz w:val="20"/>
          <w:szCs w:val="20"/>
        </w:rPr>
        <w:t xml:space="preserve">Pregnancy and lactation: </w:t>
      </w:r>
      <w:r w:rsidRPr="00080F83">
        <w:rPr>
          <w:rFonts w:ascii="Arial Narrow" w:hAnsi="Arial Narrow" w:cs="Arial"/>
          <w:bCs/>
          <w:sz w:val="20"/>
          <w:szCs w:val="20"/>
        </w:rPr>
        <w:t xml:space="preserve">Not </w:t>
      </w:r>
      <w:r>
        <w:rPr>
          <w:rFonts w:ascii="Arial Narrow" w:hAnsi="Arial Narrow" w:cs="Arial"/>
          <w:bCs/>
          <w:sz w:val="20"/>
          <w:szCs w:val="20"/>
        </w:rPr>
        <w:t>indicated, treatment should be withdrawn immediately</w:t>
      </w:r>
      <w:r w:rsidRPr="00080F83">
        <w:rPr>
          <w:rFonts w:ascii="Arial Narrow" w:hAnsi="Arial Narrow" w:cs="Arial"/>
          <w:bCs/>
          <w:sz w:val="20"/>
          <w:szCs w:val="20"/>
        </w:rPr>
        <w:t xml:space="preserve">. </w:t>
      </w:r>
      <w:r w:rsidRPr="00AA7A54">
        <w:rPr>
          <w:rFonts w:ascii="Arial Narrow" w:hAnsi="Arial Narrow" w:cs="Arial"/>
          <w:bCs/>
          <w:sz w:val="20"/>
          <w:szCs w:val="20"/>
        </w:rPr>
        <w:t>Data on a limited number of exposed pregnancies indicate adverse effects of norethisterone on the foetus. At doses higher than normally used in oral contraceptives and HRT formulations, masculinisation of female foetuses was observed.</w:t>
      </w:r>
      <w:r>
        <w:rPr>
          <w:rFonts w:ascii="Arial Narrow" w:hAnsi="Arial Narrow" w:cs="Arial"/>
          <w:bCs/>
          <w:sz w:val="20"/>
          <w:szCs w:val="20"/>
        </w:rPr>
        <w:t xml:space="preserve"> </w:t>
      </w:r>
      <w:r w:rsidRPr="00080F83">
        <w:rPr>
          <w:rFonts w:ascii="Arial Narrow" w:hAnsi="Arial Narrow" w:cs="Arial"/>
          <w:b/>
          <w:sz w:val="20"/>
          <w:szCs w:val="20"/>
        </w:rPr>
        <w:t>Side effects:</w:t>
      </w:r>
      <w:r w:rsidRPr="00080F83">
        <w:rPr>
          <w:rFonts w:ascii="Arial Narrow" w:hAnsi="Arial Narrow" w:cs="Arial"/>
          <w:sz w:val="20"/>
          <w:szCs w:val="20"/>
        </w:rPr>
        <w:t xml:space="preserve"> Adverse reactions observed in clinical trials: Very common (≥1/10); common (≥1/100 to &lt;1/10); uncommon (≥1/1,000 to &lt;1/100); rare (≥1/10,000 to &lt;1/1,000); very rare (&lt;1/10,000); and not known (cannot be estimated from the available clinical trial data). </w:t>
      </w:r>
      <w:r w:rsidRPr="00080F83">
        <w:rPr>
          <w:rFonts w:ascii="Arial Narrow" w:hAnsi="Arial Narrow" w:cs="Arial"/>
          <w:b/>
          <w:bCs/>
          <w:sz w:val="20"/>
          <w:szCs w:val="20"/>
        </w:rPr>
        <w:t xml:space="preserve">Very common: </w:t>
      </w:r>
      <w:r w:rsidRPr="00FA6697">
        <w:rPr>
          <w:rFonts w:ascii="Arial Narrow" w:hAnsi="Arial Narrow" w:cs="Arial"/>
          <w:sz w:val="20"/>
          <w:szCs w:val="20"/>
        </w:rPr>
        <w:t>Application site erythema, Application site pruritus, Application site rash, Application site reaction</w:t>
      </w:r>
      <w:r>
        <w:rPr>
          <w:rFonts w:ascii="Arial Narrow" w:hAnsi="Arial Narrow" w:cs="Arial"/>
          <w:sz w:val="20"/>
          <w:szCs w:val="20"/>
        </w:rPr>
        <w:t xml:space="preserve">. </w:t>
      </w:r>
      <w:r w:rsidRPr="00080F83">
        <w:rPr>
          <w:rFonts w:ascii="Arial Narrow" w:hAnsi="Arial Narrow" w:cs="Arial"/>
          <w:b/>
          <w:bCs/>
          <w:sz w:val="20"/>
          <w:szCs w:val="20"/>
        </w:rPr>
        <w:t xml:space="preserve">Common: </w:t>
      </w:r>
      <w:r w:rsidRPr="004A7023">
        <w:rPr>
          <w:rFonts w:ascii="Arial Narrow" w:hAnsi="Arial Narrow" w:cs="Arial"/>
          <w:sz w:val="20"/>
          <w:szCs w:val="20"/>
        </w:rPr>
        <w:t>Depression, Insomnia, Affect lability, Nervousness</w:t>
      </w:r>
      <w:r>
        <w:rPr>
          <w:rFonts w:ascii="Arial Narrow" w:hAnsi="Arial Narrow" w:cs="Arial"/>
          <w:sz w:val="20"/>
          <w:szCs w:val="20"/>
        </w:rPr>
        <w:t>,</w:t>
      </w:r>
      <w:r w:rsidRPr="000564E6">
        <w:t xml:space="preserve"> </w:t>
      </w:r>
      <w:r w:rsidRPr="000564E6">
        <w:rPr>
          <w:rFonts w:ascii="Arial Narrow" w:hAnsi="Arial Narrow" w:cs="Arial"/>
          <w:sz w:val="20"/>
          <w:szCs w:val="20"/>
        </w:rPr>
        <w:t>Migraine, Headache</w:t>
      </w:r>
      <w:r>
        <w:rPr>
          <w:rFonts w:ascii="Arial Narrow" w:hAnsi="Arial Narrow" w:cs="Arial"/>
          <w:sz w:val="20"/>
          <w:szCs w:val="20"/>
        </w:rPr>
        <w:t xml:space="preserve">, </w:t>
      </w:r>
      <w:r w:rsidRPr="00522C3B">
        <w:rPr>
          <w:rFonts w:ascii="Arial Narrow" w:hAnsi="Arial Narrow" w:cs="Arial"/>
          <w:sz w:val="20"/>
          <w:szCs w:val="20"/>
        </w:rPr>
        <w:t>Hypertension</w:t>
      </w:r>
      <w:r>
        <w:rPr>
          <w:rFonts w:ascii="Arial Narrow" w:hAnsi="Arial Narrow" w:cs="Arial"/>
          <w:sz w:val="20"/>
          <w:szCs w:val="20"/>
        </w:rPr>
        <w:t xml:space="preserve">, </w:t>
      </w:r>
      <w:r w:rsidRPr="00C758C2">
        <w:rPr>
          <w:rFonts w:ascii="Arial Narrow" w:hAnsi="Arial Narrow" w:cs="Arial"/>
          <w:sz w:val="20"/>
          <w:szCs w:val="20"/>
        </w:rPr>
        <w:t>Abdominal pain, Gastrointestinal disorder, Diarrhoea, Flatulence, Nausea</w:t>
      </w:r>
      <w:r>
        <w:rPr>
          <w:rFonts w:ascii="Arial Narrow" w:hAnsi="Arial Narrow" w:cs="Arial"/>
          <w:sz w:val="20"/>
          <w:szCs w:val="20"/>
        </w:rPr>
        <w:t xml:space="preserve">, </w:t>
      </w:r>
      <w:r w:rsidRPr="00171030">
        <w:rPr>
          <w:rFonts w:ascii="Arial Narrow" w:hAnsi="Arial Narrow" w:cs="Arial"/>
          <w:sz w:val="20"/>
          <w:szCs w:val="20"/>
        </w:rPr>
        <w:t>Pruritus, Rash erythematous</w:t>
      </w:r>
      <w:r>
        <w:rPr>
          <w:rFonts w:ascii="Arial Narrow" w:hAnsi="Arial Narrow" w:cs="Arial"/>
          <w:sz w:val="20"/>
          <w:szCs w:val="20"/>
        </w:rPr>
        <w:t xml:space="preserve">, </w:t>
      </w:r>
      <w:r w:rsidRPr="00FA6697">
        <w:rPr>
          <w:rFonts w:ascii="Arial Narrow" w:hAnsi="Arial Narrow" w:cs="Arial"/>
          <w:sz w:val="20"/>
          <w:szCs w:val="20"/>
        </w:rPr>
        <w:t>Arthralgia, Back pain, Myalgia</w:t>
      </w:r>
      <w:r>
        <w:rPr>
          <w:rFonts w:ascii="Arial Narrow" w:hAnsi="Arial Narrow" w:cs="Arial"/>
          <w:sz w:val="20"/>
          <w:szCs w:val="20"/>
        </w:rPr>
        <w:t xml:space="preserve">, </w:t>
      </w:r>
      <w:r w:rsidRPr="00FA6697">
        <w:rPr>
          <w:rFonts w:ascii="Arial Narrow" w:hAnsi="Arial Narrow" w:cs="Arial"/>
          <w:sz w:val="20"/>
          <w:szCs w:val="20"/>
        </w:rPr>
        <w:t>Breast pain, Dysmenorrhoea, Menorrhagia, Menstrual disorder</w:t>
      </w:r>
      <w:r>
        <w:rPr>
          <w:rFonts w:ascii="Arial Narrow" w:hAnsi="Arial Narrow" w:cs="Arial"/>
          <w:sz w:val="20"/>
          <w:szCs w:val="20"/>
        </w:rPr>
        <w:t xml:space="preserve">, </w:t>
      </w:r>
      <w:r w:rsidRPr="002C3E36">
        <w:rPr>
          <w:rFonts w:ascii="Arial Narrow" w:hAnsi="Arial Narrow" w:cs="Arial"/>
          <w:sz w:val="20"/>
          <w:szCs w:val="20"/>
        </w:rPr>
        <w:t>Pain, Oedema, Malais</w:t>
      </w:r>
      <w:r>
        <w:rPr>
          <w:rFonts w:ascii="Arial Narrow" w:hAnsi="Arial Narrow" w:cs="Arial"/>
          <w:sz w:val="20"/>
          <w:szCs w:val="20"/>
        </w:rPr>
        <w:t xml:space="preserve">e, </w:t>
      </w:r>
      <w:r w:rsidRPr="00257929">
        <w:rPr>
          <w:rFonts w:ascii="Arial Narrow" w:hAnsi="Arial Narrow" w:cs="Arial"/>
          <w:sz w:val="20"/>
          <w:szCs w:val="20"/>
        </w:rPr>
        <w:t>Weight increased</w:t>
      </w:r>
      <w:r>
        <w:rPr>
          <w:rFonts w:ascii="Arial Narrow" w:hAnsi="Arial Narrow" w:cs="Arial"/>
          <w:sz w:val="20"/>
          <w:szCs w:val="20"/>
        </w:rPr>
        <w:t xml:space="preserve">. </w:t>
      </w:r>
      <w:r w:rsidRPr="00080F83">
        <w:rPr>
          <w:rFonts w:ascii="Arial Narrow" w:hAnsi="Arial Narrow" w:cs="Arial"/>
          <w:b/>
          <w:bCs/>
          <w:sz w:val="20"/>
          <w:szCs w:val="20"/>
        </w:rPr>
        <w:t>Uncommon</w:t>
      </w:r>
      <w:r>
        <w:rPr>
          <w:rFonts w:ascii="Arial Narrow" w:hAnsi="Arial Narrow" w:cs="Arial"/>
          <w:b/>
          <w:bCs/>
          <w:sz w:val="20"/>
          <w:szCs w:val="20"/>
        </w:rPr>
        <w:t xml:space="preserve"> include</w:t>
      </w:r>
      <w:r w:rsidRPr="00080F83">
        <w:rPr>
          <w:rFonts w:ascii="Arial Narrow" w:hAnsi="Arial Narrow" w:cs="Arial"/>
          <w:b/>
          <w:sz w:val="20"/>
          <w:szCs w:val="20"/>
        </w:rPr>
        <w:t xml:space="preserve">: </w:t>
      </w:r>
      <w:r w:rsidRPr="000A1449">
        <w:rPr>
          <w:rFonts w:ascii="Arial Narrow" w:hAnsi="Arial Narrow" w:cs="Arial"/>
          <w:bCs/>
          <w:sz w:val="20"/>
          <w:szCs w:val="20"/>
        </w:rPr>
        <w:t>C</w:t>
      </w:r>
      <w:r w:rsidRPr="00080F83">
        <w:rPr>
          <w:rFonts w:ascii="Arial Narrow" w:hAnsi="Arial Narrow" w:cs="Arial"/>
          <w:bCs/>
          <w:sz w:val="20"/>
          <w:szCs w:val="20"/>
        </w:rPr>
        <w:t>andidiasis,</w:t>
      </w:r>
      <w:r w:rsidRPr="00080F83">
        <w:rPr>
          <w:rFonts w:ascii="Arial Narrow" w:hAnsi="Arial Narrow" w:cs="Arial"/>
          <w:b/>
          <w:sz w:val="20"/>
          <w:szCs w:val="20"/>
        </w:rPr>
        <w:t xml:space="preserve"> </w:t>
      </w:r>
      <w:r w:rsidRPr="00DA4162">
        <w:rPr>
          <w:rFonts w:ascii="Arial Narrow" w:hAnsi="Arial Narrow" w:cs="Arial"/>
          <w:bCs/>
          <w:sz w:val="20"/>
          <w:szCs w:val="20"/>
        </w:rPr>
        <w:t xml:space="preserve">Breast cancer, </w:t>
      </w:r>
      <w:r>
        <w:rPr>
          <w:rFonts w:ascii="Arial Narrow" w:hAnsi="Arial Narrow" w:cs="Arial"/>
          <w:bCs/>
          <w:sz w:val="20"/>
          <w:szCs w:val="20"/>
        </w:rPr>
        <w:t>F</w:t>
      </w:r>
      <w:r w:rsidRPr="00DA4162">
        <w:rPr>
          <w:rFonts w:ascii="Arial Narrow" w:hAnsi="Arial Narrow" w:cs="Arial"/>
          <w:bCs/>
          <w:sz w:val="20"/>
          <w:szCs w:val="20"/>
        </w:rPr>
        <w:t>ibroadenoma of breast</w:t>
      </w:r>
      <w:r>
        <w:rPr>
          <w:rFonts w:ascii="Arial Narrow" w:hAnsi="Arial Narrow" w:cs="Arial"/>
          <w:bCs/>
          <w:sz w:val="20"/>
          <w:szCs w:val="20"/>
        </w:rPr>
        <w:t xml:space="preserve">, Hypersensitivity, </w:t>
      </w:r>
      <w:r w:rsidRPr="000564E6">
        <w:rPr>
          <w:rFonts w:ascii="Arial Narrow" w:hAnsi="Arial Narrow" w:cs="Arial"/>
          <w:bCs/>
          <w:sz w:val="20"/>
          <w:szCs w:val="20"/>
        </w:rPr>
        <w:t xml:space="preserve">Paraesthesia, </w:t>
      </w:r>
      <w:r w:rsidRPr="00522C3B">
        <w:rPr>
          <w:rFonts w:ascii="Arial Narrow" w:hAnsi="Arial Narrow" w:cs="Arial"/>
          <w:bCs/>
          <w:sz w:val="20"/>
          <w:szCs w:val="20"/>
        </w:rPr>
        <w:t>Palpitations</w:t>
      </w:r>
      <w:r>
        <w:rPr>
          <w:rFonts w:ascii="Arial Narrow" w:hAnsi="Arial Narrow" w:cs="Arial"/>
          <w:bCs/>
          <w:sz w:val="20"/>
          <w:szCs w:val="20"/>
        </w:rPr>
        <w:t xml:space="preserve">, </w:t>
      </w:r>
      <w:r w:rsidRPr="00FA6697">
        <w:rPr>
          <w:rFonts w:ascii="Arial Narrow" w:hAnsi="Arial Narrow" w:cs="Arial"/>
          <w:bCs/>
          <w:sz w:val="20"/>
          <w:szCs w:val="20"/>
        </w:rPr>
        <w:t>Endometrial hyperplasia, Metrorrhagia</w:t>
      </w:r>
      <w:r>
        <w:rPr>
          <w:rFonts w:ascii="Arial Narrow" w:hAnsi="Arial Narrow" w:cs="Arial"/>
          <w:bCs/>
          <w:sz w:val="20"/>
          <w:szCs w:val="20"/>
        </w:rPr>
        <w:t>, O</w:t>
      </w:r>
      <w:r w:rsidRPr="002C3E36">
        <w:rPr>
          <w:rFonts w:ascii="Arial Narrow" w:hAnsi="Arial Narrow" w:cs="Arial"/>
          <w:bCs/>
          <w:sz w:val="20"/>
          <w:szCs w:val="20"/>
        </w:rPr>
        <w:t>edema</w:t>
      </w:r>
      <w:r>
        <w:rPr>
          <w:rFonts w:ascii="Arial Narrow" w:hAnsi="Arial Narrow" w:cs="Arial"/>
          <w:bCs/>
          <w:sz w:val="20"/>
          <w:szCs w:val="20"/>
        </w:rPr>
        <w:t xml:space="preserve">. </w:t>
      </w:r>
      <w:r w:rsidRPr="00080F83">
        <w:rPr>
          <w:rFonts w:ascii="Arial Narrow" w:hAnsi="Arial Narrow" w:cs="Arial"/>
          <w:b/>
          <w:sz w:val="20"/>
          <w:szCs w:val="20"/>
        </w:rPr>
        <w:t>Rare</w:t>
      </w:r>
      <w:r>
        <w:rPr>
          <w:rFonts w:ascii="Arial Narrow" w:hAnsi="Arial Narrow" w:cs="Arial"/>
          <w:b/>
          <w:sz w:val="20"/>
          <w:szCs w:val="20"/>
        </w:rPr>
        <w:t xml:space="preserve"> include</w:t>
      </w:r>
      <w:r w:rsidRPr="00080F83">
        <w:rPr>
          <w:rFonts w:ascii="Arial Narrow" w:hAnsi="Arial Narrow" w:cs="Arial"/>
          <w:b/>
          <w:sz w:val="20"/>
          <w:szCs w:val="20"/>
        </w:rPr>
        <w:t>:</w:t>
      </w:r>
      <w:r w:rsidRPr="00080F83">
        <w:rPr>
          <w:rFonts w:ascii="Arial Narrow" w:hAnsi="Arial Narrow" w:cs="Arial"/>
          <w:bCs/>
          <w:sz w:val="20"/>
          <w:szCs w:val="20"/>
        </w:rPr>
        <w:t xml:space="preserve"> Epilepsy</w:t>
      </w:r>
      <w:r>
        <w:rPr>
          <w:rFonts w:ascii="Arial Narrow" w:hAnsi="Arial Narrow" w:cs="Arial"/>
          <w:bCs/>
          <w:sz w:val="20"/>
          <w:szCs w:val="20"/>
        </w:rPr>
        <w:t>,</w:t>
      </w:r>
      <w:r w:rsidRPr="00B75924">
        <w:rPr>
          <w:rFonts w:ascii="Arial Narrow" w:hAnsi="Arial Narrow" w:cs="Arial"/>
          <w:bCs/>
          <w:sz w:val="20"/>
          <w:szCs w:val="20"/>
        </w:rPr>
        <w:t xml:space="preserve"> </w:t>
      </w:r>
      <w:r w:rsidRPr="00080F83">
        <w:rPr>
          <w:rFonts w:ascii="Arial Narrow" w:hAnsi="Arial Narrow" w:cs="Arial"/>
          <w:bCs/>
          <w:sz w:val="20"/>
          <w:szCs w:val="20"/>
        </w:rPr>
        <w:t>Thrombosis</w:t>
      </w:r>
      <w:r>
        <w:rPr>
          <w:rFonts w:ascii="Arial Narrow" w:hAnsi="Arial Narrow" w:cs="Arial"/>
          <w:bCs/>
          <w:sz w:val="20"/>
          <w:szCs w:val="20"/>
        </w:rPr>
        <w:t xml:space="preserve">, </w:t>
      </w:r>
      <w:r w:rsidRPr="00171030">
        <w:rPr>
          <w:rFonts w:ascii="Arial Narrow" w:hAnsi="Arial Narrow" w:cs="Arial"/>
          <w:bCs/>
          <w:sz w:val="20"/>
          <w:szCs w:val="20"/>
        </w:rPr>
        <w:t>Stevens-Johnson syndrome</w:t>
      </w:r>
      <w:r>
        <w:rPr>
          <w:rFonts w:ascii="Arial Narrow" w:hAnsi="Arial Narrow" w:cs="Arial"/>
          <w:bCs/>
          <w:sz w:val="20"/>
          <w:szCs w:val="20"/>
        </w:rPr>
        <w:t xml:space="preserve">. </w:t>
      </w:r>
      <w:r w:rsidRPr="00080F83">
        <w:rPr>
          <w:rFonts w:ascii="Arial Narrow" w:hAnsi="Arial Narrow" w:cs="Arial"/>
          <w:b/>
          <w:sz w:val="20"/>
          <w:szCs w:val="20"/>
        </w:rPr>
        <w:t>Frequency not known</w:t>
      </w:r>
      <w:r>
        <w:rPr>
          <w:rFonts w:ascii="Arial Narrow" w:hAnsi="Arial Narrow" w:cs="Arial"/>
          <w:b/>
          <w:sz w:val="20"/>
          <w:szCs w:val="20"/>
        </w:rPr>
        <w:t xml:space="preserve"> include</w:t>
      </w:r>
      <w:r w:rsidRPr="00080F83">
        <w:rPr>
          <w:rFonts w:ascii="Arial Narrow" w:hAnsi="Arial Narrow" w:cs="Arial"/>
          <w:b/>
          <w:sz w:val="20"/>
          <w:szCs w:val="20"/>
        </w:rPr>
        <w:t xml:space="preserve">: </w:t>
      </w:r>
      <w:r w:rsidRPr="00FA22AC">
        <w:rPr>
          <w:rFonts w:ascii="Arial Narrow" w:hAnsi="Arial Narrow" w:cs="Arial"/>
          <w:bCs/>
          <w:sz w:val="20"/>
          <w:szCs w:val="20"/>
        </w:rPr>
        <w:t>Endometrial cancer</w:t>
      </w:r>
      <w:r w:rsidRPr="00080F83">
        <w:rPr>
          <w:rFonts w:ascii="Arial Narrow" w:hAnsi="Arial Narrow" w:cs="Arial"/>
          <w:b/>
          <w:sz w:val="20"/>
          <w:szCs w:val="20"/>
        </w:rPr>
        <w:t xml:space="preserve">, </w:t>
      </w:r>
      <w:r w:rsidRPr="000564E6">
        <w:rPr>
          <w:rFonts w:ascii="Arial Narrow" w:hAnsi="Arial Narrow" w:cs="Arial"/>
          <w:bCs/>
          <w:sz w:val="20"/>
          <w:szCs w:val="20"/>
        </w:rPr>
        <w:t>Cerebrovascular accident, Epilepsy</w:t>
      </w:r>
      <w:r>
        <w:rPr>
          <w:rFonts w:ascii="Arial Narrow" w:hAnsi="Arial Narrow" w:cs="Arial"/>
          <w:bCs/>
          <w:sz w:val="20"/>
          <w:szCs w:val="20"/>
        </w:rPr>
        <w:t xml:space="preserve">, </w:t>
      </w:r>
      <w:r w:rsidRPr="00522C3B">
        <w:rPr>
          <w:rFonts w:ascii="Arial Narrow" w:hAnsi="Arial Narrow" w:cs="Arial"/>
          <w:bCs/>
          <w:sz w:val="20"/>
          <w:szCs w:val="20"/>
        </w:rPr>
        <w:t xml:space="preserve">Deep vein thrombosis, </w:t>
      </w:r>
      <w:r>
        <w:rPr>
          <w:rFonts w:ascii="Arial Narrow" w:hAnsi="Arial Narrow" w:cs="Arial"/>
          <w:bCs/>
          <w:sz w:val="20"/>
          <w:szCs w:val="20"/>
        </w:rPr>
        <w:t xml:space="preserve">Thrombosis, </w:t>
      </w:r>
      <w:r w:rsidRPr="00B0207B">
        <w:rPr>
          <w:rFonts w:ascii="Arial Narrow" w:hAnsi="Arial Narrow" w:cs="Arial"/>
          <w:bCs/>
          <w:sz w:val="20"/>
          <w:szCs w:val="20"/>
        </w:rPr>
        <w:t>Pulmonary embolism</w:t>
      </w:r>
      <w:r>
        <w:rPr>
          <w:rFonts w:ascii="Arial Narrow" w:hAnsi="Arial Narrow" w:cs="Arial"/>
          <w:bCs/>
          <w:sz w:val="20"/>
          <w:szCs w:val="20"/>
        </w:rPr>
        <w:t xml:space="preserve">, </w:t>
      </w:r>
      <w:r w:rsidRPr="00D90163">
        <w:rPr>
          <w:rFonts w:ascii="Arial Narrow" w:hAnsi="Arial Narrow" w:cs="Arial"/>
          <w:bCs/>
          <w:sz w:val="20"/>
          <w:szCs w:val="20"/>
        </w:rPr>
        <w:t>Abdominal distension</w:t>
      </w:r>
      <w:r>
        <w:rPr>
          <w:rFonts w:ascii="Arial Narrow" w:hAnsi="Arial Narrow" w:cs="Arial"/>
          <w:bCs/>
          <w:sz w:val="20"/>
          <w:szCs w:val="20"/>
        </w:rPr>
        <w:t xml:space="preserve">, </w:t>
      </w:r>
      <w:r w:rsidRPr="0036380E">
        <w:rPr>
          <w:rFonts w:ascii="Arial Narrow" w:hAnsi="Arial Narrow" w:cs="Arial"/>
          <w:bCs/>
          <w:sz w:val="20"/>
          <w:szCs w:val="20"/>
        </w:rPr>
        <w:t>Cholelithiasis</w:t>
      </w:r>
      <w:r>
        <w:rPr>
          <w:rFonts w:ascii="Arial Narrow" w:hAnsi="Arial Narrow" w:cs="Arial"/>
          <w:bCs/>
          <w:sz w:val="20"/>
          <w:szCs w:val="20"/>
        </w:rPr>
        <w:t xml:space="preserve">, </w:t>
      </w:r>
      <w:r w:rsidRPr="00D27BA6">
        <w:rPr>
          <w:rFonts w:ascii="Arial Narrow" w:hAnsi="Arial Narrow" w:cs="Arial"/>
          <w:bCs/>
          <w:sz w:val="20"/>
          <w:szCs w:val="20"/>
        </w:rPr>
        <w:t>Oedema peripheral, Application site oedema</w:t>
      </w:r>
      <w:r>
        <w:rPr>
          <w:rFonts w:ascii="Arial Narrow" w:hAnsi="Arial Narrow" w:cs="Arial"/>
          <w:bCs/>
          <w:sz w:val="20"/>
          <w:szCs w:val="20"/>
        </w:rPr>
        <w:t xml:space="preserve">. </w:t>
      </w:r>
      <w:r w:rsidRPr="00FB18EA">
        <w:rPr>
          <w:rFonts w:ascii="Arial Narrow" w:hAnsi="Arial Narrow" w:cs="Arial"/>
          <w:b/>
          <w:sz w:val="20"/>
          <w:szCs w:val="20"/>
        </w:rPr>
        <w:t>Package Quantities &amp; Cost</w:t>
      </w:r>
      <w:r>
        <w:rPr>
          <w:rFonts w:ascii="Arial Narrow" w:hAnsi="Arial Narrow" w:cs="Arial"/>
          <w:b/>
          <w:sz w:val="20"/>
          <w:szCs w:val="20"/>
        </w:rPr>
        <w:t>:</w:t>
      </w:r>
      <w:r w:rsidRPr="00FB18EA">
        <w:rPr>
          <w:rFonts w:ascii="Arial Narrow" w:hAnsi="Arial Narrow"/>
          <w:sz w:val="20"/>
          <w:szCs w:val="20"/>
        </w:rPr>
        <w:t xml:space="preserve"> </w:t>
      </w:r>
      <w:r w:rsidRPr="00FB18EA">
        <w:rPr>
          <w:rFonts w:ascii="Arial Narrow" w:hAnsi="Arial Narrow" w:cs="Arial"/>
          <w:color w:val="000000"/>
          <w:sz w:val="20"/>
          <w:szCs w:val="20"/>
          <w:shd w:val="clear" w:color="auto" w:fill="FFFFFF"/>
        </w:rPr>
        <w:t>Each carton box has 8 TDSs in individual foil-lined sachets</w:t>
      </w:r>
      <w:r w:rsidRPr="00FB18EA">
        <w:rPr>
          <w:rFonts w:ascii="Arial Narrow" w:hAnsi="Arial Narrow" w:cs="Arial"/>
          <w:bCs/>
          <w:sz w:val="20"/>
          <w:szCs w:val="20"/>
        </w:rPr>
        <w:t xml:space="preserve">. One Evorel Sequi box contains 4 Evorel 50 TDS and 4 Evorel Conti TDSs. </w:t>
      </w:r>
      <w:r w:rsidRPr="00FB18EA">
        <w:rPr>
          <w:rFonts w:ascii="Arial Narrow" w:hAnsi="Arial Narrow" w:cs="Arial"/>
          <w:sz w:val="20"/>
          <w:szCs w:val="20"/>
        </w:rPr>
        <w:t xml:space="preserve">Cost: £11.09. </w:t>
      </w:r>
      <w:r w:rsidRPr="00FB18EA">
        <w:rPr>
          <w:rFonts w:ascii="Arial Narrow" w:hAnsi="Arial Narrow" w:cs="Arial"/>
          <w:b/>
          <w:sz w:val="20"/>
          <w:szCs w:val="20"/>
        </w:rPr>
        <w:t>Marketing</w:t>
      </w:r>
      <w:r w:rsidRPr="00080F83">
        <w:rPr>
          <w:rFonts w:ascii="Arial Narrow" w:hAnsi="Arial Narrow" w:cs="Arial"/>
          <w:b/>
          <w:sz w:val="20"/>
          <w:szCs w:val="20"/>
        </w:rPr>
        <w:t xml:space="preserve"> authorisation number:</w:t>
      </w:r>
      <w:r>
        <w:rPr>
          <w:rFonts w:ascii="Arial Narrow" w:hAnsi="Arial Narrow" w:cs="Arial"/>
          <w:b/>
          <w:sz w:val="20"/>
          <w:szCs w:val="20"/>
        </w:rPr>
        <w:t xml:space="preserve"> </w:t>
      </w:r>
      <w:r w:rsidRPr="00980F63">
        <w:rPr>
          <w:rFonts w:ascii="Arial Narrow" w:hAnsi="Arial Narrow" w:cs="Arial"/>
          <w:sz w:val="20"/>
          <w:szCs w:val="20"/>
          <w:lang w:eastAsia="en-GB"/>
        </w:rPr>
        <w:t>PL</w:t>
      </w:r>
      <w:r>
        <w:rPr>
          <w:rFonts w:ascii="Arial Narrow" w:hAnsi="Arial Narrow" w:cs="Arial"/>
          <w:sz w:val="20"/>
          <w:szCs w:val="20"/>
          <w:lang w:eastAsia="en-GB"/>
        </w:rPr>
        <w:t xml:space="preserve"> </w:t>
      </w:r>
      <w:r w:rsidRPr="00980F63">
        <w:rPr>
          <w:rFonts w:ascii="Arial Narrow" w:hAnsi="Arial Narrow" w:cs="Arial"/>
          <w:sz w:val="20"/>
          <w:szCs w:val="20"/>
          <w:lang w:eastAsia="en-GB"/>
        </w:rPr>
        <w:t>49105/0010</w:t>
      </w:r>
      <w:r>
        <w:rPr>
          <w:rFonts w:ascii="Arial Narrow" w:hAnsi="Arial Narrow" w:cs="Arial"/>
          <w:sz w:val="20"/>
          <w:szCs w:val="20"/>
          <w:lang w:eastAsia="en-GB"/>
        </w:rPr>
        <w:t xml:space="preserve">. </w:t>
      </w:r>
      <w:r w:rsidRPr="00194F5D">
        <w:rPr>
          <w:rFonts w:ascii="Arial Narrow" w:hAnsi="Arial Narrow" w:cs="Arial"/>
          <w:b/>
          <w:bCs/>
          <w:sz w:val="20"/>
          <w:szCs w:val="20"/>
        </w:rPr>
        <w:t xml:space="preserve">Marketing authorisation holder: </w:t>
      </w:r>
      <w:r w:rsidRPr="00080F83">
        <w:rPr>
          <w:rFonts w:ascii="Arial Narrow" w:hAnsi="Arial Narrow" w:cs="Arial"/>
          <w:sz w:val="20"/>
          <w:szCs w:val="20"/>
        </w:rPr>
        <w:t>Theramex HQ UK LTD, Sloane Square House, 1 Holbein Place, London SW1W 8NS, UK</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sz w:val="20"/>
          <w:szCs w:val="20"/>
        </w:rPr>
        <w:t>Legal classification:</w:t>
      </w:r>
      <w:r w:rsidRPr="00080F83">
        <w:rPr>
          <w:rFonts w:ascii="Arial Narrow" w:hAnsi="Arial Narrow" w:cs="Arial"/>
          <w:sz w:val="20"/>
          <w:szCs w:val="20"/>
        </w:rPr>
        <w:t xml:space="preserve"> POM</w:t>
      </w:r>
      <w:r>
        <w:rPr>
          <w:rFonts w:ascii="Arial Narrow" w:hAnsi="Arial Narrow" w:cs="Arial"/>
          <w:sz w:val="20"/>
          <w:szCs w:val="20"/>
        </w:rPr>
        <w:t>.</w:t>
      </w:r>
      <w:r w:rsidRPr="00080F83">
        <w:rPr>
          <w:rFonts w:ascii="Arial Narrow" w:hAnsi="Arial Narrow" w:cs="Arial"/>
          <w:sz w:val="20"/>
          <w:szCs w:val="20"/>
        </w:rPr>
        <w:t xml:space="preserve"> </w:t>
      </w:r>
      <w:r w:rsidRPr="00080F83">
        <w:rPr>
          <w:rFonts w:ascii="Arial Narrow" w:hAnsi="Arial Narrow" w:cs="Arial"/>
          <w:b/>
          <w:sz w:val="20"/>
          <w:szCs w:val="20"/>
        </w:rPr>
        <w:t>Date of Preparation:</w:t>
      </w:r>
      <w:r w:rsidRPr="00080F83">
        <w:rPr>
          <w:rFonts w:ascii="Arial Narrow" w:hAnsi="Arial Narrow" w:cs="Arial"/>
          <w:sz w:val="20"/>
          <w:szCs w:val="20"/>
        </w:rPr>
        <w:t xml:space="preserve"> January 2020</w:t>
      </w:r>
      <w:r>
        <w:rPr>
          <w:rFonts w:ascii="Arial Narrow" w:hAnsi="Arial Narrow" w:cs="Arial"/>
          <w:sz w:val="20"/>
          <w:szCs w:val="20"/>
        </w:rPr>
        <w:t xml:space="preserve">: </w:t>
      </w:r>
      <w:r w:rsidRPr="00F8232F">
        <w:rPr>
          <w:rFonts w:ascii="Arial Narrow" w:hAnsi="Arial Narrow" w:cs="Arial"/>
          <w:sz w:val="20"/>
          <w:szCs w:val="20"/>
        </w:rPr>
        <w:t>THX_GB_PI_001474</w:t>
      </w:r>
      <w:r>
        <w:rPr>
          <w:rFonts w:ascii="Arial Narrow" w:hAnsi="Arial Narrow" w:cs="Arial"/>
          <w:sz w:val="20"/>
          <w:szCs w:val="20"/>
        </w:rPr>
        <w:t>.</w:t>
      </w:r>
    </w:p>
    <w:p w14:paraId="201BD48A" w14:textId="77777777" w:rsidR="00AA76B3" w:rsidRDefault="00AA76B3" w:rsidP="0088676C">
      <w:pPr>
        <w:pStyle w:val="NormalWeb"/>
        <w:shd w:val="clear" w:color="auto" w:fill="FFFFFF"/>
        <w:spacing w:after="143"/>
        <w:jc w:val="both"/>
        <w:rPr>
          <w:sz w:val="20"/>
          <w:szCs w:val="22"/>
        </w:rPr>
      </w:pPr>
    </w:p>
    <w:sectPr w:rsidR="00AA76B3" w:rsidSect="0088676C">
      <w:type w:val="continuous"/>
      <w:pgSz w:w="11906" w:h="16838" w:code="9"/>
      <w:pgMar w:top="567" w:right="567" w:bottom="567" w:left="567" w:header="284" w:footer="284"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69E1" w14:textId="77777777" w:rsidR="004F0ED7" w:rsidRDefault="004F0ED7" w:rsidP="001B15D8">
      <w:r>
        <w:separator/>
      </w:r>
    </w:p>
  </w:endnote>
  <w:endnote w:type="continuationSeparator" w:id="0">
    <w:p w14:paraId="1C9B40CE" w14:textId="77777777" w:rsidR="004F0ED7" w:rsidRDefault="004F0ED7" w:rsidP="001B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70B3" w14:textId="551C3F1F" w:rsidR="00B06FC5" w:rsidRPr="0088676C" w:rsidRDefault="00B06FC5" w:rsidP="00416534">
    <w:pPr>
      <w:shd w:val="clear" w:color="auto" w:fill="FFFFFF"/>
      <w:textAlignment w:val="baseline"/>
      <w:rPr>
        <w:rFonts w:ascii="Arial" w:hAnsi="Arial" w:cs="Arial"/>
        <w:color w:val="BFBFBF" w:themeColor="background1" w:themeShade="BF"/>
        <w:sz w:val="16"/>
        <w:szCs w:val="18"/>
        <w:shd w:val="clear" w:color="auto" w:fill="FFFFFF"/>
      </w:rPr>
    </w:pPr>
    <w:r w:rsidRPr="0088676C">
      <w:rPr>
        <w:rFonts w:ascii="Arial" w:hAnsi="Arial" w:cs="Arial"/>
        <w:color w:val="BFBFBF" w:themeColor="background1" w:themeShade="BF"/>
        <w:sz w:val="16"/>
        <w:szCs w:val="18"/>
        <w:shd w:val="clear" w:color="auto" w:fill="FFFFFF"/>
      </w:rPr>
      <w:t>Evor_GB_MEDIAKT_002124 / Evorel August stock update comms – 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5EA6" w14:textId="77777777" w:rsidR="0088676C" w:rsidRPr="00B06FC5" w:rsidRDefault="0088676C" w:rsidP="0088676C">
    <w:pPr>
      <w:shd w:val="clear" w:color="auto" w:fill="FFFFFF"/>
      <w:textAlignment w:val="baseline"/>
      <w:rPr>
        <w:rFonts w:ascii="Arial" w:hAnsi="Arial" w:cs="Arial"/>
        <w:color w:val="BFBFBF" w:themeColor="background1" w:themeShade="BF"/>
        <w:shd w:val="clear" w:color="auto" w:fill="FFFFFF"/>
      </w:rPr>
    </w:pPr>
    <w:r w:rsidRPr="00B06FC5">
      <w:rPr>
        <w:rFonts w:ascii="Arial" w:hAnsi="Arial" w:cs="Arial"/>
        <w:color w:val="BFBFBF" w:themeColor="background1" w:themeShade="BF"/>
        <w:shd w:val="clear" w:color="auto" w:fill="FFFFFF"/>
      </w:rPr>
      <w:t>Evor_GB_MEDIAKT_002124 / Evorel August stock update comms – PI</w:t>
    </w:r>
  </w:p>
  <w:p w14:paraId="1471CC4A" w14:textId="77777777" w:rsidR="0088676C" w:rsidRPr="00416534" w:rsidRDefault="0088676C" w:rsidP="0088676C">
    <w:pPr>
      <w:shd w:val="clear" w:color="auto" w:fill="FFFFFF"/>
      <w:textAlignment w:val="baseline"/>
      <w:rPr>
        <w:rFonts w:ascii="Arial" w:hAnsi="Arial" w:cs="Arial"/>
        <w:color w:val="000000"/>
        <w:sz w:val="20"/>
        <w:szCs w:val="20"/>
        <w:lang w:val="en-GB" w:eastAsia="en-GB"/>
      </w:rPr>
    </w:pPr>
  </w:p>
  <w:p w14:paraId="6CB6FF62" w14:textId="77777777" w:rsidR="0088676C" w:rsidRPr="005B3F3B" w:rsidRDefault="0088676C" w:rsidP="0088676C">
    <w:pPr>
      <w:pStyle w:val="Header"/>
      <w:jc w:val="center"/>
      <w:rPr>
        <w:rFonts w:ascii="Times New Roman" w:hAnsi="Times New Roman"/>
        <w:color w:val="A6A6A6" w:themeColor="background1" w:themeShade="A6"/>
      </w:rPr>
    </w:pPr>
    <w:r w:rsidRPr="005B3F3B">
      <w:rPr>
        <w:rFonts w:ascii="Times New Roman" w:hAnsi="Times New Roman"/>
        <w:color w:val="A6A6A6" w:themeColor="background1" w:themeShade="A6"/>
      </w:rPr>
      <w:t xml:space="preserve">Registered office: </w:t>
    </w:r>
    <w:r>
      <w:rPr>
        <w:rFonts w:ascii="Times New Roman" w:hAnsi="Times New Roman"/>
        <w:color w:val="A6A6A6" w:themeColor="background1" w:themeShade="A6"/>
      </w:rPr>
      <w:t xml:space="preserve">Sloane Square House, 1 Holbein Place, </w:t>
    </w:r>
    <w:r w:rsidRPr="005B3F3B">
      <w:rPr>
        <w:rFonts w:ascii="Times New Roman" w:hAnsi="Times New Roman"/>
        <w:color w:val="A6A6A6" w:themeColor="background1" w:themeShade="A6"/>
      </w:rPr>
      <w:t>London</w:t>
    </w:r>
    <w:r>
      <w:rPr>
        <w:rFonts w:ascii="Times New Roman" w:hAnsi="Times New Roman"/>
        <w:color w:val="A6A6A6" w:themeColor="background1" w:themeShade="A6"/>
      </w:rPr>
      <w:t xml:space="preserve"> SW1W 8NS</w:t>
    </w:r>
  </w:p>
  <w:p w14:paraId="43703DE6" w14:textId="77777777" w:rsidR="0088676C" w:rsidRPr="005B3F3B" w:rsidRDefault="0088676C" w:rsidP="0088676C">
    <w:pPr>
      <w:pStyle w:val="Footer"/>
      <w:jc w:val="center"/>
      <w:rPr>
        <w:rFonts w:ascii="Times New Roman" w:hAnsi="Times New Roman"/>
        <w:color w:val="A6A6A6" w:themeColor="background1" w:themeShade="A6"/>
      </w:rPr>
    </w:pPr>
    <w:r w:rsidRPr="005B3F3B">
      <w:rPr>
        <w:rFonts w:ascii="Times New Roman" w:hAnsi="Times New Roman"/>
        <w:color w:val="A6A6A6" w:themeColor="background1" w:themeShade="A6"/>
      </w:rPr>
      <w:t>UK VAT No: GB 282 0227 27</w:t>
    </w:r>
  </w:p>
  <w:p w14:paraId="32E3BC63" w14:textId="77777777" w:rsidR="0088676C" w:rsidRDefault="0088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5762" w14:textId="77777777" w:rsidR="004F0ED7" w:rsidRDefault="004F0ED7" w:rsidP="001B15D8">
      <w:r>
        <w:separator/>
      </w:r>
    </w:p>
  </w:footnote>
  <w:footnote w:type="continuationSeparator" w:id="0">
    <w:p w14:paraId="063FB499" w14:textId="77777777" w:rsidR="004F0ED7" w:rsidRDefault="004F0ED7" w:rsidP="001B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6B8C" w14:textId="6F8D66C0" w:rsidR="001B15D8" w:rsidRPr="005B3F3B" w:rsidRDefault="001B15D8" w:rsidP="004F0ED7">
    <w:pPr>
      <w:pStyle w:val="Header"/>
      <w:jc w:val="right"/>
      <w:rPr>
        <w:rFonts w:ascii="Times New Roman" w:hAnsi="Times New Roman"/>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15:restartNumberingAfterBreak="0">
    <w:nsid w:val="425C7889"/>
    <w:multiLevelType w:val="multilevel"/>
    <w:tmpl w:val="0409001F"/>
    <w:numStyleLink w:val="111111"/>
  </w:abstractNum>
  <w:abstractNum w:abstractNumId="1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530F3308"/>
    <w:multiLevelType w:val="multilevel"/>
    <w:tmpl w:val="021A1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C02ADB"/>
    <w:multiLevelType w:val="multilevel"/>
    <w:tmpl w:val="A62C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29"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D840DA3"/>
    <w:multiLevelType w:val="multilevel"/>
    <w:tmpl w:val="B5BCA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4"/>
  </w:num>
  <w:num w:numId="3">
    <w:abstractNumId w:val="21"/>
  </w:num>
  <w:num w:numId="4">
    <w:abstractNumId w:val="28"/>
  </w:num>
  <w:num w:numId="5">
    <w:abstractNumId w:val="23"/>
  </w:num>
  <w:num w:numId="6">
    <w:abstractNumId w:val="1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8"/>
  </w:num>
  <w:num w:numId="20">
    <w:abstractNumId w:val="27"/>
  </w:num>
  <w:num w:numId="21">
    <w:abstractNumId w:val="25"/>
  </w:num>
  <w:num w:numId="22">
    <w:abstractNumId w:val="20"/>
  </w:num>
  <w:num w:numId="23">
    <w:abstractNumId w:val="30"/>
  </w:num>
  <w:num w:numId="24">
    <w:abstractNumId w:val="10"/>
  </w:num>
  <w:num w:numId="25">
    <w:abstractNumId w:val="15"/>
  </w:num>
  <w:num w:numId="26">
    <w:abstractNumId w:val="13"/>
  </w:num>
  <w:num w:numId="27">
    <w:abstractNumId w:val="16"/>
  </w:num>
  <w:num w:numId="28">
    <w:abstractNumId w:val="19"/>
  </w:num>
  <w:num w:numId="29">
    <w:abstractNumId w:val="1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D7"/>
    <w:rsid w:val="00022AB3"/>
    <w:rsid w:val="000E1783"/>
    <w:rsid w:val="001B15D8"/>
    <w:rsid w:val="0020537B"/>
    <w:rsid w:val="002C3BD7"/>
    <w:rsid w:val="003A3BF8"/>
    <w:rsid w:val="00416534"/>
    <w:rsid w:val="00485561"/>
    <w:rsid w:val="004F0ED7"/>
    <w:rsid w:val="005035B5"/>
    <w:rsid w:val="005B3F3B"/>
    <w:rsid w:val="005C4B26"/>
    <w:rsid w:val="005D4BC9"/>
    <w:rsid w:val="00673157"/>
    <w:rsid w:val="007506FB"/>
    <w:rsid w:val="00847F7F"/>
    <w:rsid w:val="00876B48"/>
    <w:rsid w:val="0088676C"/>
    <w:rsid w:val="0089384B"/>
    <w:rsid w:val="00923FE6"/>
    <w:rsid w:val="00AA76B3"/>
    <w:rsid w:val="00B06FC5"/>
    <w:rsid w:val="00B40100"/>
    <w:rsid w:val="00C46EE3"/>
    <w:rsid w:val="00CE7E6A"/>
    <w:rsid w:val="00F8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AAB913"/>
  <w15:chartTrackingRefBased/>
  <w15:docId w15:val="{5A3EBB83-BB09-4271-AC76-AFC0EB36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5D8"/>
    <w:pPr>
      <w:spacing w:after="0" w:line="240" w:lineRule="auto"/>
    </w:pPr>
    <w:rPr>
      <w:rFonts w:ascii="Henderson BCG Serif" w:eastAsia="Times New Roman" w:hAnsi="Henderson BCG Serif" w:cs="Times New Roman"/>
      <w:szCs w:val="24"/>
      <w:lang w:val="de-DE" w:eastAsia="de-DE"/>
    </w:rPr>
  </w:style>
  <w:style w:type="paragraph" w:styleId="Heading1">
    <w:name w:val="heading 1"/>
    <w:basedOn w:val="Normal"/>
    <w:next w:val="Normal"/>
    <w:link w:val="Heading1Char"/>
    <w:qFormat/>
    <w:rsid w:val="001B15D8"/>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1B15D8"/>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1B15D8"/>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1B15D8"/>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1B15D8"/>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1B15D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1B15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1B15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1B15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5D8"/>
    <w:rPr>
      <w:rFonts w:ascii="Henderson BCG Serif" w:eastAsia="Times New Roman" w:hAnsi="Henderson BCG Serif" w:cs="Arial"/>
      <w:b/>
      <w:bCs/>
      <w:kern w:val="32"/>
      <w:sz w:val="24"/>
      <w:szCs w:val="24"/>
      <w:lang w:val="de-DE" w:eastAsia="de-DE"/>
    </w:rPr>
  </w:style>
  <w:style w:type="character" w:customStyle="1" w:styleId="Heading2Char">
    <w:name w:val="Heading 2 Char"/>
    <w:basedOn w:val="DefaultParagraphFont"/>
    <w:link w:val="Heading2"/>
    <w:rsid w:val="001B15D8"/>
    <w:rPr>
      <w:rFonts w:ascii="Henderson BCG Serif" w:eastAsia="Times New Roman" w:hAnsi="Henderson BCG Serif" w:cs="Arial"/>
      <w:b/>
      <w:bCs/>
      <w:iCs/>
      <w:szCs w:val="28"/>
      <w:lang w:val="de-DE" w:eastAsia="de-DE"/>
    </w:rPr>
  </w:style>
  <w:style w:type="character" w:customStyle="1" w:styleId="Heading3Char">
    <w:name w:val="Heading 3 Char"/>
    <w:basedOn w:val="DefaultParagraphFont"/>
    <w:link w:val="Heading3"/>
    <w:rsid w:val="001B15D8"/>
    <w:rPr>
      <w:rFonts w:ascii="Henderson BCG Serif" w:eastAsia="Times New Roman" w:hAnsi="Henderson BCG Serif" w:cs="Arial"/>
      <w:b/>
      <w:bCs/>
      <w:lang w:val="de-DE" w:eastAsia="de-DE"/>
    </w:rPr>
  </w:style>
  <w:style w:type="character" w:customStyle="1" w:styleId="Heading4Char">
    <w:name w:val="Heading 4 Char"/>
    <w:basedOn w:val="DefaultParagraphFont"/>
    <w:link w:val="Heading4"/>
    <w:rsid w:val="001B15D8"/>
    <w:rPr>
      <w:rFonts w:ascii="Henderson BCG Serif" w:eastAsia="Times New Roman" w:hAnsi="Henderson BCG Serif" w:cs="Times New Roman"/>
      <w:bCs/>
      <w:szCs w:val="28"/>
      <w:lang w:val="de-DE" w:eastAsia="de-DE"/>
    </w:rPr>
  </w:style>
  <w:style w:type="character" w:customStyle="1" w:styleId="Heading5Char">
    <w:name w:val="Heading 5 Char"/>
    <w:basedOn w:val="DefaultParagraphFont"/>
    <w:link w:val="Heading5"/>
    <w:rsid w:val="001B15D8"/>
    <w:rPr>
      <w:rFonts w:ascii="Henderson BCG Serif" w:eastAsia="Times New Roman" w:hAnsi="Henderson BCG Serif" w:cs="Times New Roman"/>
      <w:bCs/>
      <w:iCs/>
      <w:szCs w:val="26"/>
      <w:lang w:val="de-DE" w:eastAsia="de-DE"/>
    </w:rPr>
  </w:style>
  <w:style w:type="character" w:customStyle="1" w:styleId="Heading6Char">
    <w:name w:val="Heading 6 Char"/>
    <w:basedOn w:val="DefaultParagraphFont"/>
    <w:link w:val="Heading6"/>
    <w:semiHidden/>
    <w:rsid w:val="001B15D8"/>
    <w:rPr>
      <w:rFonts w:asciiTheme="majorHAnsi" w:eastAsiaTheme="majorEastAsia" w:hAnsiTheme="majorHAnsi" w:cstheme="majorBidi"/>
      <w:i/>
      <w:iCs/>
      <w:color w:val="1F4D78" w:themeColor="accent1" w:themeShade="7F"/>
      <w:szCs w:val="24"/>
      <w:lang w:val="de-DE" w:eastAsia="de-DE"/>
    </w:rPr>
  </w:style>
  <w:style w:type="character" w:customStyle="1" w:styleId="Heading7Char">
    <w:name w:val="Heading 7 Char"/>
    <w:basedOn w:val="DefaultParagraphFont"/>
    <w:link w:val="Heading7"/>
    <w:semiHidden/>
    <w:rsid w:val="001B15D8"/>
    <w:rPr>
      <w:rFonts w:asciiTheme="majorHAnsi" w:eastAsiaTheme="majorEastAsia" w:hAnsiTheme="majorHAnsi" w:cstheme="majorBidi"/>
      <w:i/>
      <w:iCs/>
      <w:color w:val="404040" w:themeColor="text1" w:themeTint="BF"/>
      <w:szCs w:val="24"/>
      <w:lang w:val="de-DE" w:eastAsia="de-DE"/>
    </w:rPr>
  </w:style>
  <w:style w:type="character" w:customStyle="1" w:styleId="Heading8Char">
    <w:name w:val="Heading 8 Char"/>
    <w:aliases w:val="OriginalHeading 8 Char"/>
    <w:basedOn w:val="DefaultParagraphFont"/>
    <w:link w:val="Heading8"/>
    <w:semiHidden/>
    <w:rsid w:val="001B15D8"/>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aliases w:val="OriginalHeading 9 Char"/>
    <w:basedOn w:val="DefaultParagraphFont"/>
    <w:link w:val="Heading9"/>
    <w:semiHidden/>
    <w:rsid w:val="001B15D8"/>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NoList"/>
    <w:semiHidden/>
    <w:rsid w:val="001B15D8"/>
    <w:pPr>
      <w:numPr>
        <w:numId w:val="18"/>
      </w:numPr>
    </w:pPr>
  </w:style>
  <w:style w:type="numbering" w:styleId="1ai">
    <w:name w:val="Outline List 1"/>
    <w:basedOn w:val="NoList"/>
    <w:semiHidden/>
    <w:rsid w:val="001B15D8"/>
    <w:pPr>
      <w:numPr>
        <w:numId w:val="20"/>
      </w:numPr>
    </w:pPr>
  </w:style>
  <w:style w:type="numbering" w:styleId="ArticleSection">
    <w:name w:val="Outline List 3"/>
    <w:basedOn w:val="NoList"/>
    <w:semiHidden/>
    <w:rsid w:val="001B15D8"/>
    <w:pPr>
      <w:numPr>
        <w:numId w:val="21"/>
      </w:numPr>
    </w:pPr>
  </w:style>
  <w:style w:type="paragraph" w:styleId="BlockText">
    <w:name w:val="Block Text"/>
    <w:basedOn w:val="Normal"/>
    <w:semiHidden/>
    <w:rsid w:val="001B15D8"/>
    <w:pPr>
      <w:spacing w:after="120"/>
      <w:ind w:left="1440" w:right="1440"/>
    </w:pPr>
  </w:style>
  <w:style w:type="paragraph" w:styleId="BodyText">
    <w:name w:val="Body Text"/>
    <w:basedOn w:val="Normal"/>
    <w:link w:val="BodyTextChar"/>
    <w:semiHidden/>
    <w:rsid w:val="001B15D8"/>
    <w:pPr>
      <w:spacing w:after="120"/>
    </w:pPr>
  </w:style>
  <w:style w:type="character" w:customStyle="1" w:styleId="BodyTextChar">
    <w:name w:val="Body Text Char"/>
    <w:basedOn w:val="DefaultParagraphFont"/>
    <w:link w:val="BodyText"/>
    <w:semiHidden/>
    <w:rsid w:val="001B15D8"/>
    <w:rPr>
      <w:rFonts w:ascii="Henderson BCG Serif" w:eastAsia="Times New Roman" w:hAnsi="Henderson BCG Serif" w:cs="Times New Roman"/>
      <w:szCs w:val="24"/>
      <w:lang w:val="de-DE" w:eastAsia="de-DE"/>
    </w:rPr>
  </w:style>
  <w:style w:type="paragraph" w:styleId="BodyText2">
    <w:name w:val="Body Text 2"/>
    <w:basedOn w:val="Normal"/>
    <w:link w:val="BodyText2Char"/>
    <w:semiHidden/>
    <w:rsid w:val="001B15D8"/>
    <w:pPr>
      <w:spacing w:after="120" w:line="480" w:lineRule="auto"/>
    </w:pPr>
  </w:style>
  <w:style w:type="character" w:customStyle="1" w:styleId="BodyText2Char">
    <w:name w:val="Body Text 2 Char"/>
    <w:basedOn w:val="DefaultParagraphFont"/>
    <w:link w:val="BodyText2"/>
    <w:semiHidden/>
    <w:rsid w:val="001B15D8"/>
    <w:rPr>
      <w:rFonts w:ascii="Henderson BCG Serif" w:eastAsia="Times New Roman" w:hAnsi="Henderson BCG Serif" w:cs="Times New Roman"/>
      <w:szCs w:val="24"/>
      <w:lang w:val="de-DE" w:eastAsia="de-DE"/>
    </w:rPr>
  </w:style>
  <w:style w:type="paragraph" w:styleId="BodyText3">
    <w:name w:val="Body Text 3"/>
    <w:basedOn w:val="Normal"/>
    <w:link w:val="BodyText3Char"/>
    <w:semiHidden/>
    <w:rsid w:val="001B15D8"/>
    <w:pPr>
      <w:spacing w:after="120"/>
    </w:pPr>
    <w:rPr>
      <w:sz w:val="16"/>
      <w:szCs w:val="16"/>
    </w:rPr>
  </w:style>
  <w:style w:type="character" w:customStyle="1" w:styleId="BodyText3Char">
    <w:name w:val="Body Text 3 Char"/>
    <w:basedOn w:val="DefaultParagraphFont"/>
    <w:link w:val="BodyText3"/>
    <w:semiHidden/>
    <w:rsid w:val="001B15D8"/>
    <w:rPr>
      <w:rFonts w:ascii="Henderson BCG Serif" w:eastAsia="Times New Roman" w:hAnsi="Henderson BCG Serif" w:cs="Times New Roman"/>
      <w:sz w:val="16"/>
      <w:szCs w:val="16"/>
      <w:lang w:val="de-DE" w:eastAsia="de-DE"/>
    </w:rPr>
  </w:style>
  <w:style w:type="paragraph" w:styleId="BodyTextFirstIndent">
    <w:name w:val="Body Text First Indent"/>
    <w:basedOn w:val="BodyText"/>
    <w:link w:val="BodyTextFirstIndentChar"/>
    <w:semiHidden/>
    <w:rsid w:val="001B15D8"/>
    <w:pPr>
      <w:ind w:firstLine="210"/>
    </w:pPr>
  </w:style>
  <w:style w:type="character" w:customStyle="1" w:styleId="BodyTextFirstIndentChar">
    <w:name w:val="Body Text First Indent Char"/>
    <w:basedOn w:val="BodyTextChar"/>
    <w:link w:val="BodyTextFirstIndent"/>
    <w:semiHidden/>
    <w:rsid w:val="001B15D8"/>
    <w:rPr>
      <w:rFonts w:ascii="Henderson BCG Serif" w:eastAsia="Times New Roman" w:hAnsi="Henderson BCG Serif" w:cs="Times New Roman"/>
      <w:szCs w:val="24"/>
      <w:lang w:val="de-DE" w:eastAsia="de-DE"/>
    </w:rPr>
  </w:style>
  <w:style w:type="paragraph" w:styleId="BodyTextIndent">
    <w:name w:val="Body Text Indent"/>
    <w:basedOn w:val="Normal"/>
    <w:link w:val="BodyTextIndentChar"/>
    <w:semiHidden/>
    <w:rsid w:val="001B15D8"/>
    <w:pPr>
      <w:spacing w:after="120"/>
      <w:ind w:left="360"/>
    </w:pPr>
  </w:style>
  <w:style w:type="character" w:customStyle="1" w:styleId="BodyTextIndentChar">
    <w:name w:val="Body Text Indent Char"/>
    <w:basedOn w:val="DefaultParagraphFont"/>
    <w:link w:val="BodyTextIndent"/>
    <w:semiHidden/>
    <w:rsid w:val="001B15D8"/>
    <w:rPr>
      <w:rFonts w:ascii="Henderson BCG Serif" w:eastAsia="Times New Roman" w:hAnsi="Henderson BCG Serif" w:cs="Times New Roman"/>
      <w:szCs w:val="24"/>
      <w:lang w:val="de-DE" w:eastAsia="de-DE"/>
    </w:rPr>
  </w:style>
  <w:style w:type="paragraph" w:styleId="BodyTextFirstIndent2">
    <w:name w:val="Body Text First Indent 2"/>
    <w:basedOn w:val="BodyTextIndent"/>
    <w:link w:val="BodyTextFirstIndent2Char"/>
    <w:semiHidden/>
    <w:rsid w:val="001B15D8"/>
    <w:pPr>
      <w:ind w:firstLine="210"/>
    </w:pPr>
  </w:style>
  <w:style w:type="character" w:customStyle="1" w:styleId="BodyTextFirstIndent2Char">
    <w:name w:val="Body Text First Indent 2 Char"/>
    <w:basedOn w:val="BodyTextIndentChar"/>
    <w:link w:val="BodyTextFirstIndent2"/>
    <w:semiHidden/>
    <w:rsid w:val="001B15D8"/>
    <w:rPr>
      <w:rFonts w:ascii="Henderson BCG Serif" w:eastAsia="Times New Roman" w:hAnsi="Henderson BCG Serif" w:cs="Times New Roman"/>
      <w:szCs w:val="24"/>
      <w:lang w:val="de-DE" w:eastAsia="de-DE"/>
    </w:rPr>
  </w:style>
  <w:style w:type="paragraph" w:styleId="BodyTextIndent2">
    <w:name w:val="Body Text Indent 2"/>
    <w:basedOn w:val="Normal"/>
    <w:link w:val="BodyTextIndent2Char"/>
    <w:semiHidden/>
    <w:rsid w:val="001B15D8"/>
    <w:pPr>
      <w:spacing w:after="120" w:line="480" w:lineRule="auto"/>
      <w:ind w:left="360"/>
    </w:pPr>
  </w:style>
  <w:style w:type="character" w:customStyle="1" w:styleId="BodyTextIndent2Char">
    <w:name w:val="Body Text Indent 2 Char"/>
    <w:basedOn w:val="DefaultParagraphFont"/>
    <w:link w:val="BodyTextIndent2"/>
    <w:semiHidden/>
    <w:rsid w:val="001B15D8"/>
    <w:rPr>
      <w:rFonts w:ascii="Henderson BCG Serif" w:eastAsia="Times New Roman" w:hAnsi="Henderson BCG Serif" w:cs="Times New Roman"/>
      <w:szCs w:val="24"/>
      <w:lang w:val="de-DE" w:eastAsia="de-DE"/>
    </w:rPr>
  </w:style>
  <w:style w:type="paragraph" w:styleId="BodyTextIndent3">
    <w:name w:val="Body Text Indent 3"/>
    <w:basedOn w:val="Normal"/>
    <w:link w:val="BodyTextIndent3Char"/>
    <w:semiHidden/>
    <w:rsid w:val="001B15D8"/>
    <w:pPr>
      <w:spacing w:after="120"/>
      <w:ind w:left="360"/>
    </w:pPr>
    <w:rPr>
      <w:sz w:val="16"/>
      <w:szCs w:val="16"/>
    </w:rPr>
  </w:style>
  <w:style w:type="character" w:customStyle="1" w:styleId="BodyTextIndent3Char">
    <w:name w:val="Body Text Indent 3 Char"/>
    <w:basedOn w:val="DefaultParagraphFont"/>
    <w:link w:val="BodyTextIndent3"/>
    <w:semiHidden/>
    <w:rsid w:val="001B15D8"/>
    <w:rPr>
      <w:rFonts w:ascii="Henderson BCG Serif" w:eastAsia="Times New Roman" w:hAnsi="Henderson BCG Serif" w:cs="Times New Roman"/>
      <w:sz w:val="16"/>
      <w:szCs w:val="16"/>
      <w:lang w:val="de-DE" w:eastAsia="de-DE"/>
    </w:rPr>
  </w:style>
  <w:style w:type="paragraph" w:styleId="Closing">
    <w:name w:val="Closing"/>
    <w:basedOn w:val="Normal"/>
    <w:link w:val="ClosingChar"/>
    <w:semiHidden/>
    <w:rsid w:val="001B15D8"/>
    <w:pPr>
      <w:ind w:left="4320"/>
    </w:pPr>
  </w:style>
  <w:style w:type="character" w:customStyle="1" w:styleId="ClosingChar">
    <w:name w:val="Closing Char"/>
    <w:basedOn w:val="DefaultParagraphFont"/>
    <w:link w:val="Closing"/>
    <w:semiHidden/>
    <w:rsid w:val="001B15D8"/>
    <w:rPr>
      <w:rFonts w:ascii="Henderson BCG Serif" w:eastAsia="Times New Roman" w:hAnsi="Henderson BCG Serif" w:cs="Times New Roman"/>
      <w:szCs w:val="24"/>
      <w:lang w:val="de-DE" w:eastAsia="de-DE"/>
    </w:rPr>
  </w:style>
  <w:style w:type="paragraph" w:styleId="Date">
    <w:name w:val="Date"/>
    <w:basedOn w:val="Normal"/>
    <w:next w:val="Normal"/>
    <w:link w:val="DateChar"/>
    <w:semiHidden/>
    <w:rsid w:val="001B15D8"/>
  </w:style>
  <w:style w:type="character" w:customStyle="1" w:styleId="DateChar">
    <w:name w:val="Date Char"/>
    <w:basedOn w:val="DefaultParagraphFont"/>
    <w:link w:val="Date"/>
    <w:semiHidden/>
    <w:rsid w:val="001B15D8"/>
    <w:rPr>
      <w:rFonts w:ascii="Henderson BCG Serif" w:eastAsia="Times New Roman" w:hAnsi="Henderson BCG Serif" w:cs="Times New Roman"/>
      <w:szCs w:val="24"/>
      <w:lang w:val="de-DE" w:eastAsia="de-DE"/>
    </w:rPr>
  </w:style>
  <w:style w:type="paragraph" w:styleId="E-mailSignature">
    <w:name w:val="E-mail Signature"/>
    <w:basedOn w:val="Normal"/>
    <w:link w:val="E-mailSignatureChar"/>
    <w:semiHidden/>
    <w:rsid w:val="001B15D8"/>
  </w:style>
  <w:style w:type="character" w:customStyle="1" w:styleId="E-mailSignatureChar">
    <w:name w:val="E-mail Signature Char"/>
    <w:basedOn w:val="DefaultParagraphFont"/>
    <w:link w:val="E-mailSignature"/>
    <w:semiHidden/>
    <w:rsid w:val="001B15D8"/>
    <w:rPr>
      <w:rFonts w:ascii="Henderson BCG Serif" w:eastAsia="Times New Roman" w:hAnsi="Henderson BCG Serif" w:cs="Times New Roman"/>
      <w:szCs w:val="24"/>
      <w:lang w:val="de-DE" w:eastAsia="de-DE"/>
    </w:rPr>
  </w:style>
  <w:style w:type="paragraph" w:styleId="EnvelopeAddress">
    <w:name w:val="envelope address"/>
    <w:basedOn w:val="Normal"/>
    <w:semiHidden/>
    <w:rsid w:val="001B15D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1B15D8"/>
    <w:rPr>
      <w:rFonts w:ascii="Arial" w:hAnsi="Arial" w:cs="Arial"/>
      <w:sz w:val="20"/>
      <w:szCs w:val="20"/>
    </w:rPr>
  </w:style>
  <w:style w:type="character" w:styleId="FollowedHyperlink">
    <w:name w:val="FollowedHyperlink"/>
    <w:basedOn w:val="DefaultParagraphFont"/>
    <w:semiHidden/>
    <w:rsid w:val="001B15D8"/>
    <w:rPr>
      <w:color w:val="800080"/>
      <w:u w:val="single"/>
    </w:rPr>
  </w:style>
  <w:style w:type="paragraph" w:styleId="Footer">
    <w:name w:val="footer"/>
    <w:basedOn w:val="Normal"/>
    <w:link w:val="FooterChar"/>
    <w:semiHidden/>
    <w:rsid w:val="001B15D8"/>
    <w:pPr>
      <w:tabs>
        <w:tab w:val="center" w:pos="4320"/>
        <w:tab w:val="right" w:pos="8640"/>
      </w:tabs>
    </w:pPr>
  </w:style>
  <w:style w:type="character" w:customStyle="1" w:styleId="FooterChar">
    <w:name w:val="Footer Char"/>
    <w:basedOn w:val="DefaultParagraphFont"/>
    <w:link w:val="Footer"/>
    <w:semiHidden/>
    <w:rsid w:val="001B15D8"/>
    <w:rPr>
      <w:rFonts w:ascii="Henderson BCG Serif" w:eastAsia="Times New Roman" w:hAnsi="Henderson BCG Serif" w:cs="Times New Roman"/>
      <w:szCs w:val="24"/>
      <w:lang w:val="de-DE" w:eastAsia="de-DE"/>
    </w:rPr>
  </w:style>
  <w:style w:type="paragraph" w:styleId="Header">
    <w:name w:val="header"/>
    <w:basedOn w:val="Normal"/>
    <w:link w:val="HeaderChar"/>
    <w:rsid w:val="001B15D8"/>
    <w:pPr>
      <w:tabs>
        <w:tab w:val="center" w:pos="4320"/>
        <w:tab w:val="right" w:pos="8640"/>
      </w:tabs>
    </w:pPr>
  </w:style>
  <w:style w:type="character" w:customStyle="1" w:styleId="HeaderChar">
    <w:name w:val="Header Char"/>
    <w:basedOn w:val="DefaultParagraphFont"/>
    <w:link w:val="Header"/>
    <w:semiHidden/>
    <w:rsid w:val="001B15D8"/>
    <w:rPr>
      <w:rFonts w:ascii="Henderson BCG Serif" w:eastAsia="Times New Roman" w:hAnsi="Henderson BCG Serif" w:cs="Times New Roman"/>
      <w:szCs w:val="24"/>
      <w:lang w:val="de-DE" w:eastAsia="de-DE"/>
    </w:rPr>
  </w:style>
  <w:style w:type="character" w:styleId="HTMLAcronym">
    <w:name w:val="HTML Acronym"/>
    <w:basedOn w:val="DefaultParagraphFont"/>
    <w:semiHidden/>
    <w:rsid w:val="001B15D8"/>
  </w:style>
  <w:style w:type="paragraph" w:styleId="HTMLAddress">
    <w:name w:val="HTML Address"/>
    <w:basedOn w:val="Normal"/>
    <w:link w:val="HTMLAddressChar"/>
    <w:semiHidden/>
    <w:rsid w:val="001B15D8"/>
    <w:rPr>
      <w:i/>
      <w:iCs/>
    </w:rPr>
  </w:style>
  <w:style w:type="character" w:customStyle="1" w:styleId="HTMLAddressChar">
    <w:name w:val="HTML Address Char"/>
    <w:basedOn w:val="DefaultParagraphFont"/>
    <w:link w:val="HTMLAddress"/>
    <w:semiHidden/>
    <w:rsid w:val="001B15D8"/>
    <w:rPr>
      <w:rFonts w:ascii="Henderson BCG Serif" w:eastAsia="Times New Roman" w:hAnsi="Henderson BCG Serif" w:cs="Times New Roman"/>
      <w:i/>
      <w:iCs/>
      <w:szCs w:val="24"/>
      <w:lang w:val="de-DE" w:eastAsia="de-DE"/>
    </w:rPr>
  </w:style>
  <w:style w:type="character" w:styleId="HTMLCite">
    <w:name w:val="HTML Cite"/>
    <w:basedOn w:val="DefaultParagraphFont"/>
    <w:semiHidden/>
    <w:rsid w:val="001B15D8"/>
    <w:rPr>
      <w:i/>
      <w:iCs/>
    </w:rPr>
  </w:style>
  <w:style w:type="character" w:styleId="HTMLCode">
    <w:name w:val="HTML Code"/>
    <w:basedOn w:val="DefaultParagraphFont"/>
    <w:semiHidden/>
    <w:rsid w:val="001B15D8"/>
    <w:rPr>
      <w:rFonts w:ascii="Courier New" w:hAnsi="Courier New" w:cs="Courier New"/>
      <w:sz w:val="20"/>
      <w:szCs w:val="20"/>
    </w:rPr>
  </w:style>
  <w:style w:type="character" w:styleId="HTMLDefinition">
    <w:name w:val="HTML Definition"/>
    <w:basedOn w:val="DefaultParagraphFont"/>
    <w:semiHidden/>
    <w:rsid w:val="001B15D8"/>
    <w:rPr>
      <w:i/>
      <w:iCs/>
    </w:rPr>
  </w:style>
  <w:style w:type="character" w:styleId="HTMLKeyboard">
    <w:name w:val="HTML Keyboard"/>
    <w:basedOn w:val="DefaultParagraphFont"/>
    <w:semiHidden/>
    <w:rsid w:val="001B15D8"/>
    <w:rPr>
      <w:rFonts w:ascii="Courier New" w:hAnsi="Courier New" w:cs="Courier New"/>
      <w:sz w:val="20"/>
      <w:szCs w:val="20"/>
    </w:rPr>
  </w:style>
  <w:style w:type="paragraph" w:styleId="HTMLPreformatted">
    <w:name w:val="HTML Preformatted"/>
    <w:basedOn w:val="Normal"/>
    <w:link w:val="HTMLPreformattedChar"/>
    <w:semiHidden/>
    <w:rsid w:val="001B15D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1B15D8"/>
    <w:rPr>
      <w:rFonts w:ascii="Courier New" w:eastAsia="Times New Roman" w:hAnsi="Courier New" w:cs="Courier New"/>
      <w:sz w:val="20"/>
      <w:szCs w:val="20"/>
      <w:lang w:val="de-DE" w:eastAsia="de-DE"/>
    </w:rPr>
  </w:style>
  <w:style w:type="character" w:styleId="HTMLSample">
    <w:name w:val="HTML Sample"/>
    <w:basedOn w:val="DefaultParagraphFont"/>
    <w:semiHidden/>
    <w:rsid w:val="001B15D8"/>
    <w:rPr>
      <w:rFonts w:ascii="Courier New" w:hAnsi="Courier New" w:cs="Courier New"/>
    </w:rPr>
  </w:style>
  <w:style w:type="character" w:styleId="HTMLTypewriter">
    <w:name w:val="HTML Typewriter"/>
    <w:basedOn w:val="DefaultParagraphFont"/>
    <w:semiHidden/>
    <w:rsid w:val="001B15D8"/>
    <w:rPr>
      <w:rFonts w:ascii="Courier New" w:hAnsi="Courier New" w:cs="Courier New"/>
      <w:sz w:val="20"/>
      <w:szCs w:val="20"/>
    </w:rPr>
  </w:style>
  <w:style w:type="character" w:styleId="HTMLVariable">
    <w:name w:val="HTML Variable"/>
    <w:basedOn w:val="DefaultParagraphFont"/>
    <w:semiHidden/>
    <w:rsid w:val="001B15D8"/>
    <w:rPr>
      <w:i/>
      <w:iCs/>
    </w:rPr>
  </w:style>
  <w:style w:type="character" w:styleId="Hyperlink">
    <w:name w:val="Hyperlink"/>
    <w:basedOn w:val="DefaultParagraphFont"/>
    <w:semiHidden/>
    <w:rsid w:val="001B15D8"/>
    <w:rPr>
      <w:color w:val="0000FF"/>
      <w:u w:val="single"/>
    </w:rPr>
  </w:style>
  <w:style w:type="character" w:styleId="LineNumber">
    <w:name w:val="line number"/>
    <w:basedOn w:val="DefaultParagraphFont"/>
    <w:semiHidden/>
    <w:rsid w:val="001B15D8"/>
  </w:style>
  <w:style w:type="paragraph" w:styleId="List">
    <w:name w:val="List"/>
    <w:basedOn w:val="Normal"/>
    <w:semiHidden/>
    <w:rsid w:val="001B15D8"/>
    <w:pPr>
      <w:ind w:left="360" w:hanging="360"/>
    </w:pPr>
  </w:style>
  <w:style w:type="paragraph" w:styleId="List2">
    <w:name w:val="List 2"/>
    <w:basedOn w:val="Normal"/>
    <w:semiHidden/>
    <w:rsid w:val="001B15D8"/>
    <w:pPr>
      <w:ind w:left="720" w:hanging="360"/>
    </w:pPr>
  </w:style>
  <w:style w:type="paragraph" w:styleId="List3">
    <w:name w:val="List 3"/>
    <w:basedOn w:val="Normal"/>
    <w:semiHidden/>
    <w:rsid w:val="001B15D8"/>
    <w:pPr>
      <w:ind w:left="1080" w:hanging="360"/>
    </w:pPr>
  </w:style>
  <w:style w:type="paragraph" w:styleId="List4">
    <w:name w:val="List 4"/>
    <w:basedOn w:val="Normal"/>
    <w:semiHidden/>
    <w:rsid w:val="001B15D8"/>
    <w:pPr>
      <w:ind w:left="1440" w:hanging="360"/>
    </w:pPr>
  </w:style>
  <w:style w:type="paragraph" w:styleId="List5">
    <w:name w:val="List 5"/>
    <w:basedOn w:val="Normal"/>
    <w:semiHidden/>
    <w:rsid w:val="001B15D8"/>
    <w:pPr>
      <w:ind w:left="1800" w:hanging="360"/>
    </w:pPr>
  </w:style>
  <w:style w:type="paragraph" w:styleId="ListBullet">
    <w:name w:val="List Bullet"/>
    <w:basedOn w:val="Normal"/>
    <w:semiHidden/>
    <w:rsid w:val="001B15D8"/>
    <w:pPr>
      <w:numPr>
        <w:numId w:val="8"/>
      </w:numPr>
    </w:pPr>
  </w:style>
  <w:style w:type="paragraph" w:styleId="ListBullet2">
    <w:name w:val="List Bullet 2"/>
    <w:basedOn w:val="Normal"/>
    <w:semiHidden/>
    <w:rsid w:val="001B15D8"/>
    <w:pPr>
      <w:numPr>
        <w:numId w:val="9"/>
      </w:numPr>
    </w:pPr>
  </w:style>
  <w:style w:type="paragraph" w:styleId="ListBullet3">
    <w:name w:val="List Bullet 3"/>
    <w:basedOn w:val="Normal"/>
    <w:semiHidden/>
    <w:rsid w:val="001B15D8"/>
    <w:pPr>
      <w:numPr>
        <w:numId w:val="10"/>
      </w:numPr>
    </w:pPr>
  </w:style>
  <w:style w:type="paragraph" w:styleId="ListBullet4">
    <w:name w:val="List Bullet 4"/>
    <w:basedOn w:val="Normal"/>
    <w:semiHidden/>
    <w:rsid w:val="001B15D8"/>
    <w:pPr>
      <w:numPr>
        <w:numId w:val="11"/>
      </w:numPr>
    </w:pPr>
  </w:style>
  <w:style w:type="paragraph" w:styleId="ListBullet5">
    <w:name w:val="List Bullet 5"/>
    <w:basedOn w:val="Normal"/>
    <w:semiHidden/>
    <w:rsid w:val="001B15D8"/>
    <w:pPr>
      <w:numPr>
        <w:numId w:val="12"/>
      </w:numPr>
    </w:pPr>
  </w:style>
  <w:style w:type="paragraph" w:styleId="ListContinue">
    <w:name w:val="List Continue"/>
    <w:basedOn w:val="Normal"/>
    <w:semiHidden/>
    <w:rsid w:val="001B15D8"/>
    <w:pPr>
      <w:spacing w:after="120"/>
      <w:ind w:left="360"/>
    </w:pPr>
  </w:style>
  <w:style w:type="paragraph" w:styleId="ListContinue2">
    <w:name w:val="List Continue 2"/>
    <w:basedOn w:val="Normal"/>
    <w:semiHidden/>
    <w:rsid w:val="001B15D8"/>
    <w:pPr>
      <w:spacing w:after="120"/>
      <w:ind w:left="720"/>
    </w:pPr>
  </w:style>
  <w:style w:type="paragraph" w:styleId="ListContinue3">
    <w:name w:val="List Continue 3"/>
    <w:basedOn w:val="Normal"/>
    <w:semiHidden/>
    <w:rsid w:val="001B15D8"/>
    <w:pPr>
      <w:spacing w:after="120"/>
      <w:ind w:left="1080"/>
    </w:pPr>
  </w:style>
  <w:style w:type="paragraph" w:styleId="ListContinue4">
    <w:name w:val="List Continue 4"/>
    <w:basedOn w:val="Normal"/>
    <w:semiHidden/>
    <w:rsid w:val="001B15D8"/>
    <w:pPr>
      <w:spacing w:after="120"/>
      <w:ind w:left="1440"/>
    </w:pPr>
  </w:style>
  <w:style w:type="paragraph" w:styleId="ListContinue5">
    <w:name w:val="List Continue 5"/>
    <w:basedOn w:val="Normal"/>
    <w:semiHidden/>
    <w:rsid w:val="001B15D8"/>
    <w:pPr>
      <w:spacing w:after="120"/>
      <w:ind w:left="1800"/>
    </w:pPr>
  </w:style>
  <w:style w:type="paragraph" w:styleId="ListNumber">
    <w:name w:val="List Number"/>
    <w:basedOn w:val="Normal"/>
    <w:semiHidden/>
    <w:rsid w:val="001B15D8"/>
    <w:pPr>
      <w:numPr>
        <w:numId w:val="13"/>
      </w:numPr>
    </w:pPr>
  </w:style>
  <w:style w:type="paragraph" w:styleId="ListNumber2">
    <w:name w:val="List Number 2"/>
    <w:basedOn w:val="Normal"/>
    <w:semiHidden/>
    <w:rsid w:val="001B15D8"/>
    <w:pPr>
      <w:numPr>
        <w:numId w:val="14"/>
      </w:numPr>
    </w:pPr>
  </w:style>
  <w:style w:type="paragraph" w:styleId="ListNumber3">
    <w:name w:val="List Number 3"/>
    <w:basedOn w:val="Normal"/>
    <w:semiHidden/>
    <w:rsid w:val="001B15D8"/>
    <w:pPr>
      <w:numPr>
        <w:numId w:val="15"/>
      </w:numPr>
    </w:pPr>
  </w:style>
  <w:style w:type="paragraph" w:styleId="ListNumber4">
    <w:name w:val="List Number 4"/>
    <w:basedOn w:val="Normal"/>
    <w:semiHidden/>
    <w:rsid w:val="001B15D8"/>
    <w:pPr>
      <w:numPr>
        <w:numId w:val="16"/>
      </w:numPr>
    </w:pPr>
  </w:style>
  <w:style w:type="paragraph" w:styleId="ListNumber5">
    <w:name w:val="List Number 5"/>
    <w:basedOn w:val="Normal"/>
    <w:semiHidden/>
    <w:rsid w:val="001B15D8"/>
    <w:pPr>
      <w:numPr>
        <w:numId w:val="17"/>
      </w:numPr>
    </w:pPr>
  </w:style>
  <w:style w:type="paragraph" w:styleId="MessageHeader">
    <w:name w:val="Message Header"/>
    <w:basedOn w:val="Normal"/>
    <w:link w:val="MessageHeaderChar"/>
    <w:semiHidden/>
    <w:rsid w:val="001B15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1B15D8"/>
    <w:rPr>
      <w:rFonts w:ascii="Arial" w:eastAsia="Times New Roman" w:hAnsi="Arial" w:cs="Arial"/>
      <w:sz w:val="24"/>
      <w:szCs w:val="24"/>
      <w:shd w:val="pct20" w:color="auto" w:fill="auto"/>
      <w:lang w:val="de-DE" w:eastAsia="de-DE"/>
    </w:rPr>
  </w:style>
  <w:style w:type="paragraph" w:styleId="NormalWeb">
    <w:name w:val="Normal (Web)"/>
    <w:basedOn w:val="Normal"/>
    <w:uiPriority w:val="99"/>
    <w:rsid w:val="001B15D8"/>
    <w:rPr>
      <w:rFonts w:ascii="Times New Roman" w:hAnsi="Times New Roman"/>
      <w:sz w:val="24"/>
    </w:rPr>
  </w:style>
  <w:style w:type="paragraph" w:styleId="NormalIndent">
    <w:name w:val="Normal Indent"/>
    <w:basedOn w:val="Normal"/>
    <w:semiHidden/>
    <w:rsid w:val="001B15D8"/>
    <w:pPr>
      <w:ind w:left="720"/>
    </w:pPr>
  </w:style>
  <w:style w:type="paragraph" w:styleId="NoteHeading">
    <w:name w:val="Note Heading"/>
    <w:basedOn w:val="Normal"/>
    <w:next w:val="Normal"/>
    <w:link w:val="NoteHeadingChar"/>
    <w:semiHidden/>
    <w:rsid w:val="001B15D8"/>
  </w:style>
  <w:style w:type="character" w:customStyle="1" w:styleId="NoteHeadingChar">
    <w:name w:val="Note Heading Char"/>
    <w:basedOn w:val="DefaultParagraphFont"/>
    <w:link w:val="NoteHeading"/>
    <w:semiHidden/>
    <w:rsid w:val="001B15D8"/>
    <w:rPr>
      <w:rFonts w:ascii="Henderson BCG Serif" w:eastAsia="Times New Roman" w:hAnsi="Henderson BCG Serif" w:cs="Times New Roman"/>
      <w:szCs w:val="24"/>
      <w:lang w:val="de-DE" w:eastAsia="de-DE"/>
    </w:rPr>
  </w:style>
  <w:style w:type="character" w:styleId="PageNumber">
    <w:name w:val="page number"/>
    <w:basedOn w:val="DefaultParagraphFont"/>
    <w:semiHidden/>
    <w:rsid w:val="001B15D8"/>
  </w:style>
  <w:style w:type="paragraph" w:styleId="PlainText">
    <w:name w:val="Plain Text"/>
    <w:basedOn w:val="Normal"/>
    <w:link w:val="PlainTextChar"/>
    <w:semiHidden/>
    <w:rsid w:val="001B15D8"/>
    <w:rPr>
      <w:rFonts w:ascii="Courier New" w:hAnsi="Courier New" w:cs="Courier New"/>
      <w:sz w:val="20"/>
      <w:szCs w:val="20"/>
    </w:rPr>
  </w:style>
  <w:style w:type="character" w:customStyle="1" w:styleId="PlainTextChar">
    <w:name w:val="Plain Text Char"/>
    <w:basedOn w:val="DefaultParagraphFont"/>
    <w:link w:val="PlainText"/>
    <w:semiHidden/>
    <w:rsid w:val="001B15D8"/>
    <w:rPr>
      <w:rFonts w:ascii="Courier New" w:eastAsia="Times New Roman" w:hAnsi="Courier New" w:cs="Courier New"/>
      <w:sz w:val="20"/>
      <w:szCs w:val="20"/>
      <w:lang w:val="de-DE" w:eastAsia="de-DE"/>
    </w:rPr>
  </w:style>
  <w:style w:type="paragraph" w:styleId="Salutation">
    <w:name w:val="Salutation"/>
    <w:basedOn w:val="Normal"/>
    <w:next w:val="Normal"/>
    <w:link w:val="SalutationChar"/>
    <w:semiHidden/>
    <w:rsid w:val="001B15D8"/>
  </w:style>
  <w:style w:type="character" w:customStyle="1" w:styleId="SalutationChar">
    <w:name w:val="Salutation Char"/>
    <w:basedOn w:val="DefaultParagraphFont"/>
    <w:link w:val="Salutation"/>
    <w:semiHidden/>
    <w:rsid w:val="001B15D8"/>
    <w:rPr>
      <w:rFonts w:ascii="Henderson BCG Serif" w:eastAsia="Times New Roman" w:hAnsi="Henderson BCG Serif" w:cs="Times New Roman"/>
      <w:szCs w:val="24"/>
      <w:lang w:val="de-DE" w:eastAsia="de-DE"/>
    </w:rPr>
  </w:style>
  <w:style w:type="paragraph" w:styleId="Signature">
    <w:name w:val="Signature"/>
    <w:basedOn w:val="Normal"/>
    <w:link w:val="SignatureChar"/>
    <w:semiHidden/>
    <w:rsid w:val="001B15D8"/>
    <w:pPr>
      <w:ind w:left="4320"/>
    </w:pPr>
  </w:style>
  <w:style w:type="character" w:customStyle="1" w:styleId="SignatureChar">
    <w:name w:val="Signature Char"/>
    <w:basedOn w:val="DefaultParagraphFont"/>
    <w:link w:val="Signature"/>
    <w:semiHidden/>
    <w:rsid w:val="001B15D8"/>
    <w:rPr>
      <w:rFonts w:ascii="Henderson BCG Serif" w:eastAsia="Times New Roman" w:hAnsi="Henderson BCG Serif" w:cs="Times New Roman"/>
      <w:szCs w:val="24"/>
      <w:lang w:val="de-DE" w:eastAsia="de-DE"/>
    </w:rPr>
  </w:style>
  <w:style w:type="table" w:styleId="Table3Deffects1">
    <w:name w:val="Table 3D effects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15D8"/>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15D8"/>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15D8"/>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15D8"/>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1B15D8"/>
    <w:pPr>
      <w:numPr>
        <w:numId w:val="27"/>
      </w:numPr>
      <w:spacing w:before="60" w:after="60"/>
    </w:pPr>
  </w:style>
  <w:style w:type="paragraph" w:customStyle="1" w:styleId="Bullet2">
    <w:name w:val="Bullet 2"/>
    <w:basedOn w:val="Normal"/>
    <w:qFormat/>
    <w:rsid w:val="001B15D8"/>
    <w:pPr>
      <w:numPr>
        <w:numId w:val="28"/>
      </w:numPr>
      <w:spacing w:before="60" w:after="60"/>
    </w:pPr>
  </w:style>
  <w:style w:type="paragraph" w:customStyle="1" w:styleId="Bullet3">
    <w:name w:val="Bullet 3"/>
    <w:basedOn w:val="Normal"/>
    <w:qFormat/>
    <w:rsid w:val="001B15D8"/>
    <w:pPr>
      <w:numPr>
        <w:numId w:val="29"/>
      </w:numPr>
      <w:spacing w:before="60" w:after="60"/>
    </w:pPr>
  </w:style>
  <w:style w:type="paragraph" w:styleId="Bibliography">
    <w:name w:val="Bibliography"/>
    <w:basedOn w:val="Normal"/>
    <w:next w:val="Normal"/>
    <w:uiPriority w:val="37"/>
    <w:semiHidden/>
    <w:unhideWhenUsed/>
    <w:rsid w:val="001B15D8"/>
  </w:style>
  <w:style w:type="paragraph" w:styleId="Caption">
    <w:name w:val="caption"/>
    <w:basedOn w:val="Normal"/>
    <w:next w:val="Normal"/>
    <w:uiPriority w:val="35"/>
    <w:semiHidden/>
    <w:unhideWhenUsed/>
    <w:rsid w:val="001B15D8"/>
    <w:pPr>
      <w:spacing w:after="200"/>
    </w:pPr>
    <w:rPr>
      <w:b/>
      <w:bCs/>
      <w:color w:val="5B9BD5" w:themeColor="accent1"/>
      <w:sz w:val="18"/>
      <w:szCs w:val="18"/>
    </w:rPr>
  </w:style>
  <w:style w:type="table" w:styleId="ColorfulGrid">
    <w:name w:val="Colorful Grid"/>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B15D8"/>
    <w:rPr>
      <w:sz w:val="16"/>
      <w:szCs w:val="16"/>
    </w:rPr>
  </w:style>
  <w:style w:type="paragraph" w:styleId="CommentText">
    <w:name w:val="annotation text"/>
    <w:basedOn w:val="Normal"/>
    <w:link w:val="CommentTextChar"/>
    <w:uiPriority w:val="99"/>
    <w:semiHidden/>
    <w:unhideWhenUsed/>
    <w:rsid w:val="001B15D8"/>
    <w:rPr>
      <w:sz w:val="20"/>
      <w:szCs w:val="20"/>
    </w:rPr>
  </w:style>
  <w:style w:type="character" w:customStyle="1" w:styleId="CommentTextChar">
    <w:name w:val="Comment Text Char"/>
    <w:basedOn w:val="DefaultParagraphFont"/>
    <w:link w:val="CommentText"/>
    <w:uiPriority w:val="99"/>
    <w:semiHidden/>
    <w:rsid w:val="001B15D8"/>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B15D8"/>
    <w:rPr>
      <w:b/>
      <w:bCs/>
    </w:rPr>
  </w:style>
  <w:style w:type="character" w:customStyle="1" w:styleId="CommentSubjectChar">
    <w:name w:val="Comment Subject Char"/>
    <w:basedOn w:val="CommentTextChar"/>
    <w:link w:val="CommentSubject"/>
    <w:uiPriority w:val="99"/>
    <w:semiHidden/>
    <w:rsid w:val="001B15D8"/>
    <w:rPr>
      <w:rFonts w:ascii="Henderson BCG Serif" w:eastAsia="Times New Roman" w:hAnsi="Henderson BCG Serif" w:cs="Times New Roman"/>
      <w:b/>
      <w:bCs/>
      <w:sz w:val="20"/>
      <w:szCs w:val="20"/>
      <w:lang w:val="de-DE" w:eastAsia="de-DE"/>
    </w:rPr>
  </w:style>
  <w:style w:type="table" w:styleId="DarkList">
    <w:name w:val="Dark List"/>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B15D8"/>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1B15D8"/>
    <w:rPr>
      <w:rFonts w:ascii="Tahoma" w:hAnsi="Tahoma" w:cs="Tahoma"/>
      <w:sz w:val="16"/>
      <w:szCs w:val="16"/>
    </w:rPr>
  </w:style>
  <w:style w:type="character" w:customStyle="1" w:styleId="DocumentMapChar">
    <w:name w:val="Document Map Char"/>
    <w:basedOn w:val="DefaultParagraphFont"/>
    <w:link w:val="DocumentMap"/>
    <w:uiPriority w:val="99"/>
    <w:semiHidden/>
    <w:rsid w:val="001B15D8"/>
    <w:rPr>
      <w:rFonts w:ascii="Tahoma" w:eastAsia="Times New Roman" w:hAnsi="Tahoma" w:cs="Tahoma"/>
      <w:sz w:val="16"/>
      <w:szCs w:val="16"/>
      <w:lang w:val="de-DE" w:eastAsia="de-DE"/>
    </w:rPr>
  </w:style>
  <w:style w:type="character" w:styleId="EndnoteReference">
    <w:name w:val="endnote reference"/>
    <w:basedOn w:val="DefaultParagraphFont"/>
    <w:uiPriority w:val="99"/>
    <w:semiHidden/>
    <w:unhideWhenUsed/>
    <w:rsid w:val="001B15D8"/>
    <w:rPr>
      <w:vertAlign w:val="superscript"/>
    </w:rPr>
  </w:style>
  <w:style w:type="paragraph" w:styleId="EndnoteText">
    <w:name w:val="endnote text"/>
    <w:basedOn w:val="Normal"/>
    <w:link w:val="EndnoteTextChar"/>
    <w:uiPriority w:val="99"/>
    <w:semiHidden/>
    <w:unhideWhenUsed/>
    <w:rsid w:val="001B15D8"/>
    <w:rPr>
      <w:sz w:val="20"/>
      <w:szCs w:val="20"/>
    </w:rPr>
  </w:style>
  <w:style w:type="character" w:customStyle="1" w:styleId="EndnoteTextChar">
    <w:name w:val="Endnote Text Char"/>
    <w:basedOn w:val="DefaultParagraphFont"/>
    <w:link w:val="EndnoteText"/>
    <w:uiPriority w:val="99"/>
    <w:semiHidden/>
    <w:rsid w:val="001B15D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1B15D8"/>
    <w:rPr>
      <w:vertAlign w:val="superscript"/>
    </w:rPr>
  </w:style>
  <w:style w:type="paragraph" w:styleId="FootnoteText">
    <w:name w:val="footnote text"/>
    <w:basedOn w:val="Normal"/>
    <w:link w:val="FootnoteTextChar"/>
    <w:uiPriority w:val="99"/>
    <w:semiHidden/>
    <w:unhideWhenUsed/>
    <w:rsid w:val="001B15D8"/>
    <w:rPr>
      <w:sz w:val="20"/>
      <w:szCs w:val="20"/>
    </w:rPr>
  </w:style>
  <w:style w:type="character" w:customStyle="1" w:styleId="FootnoteTextChar">
    <w:name w:val="Footnote Text Char"/>
    <w:basedOn w:val="DefaultParagraphFont"/>
    <w:link w:val="FootnoteText"/>
    <w:uiPriority w:val="99"/>
    <w:semiHidden/>
    <w:rsid w:val="001B15D8"/>
    <w:rPr>
      <w:rFonts w:ascii="Henderson BCG Serif" w:eastAsia="Times New Roman" w:hAnsi="Henderson BCG Serif" w:cs="Times New Roman"/>
      <w:sz w:val="20"/>
      <w:szCs w:val="20"/>
      <w:lang w:val="de-DE" w:eastAsia="de-DE"/>
    </w:rPr>
  </w:style>
  <w:style w:type="paragraph" w:styleId="Index1">
    <w:name w:val="index 1"/>
    <w:basedOn w:val="Normal"/>
    <w:next w:val="Normal"/>
    <w:autoRedefine/>
    <w:uiPriority w:val="99"/>
    <w:semiHidden/>
    <w:unhideWhenUsed/>
    <w:rsid w:val="001B15D8"/>
    <w:pPr>
      <w:ind w:left="220" w:hanging="220"/>
    </w:pPr>
  </w:style>
  <w:style w:type="paragraph" w:styleId="Index2">
    <w:name w:val="index 2"/>
    <w:basedOn w:val="Normal"/>
    <w:next w:val="Normal"/>
    <w:autoRedefine/>
    <w:uiPriority w:val="99"/>
    <w:semiHidden/>
    <w:unhideWhenUsed/>
    <w:rsid w:val="001B15D8"/>
    <w:pPr>
      <w:ind w:left="440" w:hanging="220"/>
    </w:pPr>
  </w:style>
  <w:style w:type="paragraph" w:styleId="Index3">
    <w:name w:val="index 3"/>
    <w:basedOn w:val="Normal"/>
    <w:next w:val="Normal"/>
    <w:autoRedefine/>
    <w:uiPriority w:val="99"/>
    <w:semiHidden/>
    <w:unhideWhenUsed/>
    <w:rsid w:val="001B15D8"/>
    <w:pPr>
      <w:ind w:left="660" w:hanging="220"/>
    </w:pPr>
  </w:style>
  <w:style w:type="paragraph" w:styleId="Index4">
    <w:name w:val="index 4"/>
    <w:basedOn w:val="Normal"/>
    <w:next w:val="Normal"/>
    <w:autoRedefine/>
    <w:uiPriority w:val="99"/>
    <w:semiHidden/>
    <w:unhideWhenUsed/>
    <w:rsid w:val="001B15D8"/>
    <w:pPr>
      <w:ind w:left="880" w:hanging="220"/>
    </w:pPr>
  </w:style>
  <w:style w:type="paragraph" w:styleId="Index5">
    <w:name w:val="index 5"/>
    <w:basedOn w:val="Normal"/>
    <w:next w:val="Normal"/>
    <w:autoRedefine/>
    <w:uiPriority w:val="99"/>
    <w:semiHidden/>
    <w:unhideWhenUsed/>
    <w:rsid w:val="001B15D8"/>
    <w:pPr>
      <w:ind w:left="1100" w:hanging="220"/>
    </w:pPr>
  </w:style>
  <w:style w:type="paragraph" w:styleId="Index6">
    <w:name w:val="index 6"/>
    <w:basedOn w:val="Normal"/>
    <w:next w:val="Normal"/>
    <w:autoRedefine/>
    <w:uiPriority w:val="99"/>
    <w:semiHidden/>
    <w:unhideWhenUsed/>
    <w:rsid w:val="001B15D8"/>
    <w:pPr>
      <w:ind w:left="1320" w:hanging="220"/>
    </w:pPr>
  </w:style>
  <w:style w:type="paragraph" w:styleId="Index7">
    <w:name w:val="index 7"/>
    <w:basedOn w:val="Normal"/>
    <w:next w:val="Normal"/>
    <w:autoRedefine/>
    <w:uiPriority w:val="99"/>
    <w:semiHidden/>
    <w:unhideWhenUsed/>
    <w:rsid w:val="001B15D8"/>
    <w:pPr>
      <w:ind w:left="1540" w:hanging="220"/>
    </w:pPr>
  </w:style>
  <w:style w:type="paragraph" w:styleId="Index8">
    <w:name w:val="index 8"/>
    <w:basedOn w:val="Normal"/>
    <w:next w:val="Normal"/>
    <w:autoRedefine/>
    <w:uiPriority w:val="99"/>
    <w:semiHidden/>
    <w:unhideWhenUsed/>
    <w:rsid w:val="001B15D8"/>
    <w:pPr>
      <w:ind w:left="1760" w:hanging="220"/>
    </w:pPr>
  </w:style>
  <w:style w:type="paragraph" w:styleId="Index9">
    <w:name w:val="index 9"/>
    <w:basedOn w:val="Normal"/>
    <w:next w:val="Normal"/>
    <w:autoRedefine/>
    <w:uiPriority w:val="99"/>
    <w:semiHidden/>
    <w:unhideWhenUsed/>
    <w:rsid w:val="001B15D8"/>
    <w:pPr>
      <w:ind w:left="1980" w:hanging="220"/>
    </w:pPr>
  </w:style>
  <w:style w:type="paragraph" w:styleId="IndexHeading">
    <w:name w:val="index heading"/>
    <w:basedOn w:val="Normal"/>
    <w:next w:val="Index1"/>
    <w:uiPriority w:val="99"/>
    <w:semiHidden/>
    <w:unhideWhenUsed/>
    <w:rsid w:val="001B15D8"/>
    <w:rPr>
      <w:rFonts w:asciiTheme="majorHAnsi" w:eastAsiaTheme="majorEastAsia" w:hAnsiTheme="majorHAnsi" w:cstheme="majorBidi"/>
      <w:b/>
      <w:bCs/>
    </w:rPr>
  </w:style>
  <w:style w:type="table" w:styleId="LightGrid">
    <w:name w:val="Light Grid"/>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B15D8"/>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15D8"/>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B15D8"/>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B15D8"/>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B15D8"/>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B15D8"/>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B15D8"/>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1B15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1B15D8"/>
    <w:rPr>
      <w:rFonts w:ascii="Consolas" w:eastAsia="Times New Roman" w:hAnsi="Consolas" w:cs="Times New Roman"/>
      <w:sz w:val="20"/>
      <w:szCs w:val="20"/>
      <w:lang w:val="de-DE" w:eastAsia="de-DE"/>
    </w:rPr>
  </w:style>
  <w:style w:type="table" w:styleId="MediumGrid1">
    <w:name w:val="Medium Grid 1"/>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B15D8"/>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B15D8"/>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B15D8"/>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B15D8"/>
    <w:rPr>
      <w:color w:val="808080"/>
    </w:rPr>
  </w:style>
  <w:style w:type="paragraph" w:styleId="TableofAuthorities">
    <w:name w:val="table of authorities"/>
    <w:basedOn w:val="Normal"/>
    <w:next w:val="Normal"/>
    <w:uiPriority w:val="99"/>
    <w:semiHidden/>
    <w:unhideWhenUsed/>
    <w:rsid w:val="001B15D8"/>
    <w:pPr>
      <w:ind w:left="220" w:hanging="220"/>
    </w:pPr>
  </w:style>
  <w:style w:type="paragraph" w:styleId="TableofFigures">
    <w:name w:val="table of figures"/>
    <w:basedOn w:val="Normal"/>
    <w:next w:val="Normal"/>
    <w:uiPriority w:val="99"/>
    <w:semiHidden/>
    <w:unhideWhenUsed/>
    <w:rsid w:val="001B15D8"/>
  </w:style>
  <w:style w:type="paragraph" w:styleId="TOAHeading">
    <w:name w:val="toa heading"/>
    <w:basedOn w:val="Normal"/>
    <w:next w:val="Normal"/>
    <w:uiPriority w:val="99"/>
    <w:semiHidden/>
    <w:unhideWhenUsed/>
    <w:rsid w:val="001B15D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1B15D8"/>
    <w:pPr>
      <w:spacing w:after="100"/>
    </w:pPr>
  </w:style>
  <w:style w:type="paragraph" w:styleId="TOC2">
    <w:name w:val="toc 2"/>
    <w:basedOn w:val="Normal"/>
    <w:next w:val="Normal"/>
    <w:autoRedefine/>
    <w:uiPriority w:val="39"/>
    <w:semiHidden/>
    <w:unhideWhenUsed/>
    <w:rsid w:val="001B15D8"/>
    <w:pPr>
      <w:spacing w:after="100"/>
      <w:ind w:left="220"/>
    </w:pPr>
  </w:style>
  <w:style w:type="paragraph" w:styleId="TOC3">
    <w:name w:val="toc 3"/>
    <w:basedOn w:val="Normal"/>
    <w:next w:val="Normal"/>
    <w:autoRedefine/>
    <w:uiPriority w:val="39"/>
    <w:semiHidden/>
    <w:unhideWhenUsed/>
    <w:rsid w:val="001B15D8"/>
    <w:pPr>
      <w:spacing w:after="100"/>
      <w:ind w:left="440"/>
    </w:pPr>
  </w:style>
  <w:style w:type="paragraph" w:styleId="TOC4">
    <w:name w:val="toc 4"/>
    <w:basedOn w:val="Normal"/>
    <w:next w:val="Normal"/>
    <w:autoRedefine/>
    <w:uiPriority w:val="39"/>
    <w:semiHidden/>
    <w:unhideWhenUsed/>
    <w:rsid w:val="001B15D8"/>
    <w:pPr>
      <w:spacing w:after="100"/>
      <w:ind w:left="660"/>
    </w:pPr>
  </w:style>
  <w:style w:type="paragraph" w:styleId="TOC5">
    <w:name w:val="toc 5"/>
    <w:basedOn w:val="Normal"/>
    <w:next w:val="Normal"/>
    <w:autoRedefine/>
    <w:uiPriority w:val="39"/>
    <w:semiHidden/>
    <w:unhideWhenUsed/>
    <w:rsid w:val="001B15D8"/>
    <w:pPr>
      <w:spacing w:after="100"/>
      <w:ind w:left="880"/>
    </w:pPr>
  </w:style>
  <w:style w:type="paragraph" w:styleId="TOC6">
    <w:name w:val="toc 6"/>
    <w:basedOn w:val="Normal"/>
    <w:next w:val="Normal"/>
    <w:autoRedefine/>
    <w:uiPriority w:val="39"/>
    <w:semiHidden/>
    <w:unhideWhenUsed/>
    <w:rsid w:val="001B15D8"/>
    <w:pPr>
      <w:spacing w:after="100"/>
      <w:ind w:left="1100"/>
    </w:pPr>
  </w:style>
  <w:style w:type="paragraph" w:styleId="TOC7">
    <w:name w:val="toc 7"/>
    <w:basedOn w:val="Normal"/>
    <w:next w:val="Normal"/>
    <w:autoRedefine/>
    <w:uiPriority w:val="39"/>
    <w:semiHidden/>
    <w:unhideWhenUsed/>
    <w:rsid w:val="001B15D8"/>
    <w:pPr>
      <w:spacing w:after="100"/>
      <w:ind w:left="1320"/>
    </w:pPr>
  </w:style>
  <w:style w:type="paragraph" w:styleId="TOC8">
    <w:name w:val="toc 8"/>
    <w:basedOn w:val="Normal"/>
    <w:next w:val="Normal"/>
    <w:autoRedefine/>
    <w:uiPriority w:val="39"/>
    <w:semiHidden/>
    <w:unhideWhenUsed/>
    <w:rsid w:val="001B15D8"/>
    <w:pPr>
      <w:spacing w:after="100"/>
      <w:ind w:left="1540"/>
    </w:pPr>
  </w:style>
  <w:style w:type="paragraph" w:styleId="TOC9">
    <w:name w:val="toc 9"/>
    <w:basedOn w:val="Normal"/>
    <w:next w:val="Normal"/>
    <w:autoRedefine/>
    <w:uiPriority w:val="39"/>
    <w:semiHidden/>
    <w:unhideWhenUsed/>
    <w:rsid w:val="001B15D8"/>
    <w:pPr>
      <w:spacing w:after="100"/>
      <w:ind w:left="1760"/>
    </w:pPr>
  </w:style>
  <w:style w:type="paragraph" w:styleId="TOCHeading">
    <w:name w:val="TOC Heading"/>
    <w:basedOn w:val="Heading1"/>
    <w:next w:val="Normal"/>
    <w:uiPriority w:val="39"/>
    <w:semiHidden/>
    <w:unhideWhenUsed/>
    <w:rsid w:val="001B15D8"/>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BalloonText">
    <w:name w:val="Balloon Text"/>
    <w:basedOn w:val="Normal"/>
    <w:link w:val="BalloonTextChar"/>
    <w:uiPriority w:val="99"/>
    <w:semiHidden/>
    <w:unhideWhenUsed/>
    <w:rsid w:val="001B1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D8"/>
    <w:rPr>
      <w:rFonts w:ascii="Segoe UI" w:eastAsia="Times New Roman" w:hAnsi="Segoe UI" w:cs="Segoe UI"/>
      <w:sz w:val="18"/>
      <w:szCs w:val="18"/>
      <w:lang w:val="de-DE" w:eastAsia="de-DE"/>
    </w:rPr>
  </w:style>
  <w:style w:type="character" w:styleId="BookTitle">
    <w:name w:val="Book Title"/>
    <w:basedOn w:val="DefaultParagraphFont"/>
    <w:uiPriority w:val="33"/>
    <w:rsid w:val="001B15D8"/>
    <w:rPr>
      <w:b/>
      <w:bCs/>
      <w:i/>
      <w:iCs/>
      <w:spacing w:val="5"/>
    </w:rPr>
  </w:style>
  <w:style w:type="character" w:styleId="Emphasis">
    <w:name w:val="Emphasis"/>
    <w:basedOn w:val="DefaultParagraphFont"/>
    <w:uiPriority w:val="20"/>
    <w:rsid w:val="001B15D8"/>
    <w:rPr>
      <w:i/>
      <w:iCs/>
    </w:rPr>
  </w:style>
  <w:style w:type="character" w:styleId="IntenseEmphasis">
    <w:name w:val="Intense Emphasis"/>
    <w:basedOn w:val="DefaultParagraphFont"/>
    <w:uiPriority w:val="21"/>
    <w:rsid w:val="001B15D8"/>
    <w:rPr>
      <w:i/>
      <w:iCs/>
      <w:color w:val="5B9BD5" w:themeColor="accent1"/>
    </w:rPr>
  </w:style>
  <w:style w:type="paragraph" w:styleId="IntenseQuote">
    <w:name w:val="Intense Quote"/>
    <w:basedOn w:val="Normal"/>
    <w:next w:val="Normal"/>
    <w:link w:val="IntenseQuoteChar"/>
    <w:uiPriority w:val="30"/>
    <w:rsid w:val="001B15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15D8"/>
    <w:rPr>
      <w:rFonts w:ascii="Henderson BCG Serif" w:eastAsia="Times New Roman" w:hAnsi="Henderson BCG Serif" w:cs="Times New Roman"/>
      <w:i/>
      <w:iCs/>
      <w:color w:val="5B9BD5" w:themeColor="accent1"/>
      <w:szCs w:val="24"/>
      <w:lang w:val="de-DE" w:eastAsia="de-DE"/>
    </w:rPr>
  </w:style>
  <w:style w:type="character" w:styleId="IntenseReference">
    <w:name w:val="Intense Reference"/>
    <w:basedOn w:val="DefaultParagraphFont"/>
    <w:uiPriority w:val="32"/>
    <w:rsid w:val="001B15D8"/>
    <w:rPr>
      <w:b/>
      <w:bCs/>
      <w:smallCaps/>
      <w:color w:val="5B9BD5" w:themeColor="accent1"/>
      <w:spacing w:val="5"/>
    </w:rPr>
  </w:style>
  <w:style w:type="paragraph" w:styleId="ListParagraph">
    <w:name w:val="List Paragraph"/>
    <w:basedOn w:val="Normal"/>
    <w:uiPriority w:val="34"/>
    <w:rsid w:val="001B15D8"/>
    <w:pPr>
      <w:ind w:left="720"/>
      <w:contextualSpacing/>
    </w:pPr>
  </w:style>
  <w:style w:type="paragraph" w:styleId="NoSpacing">
    <w:name w:val="No Spacing"/>
    <w:uiPriority w:val="1"/>
    <w:rsid w:val="001B15D8"/>
    <w:pPr>
      <w:spacing w:after="0" w:line="240" w:lineRule="auto"/>
    </w:pPr>
    <w:rPr>
      <w:rFonts w:ascii="Henderson BCG Serif" w:eastAsia="Times New Roman" w:hAnsi="Henderson BCG Serif" w:cs="Times New Roman"/>
      <w:szCs w:val="24"/>
      <w:lang w:val="de-DE" w:eastAsia="de-DE"/>
    </w:rPr>
  </w:style>
  <w:style w:type="paragraph" w:styleId="Quote">
    <w:name w:val="Quote"/>
    <w:basedOn w:val="Normal"/>
    <w:next w:val="Normal"/>
    <w:link w:val="QuoteChar"/>
    <w:uiPriority w:val="29"/>
    <w:rsid w:val="001B15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15D8"/>
    <w:rPr>
      <w:rFonts w:ascii="Henderson BCG Serif" w:eastAsia="Times New Roman" w:hAnsi="Henderson BCG Serif" w:cs="Times New Roman"/>
      <w:i/>
      <w:iCs/>
      <w:color w:val="404040" w:themeColor="text1" w:themeTint="BF"/>
      <w:szCs w:val="24"/>
      <w:lang w:val="de-DE" w:eastAsia="de-DE"/>
    </w:rPr>
  </w:style>
  <w:style w:type="character" w:styleId="Strong">
    <w:name w:val="Strong"/>
    <w:basedOn w:val="DefaultParagraphFont"/>
    <w:uiPriority w:val="22"/>
    <w:rsid w:val="001B15D8"/>
    <w:rPr>
      <w:b/>
      <w:bCs/>
    </w:rPr>
  </w:style>
  <w:style w:type="paragraph" w:styleId="Subtitle">
    <w:name w:val="Subtitle"/>
    <w:basedOn w:val="Normal"/>
    <w:next w:val="Normal"/>
    <w:link w:val="SubtitleChar"/>
    <w:uiPriority w:val="11"/>
    <w:rsid w:val="001B15D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B15D8"/>
    <w:rPr>
      <w:rFonts w:eastAsiaTheme="minorEastAsia"/>
      <w:color w:val="5A5A5A" w:themeColor="text1" w:themeTint="A5"/>
      <w:spacing w:val="15"/>
      <w:lang w:val="de-DE" w:eastAsia="de-DE"/>
    </w:rPr>
  </w:style>
  <w:style w:type="character" w:styleId="SubtleEmphasis">
    <w:name w:val="Subtle Emphasis"/>
    <w:basedOn w:val="DefaultParagraphFont"/>
    <w:uiPriority w:val="19"/>
    <w:rsid w:val="001B15D8"/>
    <w:rPr>
      <w:i/>
      <w:iCs/>
      <w:color w:val="404040" w:themeColor="text1" w:themeTint="BF"/>
    </w:rPr>
  </w:style>
  <w:style w:type="character" w:styleId="SubtleReference">
    <w:name w:val="Subtle Reference"/>
    <w:basedOn w:val="DefaultParagraphFont"/>
    <w:uiPriority w:val="31"/>
    <w:rsid w:val="001B15D8"/>
    <w:rPr>
      <w:smallCaps/>
      <w:color w:val="5A5A5A" w:themeColor="text1" w:themeTint="A5"/>
    </w:rPr>
  </w:style>
  <w:style w:type="paragraph" w:styleId="Title">
    <w:name w:val="Title"/>
    <w:basedOn w:val="Normal"/>
    <w:next w:val="Normal"/>
    <w:link w:val="TitleChar"/>
    <w:uiPriority w:val="10"/>
    <w:rsid w:val="001B15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5D8"/>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032526">
      <w:bodyDiv w:val="1"/>
      <w:marLeft w:val="0"/>
      <w:marRight w:val="0"/>
      <w:marTop w:val="0"/>
      <w:marBottom w:val="0"/>
      <w:divBdr>
        <w:top w:val="none" w:sz="0" w:space="0" w:color="auto"/>
        <w:left w:val="none" w:sz="0" w:space="0" w:color="auto"/>
        <w:bottom w:val="none" w:sz="0" w:space="0" w:color="auto"/>
        <w:right w:val="none" w:sz="0" w:space="0" w:color="auto"/>
      </w:divBdr>
      <w:divsChild>
        <w:div w:id="1628244985">
          <w:marLeft w:val="0"/>
          <w:marRight w:val="0"/>
          <w:marTop w:val="0"/>
          <w:marBottom w:val="0"/>
          <w:divBdr>
            <w:top w:val="none" w:sz="0" w:space="0" w:color="auto"/>
            <w:left w:val="none" w:sz="0" w:space="0" w:color="auto"/>
            <w:bottom w:val="none" w:sz="0" w:space="0" w:color="auto"/>
            <w:right w:val="none" w:sz="0" w:space="0" w:color="auto"/>
          </w:divBdr>
        </w:div>
        <w:div w:id="1230119315">
          <w:marLeft w:val="0"/>
          <w:marRight w:val="0"/>
          <w:marTop w:val="0"/>
          <w:marBottom w:val="0"/>
          <w:divBdr>
            <w:top w:val="none" w:sz="0" w:space="0" w:color="auto"/>
            <w:left w:val="single" w:sz="24" w:space="0" w:color="CCCCCC"/>
            <w:bottom w:val="none" w:sz="0" w:space="0" w:color="auto"/>
            <w:right w:val="single" w:sz="24" w:space="0" w:color="CCCCCC"/>
          </w:divBdr>
          <w:divsChild>
            <w:div w:id="15429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hra.gov.uk/yellowcar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mhra.gov.uk/yellowcard" TargetMode="External"/><Relationship Id="rId2" Type="http://schemas.openxmlformats.org/officeDocument/2006/relationships/customXml" Target="../customXml/item2.xml"/><Relationship Id="rId16" Type="http://schemas.openxmlformats.org/officeDocument/2006/relationships/hyperlink" Target="http://www.mhra.gov.uk/yellowcard" TargetMode="External"/><Relationship Id="rId20" Type="http://schemas.openxmlformats.org/officeDocument/2006/relationships/hyperlink" Target="http://www.mhra.gov.uk/yellowc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service@alliance-healthcare.co.uk" TargetMode="External"/><Relationship Id="rId5" Type="http://schemas.openxmlformats.org/officeDocument/2006/relationships/styles" Target="styles.xml"/><Relationship Id="rId15" Type="http://schemas.openxmlformats.org/officeDocument/2006/relationships/hyperlink" Target="http://www.mhra.gov.uk/yellowcard" TargetMode="External"/><Relationship Id="rId10" Type="http://schemas.openxmlformats.org/officeDocument/2006/relationships/image" Target="media/image1.png"/><Relationship Id="rId19" Type="http://schemas.openxmlformats.org/officeDocument/2006/relationships/hyperlink" Target="http://www.mhra.gov.uk/yellowc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odg\OneDrive%20-%20Theramex\Desktop\Office\Theramex%20-%20Word%20Template%20-%20Jan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1D8B5F9A3384FA5FAA473C14F2C80" ma:contentTypeVersion="13" ma:contentTypeDescription="Create a new document." ma:contentTypeScope="" ma:versionID="540545287d6a6fa738f4fcf7b22b574c">
  <xsd:schema xmlns:xsd="http://www.w3.org/2001/XMLSchema" xmlns:xs="http://www.w3.org/2001/XMLSchema" xmlns:p="http://schemas.microsoft.com/office/2006/metadata/properties" xmlns:ns3="7020ac00-07ae-4d4a-90c9-4f963803d7b3" xmlns:ns4="7010e860-2856-4569-9a6b-e177e7c6e916" targetNamespace="http://schemas.microsoft.com/office/2006/metadata/properties" ma:root="true" ma:fieldsID="6b6044d7a5f155d770b79bbe695a8cc8" ns3:_="" ns4:_="">
    <xsd:import namespace="7020ac00-07ae-4d4a-90c9-4f963803d7b3"/>
    <xsd:import namespace="7010e860-2856-4569-9a6b-e177e7c6e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ac00-07ae-4d4a-90c9-4f963803d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0e860-2856-4569-9a6b-e177e7c6e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7130B-84D7-44E8-A554-80B96324A252}">
  <ds:schemaRefs>
    <ds:schemaRef ds:uri="http://schemas.microsoft.com/sharepoint/v3/contenttype/forms"/>
  </ds:schemaRefs>
</ds:datastoreItem>
</file>

<file path=customXml/itemProps2.xml><?xml version="1.0" encoding="utf-8"?>
<ds:datastoreItem xmlns:ds="http://schemas.openxmlformats.org/officeDocument/2006/customXml" ds:itemID="{74184C9C-3245-4AE4-8E8E-A96CEA9D8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ac00-07ae-4d4a-90c9-4f963803d7b3"/>
    <ds:schemaRef ds:uri="7010e860-2856-4569-9a6b-e177e7c6e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A05CE-DAF8-41F8-A4B6-164DAA70F91F}">
  <ds:schemaRefs>
    <ds:schemaRef ds:uri="7020ac00-07ae-4d4a-90c9-4f963803d7b3"/>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010e860-2856-4569-9a6b-e177e7c6e91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Theramex - Word Template - Jan18 1</Template>
  <TotalTime>0</TotalTime>
  <Pages>3</Pages>
  <Words>3594</Words>
  <Characters>20489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Lodge, Rhonda</dc:creator>
  <cp:keywords/>
  <dc:description/>
  <cp:lastModifiedBy>Sarah Welbourne</cp:lastModifiedBy>
  <cp:revision>2</cp:revision>
  <dcterms:created xsi:type="dcterms:W3CDTF">2020-08-10T11:47:00Z</dcterms:created>
  <dcterms:modified xsi:type="dcterms:W3CDTF">2020-08-10T11:47:00Z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0x0101002391D8B5F9A3384FA5FAA473C14F2C80</vt:lpwstr>
  </property>
</Properties>
</file>