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647A" w14:textId="77777777" w:rsidR="00D75834" w:rsidRDefault="00D57E60" w:rsidP="00F83A5B">
      <w:pPr>
        <w:pStyle w:val="Heading1"/>
        <w:spacing w:before="14"/>
        <w:ind w:left="1134" w:right="1134"/>
        <w:rPr>
          <w:color w:val="5B518E"/>
        </w:rPr>
      </w:pPr>
      <w:bookmarkStart w:id="0" w:name="_bookmark0"/>
      <w:bookmarkStart w:id="1" w:name="_top"/>
      <w:bookmarkEnd w:id="0"/>
      <w:bookmarkEnd w:id="1"/>
      <w:r w:rsidRPr="00907E6A">
        <w:rPr>
          <w:color w:val="5B518E"/>
        </w:rPr>
        <w:t xml:space="preserve">Pharmaceutical Services Negotiating Committee </w:t>
      </w:r>
    </w:p>
    <w:p w14:paraId="67AC2DD8" w14:textId="11E8FAC0" w:rsidR="00D01891" w:rsidRPr="00907E6A" w:rsidRDefault="00D57E60" w:rsidP="00F83A5B">
      <w:pPr>
        <w:pStyle w:val="Heading1"/>
        <w:spacing w:before="14"/>
        <w:ind w:left="1134" w:right="1134"/>
      </w:pPr>
      <w:r w:rsidRPr="00907E6A">
        <w:rPr>
          <w:color w:val="5B518E"/>
        </w:rPr>
        <w:t>Funding and Contract Subcommittee Agenda</w:t>
      </w:r>
    </w:p>
    <w:p w14:paraId="5367AB88" w14:textId="77777777" w:rsidR="00D01891" w:rsidRPr="00907E6A" w:rsidRDefault="00D01891" w:rsidP="00F83A5B">
      <w:pPr>
        <w:pStyle w:val="BodyText"/>
        <w:ind w:left="1134" w:right="1134"/>
        <w:jc w:val="center"/>
        <w:rPr>
          <w:b/>
          <w:sz w:val="28"/>
          <w:szCs w:val="28"/>
        </w:rPr>
      </w:pPr>
    </w:p>
    <w:p w14:paraId="10374230" w14:textId="311F7AFF" w:rsidR="00795871" w:rsidRPr="00907E6A" w:rsidRDefault="3024FC78" w:rsidP="3024FC78">
      <w:pPr>
        <w:spacing w:line="463" w:lineRule="auto"/>
        <w:ind w:left="1134" w:right="1134"/>
        <w:jc w:val="center"/>
        <w:rPr>
          <w:b/>
          <w:bCs/>
          <w:color w:val="5B518E"/>
          <w:sz w:val="28"/>
          <w:szCs w:val="28"/>
        </w:rPr>
      </w:pPr>
      <w:r w:rsidRPr="3024FC78">
        <w:rPr>
          <w:b/>
          <w:bCs/>
          <w:color w:val="5B518E"/>
          <w:sz w:val="28"/>
          <w:szCs w:val="28"/>
        </w:rPr>
        <w:t xml:space="preserve">Wednesday </w:t>
      </w:r>
      <w:r w:rsidR="00E01F37">
        <w:rPr>
          <w:b/>
          <w:bCs/>
          <w:color w:val="5B518E"/>
          <w:sz w:val="28"/>
          <w:szCs w:val="28"/>
        </w:rPr>
        <w:t>20</w:t>
      </w:r>
      <w:r w:rsidRPr="3024FC78">
        <w:rPr>
          <w:b/>
          <w:bCs/>
          <w:color w:val="5B518E"/>
          <w:sz w:val="28"/>
          <w:szCs w:val="28"/>
          <w:vertAlign w:val="superscript"/>
        </w:rPr>
        <w:t>th</w:t>
      </w:r>
      <w:r w:rsidRPr="3024FC78">
        <w:rPr>
          <w:b/>
          <w:bCs/>
          <w:color w:val="5B518E"/>
          <w:sz w:val="28"/>
          <w:szCs w:val="28"/>
        </w:rPr>
        <w:t xml:space="preserve"> </w:t>
      </w:r>
      <w:r w:rsidR="00E01F37">
        <w:rPr>
          <w:b/>
          <w:bCs/>
          <w:color w:val="5B518E"/>
          <w:sz w:val="28"/>
          <w:szCs w:val="28"/>
        </w:rPr>
        <w:t>Ma</w:t>
      </w:r>
      <w:r w:rsidRPr="3024FC78">
        <w:rPr>
          <w:b/>
          <w:bCs/>
          <w:color w:val="5B518E"/>
          <w:sz w:val="28"/>
          <w:szCs w:val="28"/>
        </w:rPr>
        <w:t>y 2020</w:t>
      </w:r>
    </w:p>
    <w:p w14:paraId="55B031AB" w14:textId="35F988A3" w:rsidR="00103651" w:rsidRDefault="00103651" w:rsidP="00F83A5B">
      <w:pPr>
        <w:spacing w:line="463" w:lineRule="auto"/>
        <w:ind w:left="1134" w:right="1134"/>
        <w:jc w:val="center"/>
        <w:rPr>
          <w:rStyle w:val="eop"/>
          <w:color w:val="000000"/>
          <w:sz w:val="28"/>
          <w:szCs w:val="28"/>
          <w:shd w:val="clear" w:color="auto" w:fill="FFFFFF"/>
        </w:rPr>
      </w:pPr>
      <w:r>
        <w:rPr>
          <w:rStyle w:val="normaltextrun"/>
          <w:b/>
          <w:bCs/>
          <w:color w:val="5B518E"/>
          <w:sz w:val="28"/>
          <w:szCs w:val="28"/>
          <w:shd w:val="clear" w:color="auto" w:fill="FFFFFF"/>
        </w:rPr>
        <w:t>Zoom virtual meeting commencing at 10:00 am</w:t>
      </w:r>
      <w:r>
        <w:rPr>
          <w:rStyle w:val="eop"/>
          <w:color w:val="000000"/>
          <w:sz w:val="28"/>
          <w:szCs w:val="28"/>
          <w:shd w:val="clear" w:color="auto" w:fill="FFFFFF"/>
        </w:rPr>
        <w:t> </w:t>
      </w:r>
    </w:p>
    <w:p w14:paraId="15CD9209" w14:textId="1D7968A5" w:rsidR="00F83A5B" w:rsidRPr="00633027" w:rsidRDefault="00D57E60" w:rsidP="00F83A5B">
      <w:pPr>
        <w:spacing w:line="463" w:lineRule="auto"/>
        <w:ind w:left="1134" w:right="1134"/>
        <w:jc w:val="center"/>
        <w:rPr>
          <w:b/>
          <w:sz w:val="24"/>
          <w:szCs w:val="24"/>
        </w:rPr>
      </w:pPr>
      <w:r w:rsidRPr="00633027">
        <w:rPr>
          <w:b/>
          <w:color w:val="5B518E"/>
          <w:sz w:val="24"/>
          <w:szCs w:val="24"/>
        </w:rPr>
        <w:t>Items are confidential where marked</w:t>
      </w:r>
    </w:p>
    <w:p w14:paraId="01A2BCA3" w14:textId="77777777" w:rsidR="00D01891" w:rsidRPr="00E44A8E" w:rsidRDefault="00D57E60" w:rsidP="00540789">
      <w:pPr>
        <w:tabs>
          <w:tab w:val="left" w:pos="2297"/>
        </w:tabs>
        <w:spacing w:before="20"/>
        <w:ind w:left="1134" w:right="264"/>
      </w:pPr>
      <w:r w:rsidRPr="00E44A8E">
        <w:rPr>
          <w:rFonts w:eastAsia="Times New Roman"/>
          <w:b/>
          <w:bCs/>
          <w:color w:val="5B518E"/>
          <w:lang w:eastAsia="en-GB" w:bidi="ar-SA"/>
        </w:rPr>
        <w:t>Members:</w:t>
      </w:r>
      <w:r w:rsidRPr="00E44A8E">
        <w:rPr>
          <w:b/>
          <w:color w:val="5B518E"/>
        </w:rPr>
        <w:tab/>
      </w:r>
      <w:r w:rsidRPr="00E44A8E">
        <w:t>David Broome, Peter Cattee (Chairman), Tricia Kennerley, Andrew Lane, Margaret MacRury,</w:t>
      </w:r>
      <w:r w:rsidRPr="00E44A8E">
        <w:rPr>
          <w:spacing w:val="-1"/>
        </w:rPr>
        <w:t xml:space="preserve"> </w:t>
      </w:r>
      <w:r w:rsidRPr="00E44A8E">
        <w:t>Has</w:t>
      </w:r>
      <w:r w:rsidRPr="00E44A8E">
        <w:rPr>
          <w:spacing w:val="-11"/>
        </w:rPr>
        <w:t xml:space="preserve"> </w:t>
      </w:r>
      <w:r w:rsidRPr="00E44A8E">
        <w:t>Modi,</w:t>
      </w:r>
      <w:r w:rsidRPr="00E44A8E">
        <w:rPr>
          <w:spacing w:val="-3"/>
        </w:rPr>
        <w:t xml:space="preserve"> </w:t>
      </w:r>
      <w:r w:rsidRPr="00E44A8E">
        <w:t>Garry</w:t>
      </w:r>
      <w:r w:rsidRPr="00E44A8E">
        <w:rPr>
          <w:spacing w:val="-8"/>
        </w:rPr>
        <w:t xml:space="preserve"> </w:t>
      </w:r>
      <w:r w:rsidRPr="00E44A8E">
        <w:t>Myers</w:t>
      </w:r>
      <w:r w:rsidRPr="00E44A8E">
        <w:rPr>
          <w:spacing w:val="-8"/>
        </w:rPr>
        <w:t xml:space="preserve"> </w:t>
      </w:r>
      <w:r w:rsidRPr="00E44A8E">
        <w:t>(Vice</w:t>
      </w:r>
      <w:r w:rsidRPr="00E44A8E">
        <w:rPr>
          <w:spacing w:val="-9"/>
        </w:rPr>
        <w:t xml:space="preserve"> </w:t>
      </w:r>
      <w:r w:rsidRPr="00E44A8E">
        <w:t>-</w:t>
      </w:r>
      <w:r w:rsidRPr="00E44A8E">
        <w:rPr>
          <w:spacing w:val="-10"/>
        </w:rPr>
        <w:t xml:space="preserve"> </w:t>
      </w:r>
      <w:r w:rsidRPr="00E44A8E">
        <w:t>Chair),</w:t>
      </w:r>
      <w:r w:rsidRPr="00E44A8E">
        <w:rPr>
          <w:spacing w:val="-10"/>
        </w:rPr>
        <w:t xml:space="preserve"> </w:t>
      </w:r>
      <w:r w:rsidRPr="00E44A8E">
        <w:t>Bharat</w:t>
      </w:r>
      <w:r w:rsidRPr="00E44A8E">
        <w:rPr>
          <w:spacing w:val="-9"/>
        </w:rPr>
        <w:t xml:space="preserve"> </w:t>
      </w:r>
      <w:r w:rsidRPr="00E44A8E">
        <w:t>Patel,</w:t>
      </w:r>
      <w:r w:rsidRPr="00E44A8E">
        <w:rPr>
          <w:spacing w:val="-7"/>
        </w:rPr>
        <w:t xml:space="preserve"> </w:t>
      </w:r>
      <w:r w:rsidRPr="00E44A8E">
        <w:t>Adrian</w:t>
      </w:r>
      <w:r w:rsidRPr="00E44A8E">
        <w:rPr>
          <w:spacing w:val="-10"/>
        </w:rPr>
        <w:t xml:space="preserve"> </w:t>
      </w:r>
      <w:r w:rsidRPr="00E44A8E">
        <w:t>Price,</w:t>
      </w:r>
      <w:r w:rsidRPr="00E44A8E">
        <w:rPr>
          <w:spacing w:val="-9"/>
        </w:rPr>
        <w:t xml:space="preserve"> </w:t>
      </w:r>
      <w:r w:rsidRPr="00E44A8E">
        <w:t>Anil</w:t>
      </w:r>
      <w:r w:rsidRPr="00E44A8E">
        <w:rPr>
          <w:spacing w:val="-9"/>
        </w:rPr>
        <w:t xml:space="preserve"> </w:t>
      </w:r>
      <w:r w:rsidRPr="00E44A8E">
        <w:t>Sharma</w:t>
      </w:r>
    </w:p>
    <w:p w14:paraId="5B2B711C" w14:textId="77777777" w:rsidR="00D01891" w:rsidRPr="00E44A8E" w:rsidRDefault="00D01891" w:rsidP="00315268">
      <w:pPr>
        <w:pStyle w:val="BodyText"/>
        <w:tabs>
          <w:tab w:val="left" w:pos="10206"/>
        </w:tabs>
        <w:ind w:left="1134" w:right="1134"/>
      </w:pPr>
    </w:p>
    <w:p w14:paraId="717503DB" w14:textId="19E38C38" w:rsidR="00D01891" w:rsidRPr="00E44A8E" w:rsidRDefault="00D57E60" w:rsidP="00315268">
      <w:pPr>
        <w:tabs>
          <w:tab w:val="left" w:pos="10206"/>
        </w:tabs>
        <w:ind w:left="1134" w:right="1134"/>
      </w:pPr>
      <w:r w:rsidRPr="00E44A8E">
        <w:rPr>
          <w:rFonts w:eastAsia="Times New Roman"/>
          <w:b/>
          <w:bCs/>
          <w:color w:val="5B518E"/>
          <w:lang w:eastAsia="en-GB" w:bidi="ar-SA"/>
        </w:rPr>
        <w:t>In attendance:</w:t>
      </w:r>
      <w:r w:rsidRPr="00E44A8E">
        <w:rPr>
          <w:b/>
          <w:color w:val="5B518E"/>
        </w:rPr>
        <w:t xml:space="preserve"> </w:t>
      </w:r>
      <w:r w:rsidRPr="00E44A8E">
        <w:t>Simon Dukes, Mike Dent, Jack Cresswell, Suraj Shah, Rob Thomas</w:t>
      </w:r>
    </w:p>
    <w:p w14:paraId="3121EB3C" w14:textId="77777777" w:rsidR="00D01891" w:rsidRPr="00E44A8E" w:rsidRDefault="00D01891" w:rsidP="00315268">
      <w:pPr>
        <w:pStyle w:val="BodyText"/>
        <w:tabs>
          <w:tab w:val="left" w:pos="10206"/>
        </w:tabs>
        <w:ind w:left="1134" w:right="1134"/>
      </w:pPr>
    </w:p>
    <w:p w14:paraId="7D4A2E3E" w14:textId="77777777" w:rsidR="00D01891" w:rsidRPr="00E44A8E" w:rsidRDefault="00D57E60" w:rsidP="00267E9D">
      <w:pPr>
        <w:pStyle w:val="ListParagraph"/>
        <w:numPr>
          <w:ilvl w:val="0"/>
          <w:numId w:val="1"/>
        </w:numPr>
        <w:tabs>
          <w:tab w:val="left" w:pos="1579"/>
          <w:tab w:val="left" w:pos="10206"/>
        </w:tabs>
        <w:ind w:left="1134" w:right="1134" w:firstLine="0"/>
      </w:pPr>
      <w:r w:rsidRPr="00E44A8E">
        <w:t>Welcome from Chair</w:t>
      </w:r>
    </w:p>
    <w:p w14:paraId="21DCEB60" w14:textId="77777777" w:rsidR="00D01891" w:rsidRPr="00E44A8E" w:rsidRDefault="00D01891" w:rsidP="00315268">
      <w:pPr>
        <w:pStyle w:val="BodyText"/>
        <w:tabs>
          <w:tab w:val="left" w:pos="10206"/>
        </w:tabs>
        <w:spacing w:before="11"/>
        <w:ind w:left="1134" w:right="1134"/>
      </w:pPr>
    </w:p>
    <w:p w14:paraId="333E7640" w14:textId="77777777" w:rsidR="00D01891" w:rsidRPr="00E44A8E" w:rsidRDefault="00D57E60" w:rsidP="00267E9D">
      <w:pPr>
        <w:pStyle w:val="ListParagraph"/>
        <w:numPr>
          <w:ilvl w:val="0"/>
          <w:numId w:val="1"/>
        </w:numPr>
        <w:tabs>
          <w:tab w:val="left" w:pos="1579"/>
          <w:tab w:val="left" w:pos="10206"/>
        </w:tabs>
        <w:spacing w:before="1"/>
        <w:ind w:left="1134" w:right="1134" w:firstLine="0"/>
      </w:pPr>
      <w:r w:rsidRPr="00E44A8E">
        <w:t>Apologies for</w:t>
      </w:r>
      <w:r w:rsidRPr="00E44A8E">
        <w:rPr>
          <w:spacing w:val="-2"/>
        </w:rPr>
        <w:t xml:space="preserve"> </w:t>
      </w:r>
      <w:r w:rsidRPr="00E44A8E">
        <w:t>absence</w:t>
      </w:r>
    </w:p>
    <w:p w14:paraId="7E4B4DD0" w14:textId="77777777" w:rsidR="00D01891" w:rsidRPr="00E44A8E" w:rsidRDefault="00D01891" w:rsidP="00315268">
      <w:pPr>
        <w:pStyle w:val="BodyText"/>
        <w:tabs>
          <w:tab w:val="left" w:pos="10206"/>
        </w:tabs>
        <w:spacing w:before="11"/>
        <w:ind w:left="1134" w:right="1134"/>
      </w:pPr>
    </w:p>
    <w:p w14:paraId="29F5193A" w14:textId="77777777" w:rsidR="00D01891" w:rsidRPr="00E44A8E" w:rsidRDefault="00D57E60" w:rsidP="00267E9D">
      <w:pPr>
        <w:pStyle w:val="ListParagraph"/>
        <w:numPr>
          <w:ilvl w:val="0"/>
          <w:numId w:val="1"/>
        </w:numPr>
        <w:tabs>
          <w:tab w:val="left" w:pos="1579"/>
          <w:tab w:val="left" w:pos="10206"/>
        </w:tabs>
        <w:spacing w:before="1"/>
        <w:ind w:left="1134" w:right="1134" w:firstLine="0"/>
      </w:pPr>
      <w:r w:rsidRPr="00E44A8E">
        <w:t>Declarations or conflicts of</w:t>
      </w:r>
      <w:r w:rsidRPr="00E44A8E">
        <w:rPr>
          <w:spacing w:val="-5"/>
        </w:rPr>
        <w:t xml:space="preserve"> </w:t>
      </w:r>
      <w:r w:rsidRPr="00E44A8E">
        <w:t>interest</w:t>
      </w:r>
    </w:p>
    <w:p w14:paraId="3AD598DE" w14:textId="77777777" w:rsidR="00D01891" w:rsidRPr="00E44A8E" w:rsidRDefault="00D01891" w:rsidP="00315268">
      <w:pPr>
        <w:pStyle w:val="BodyText"/>
        <w:tabs>
          <w:tab w:val="left" w:pos="10206"/>
        </w:tabs>
        <w:spacing w:before="2"/>
        <w:ind w:left="1134" w:right="1134"/>
      </w:pPr>
    </w:p>
    <w:p w14:paraId="2F564B79" w14:textId="03B236E4" w:rsidR="00D01891" w:rsidRPr="00E44A8E" w:rsidRDefault="00265F3F" w:rsidP="000859FF">
      <w:pPr>
        <w:pStyle w:val="ListParagraph"/>
        <w:numPr>
          <w:ilvl w:val="0"/>
          <w:numId w:val="1"/>
        </w:numPr>
        <w:tabs>
          <w:tab w:val="left" w:pos="1579"/>
          <w:tab w:val="left" w:pos="10206"/>
        </w:tabs>
        <w:ind w:left="1560" w:right="1134" w:hanging="426"/>
      </w:pPr>
      <w:r w:rsidRPr="00E44A8E">
        <w:rPr>
          <w:noProof/>
        </w:rPr>
        <mc:AlternateContent>
          <mc:Choice Requires="wps">
            <w:drawing>
              <wp:anchor distT="0" distB="0" distL="114300" distR="114300" simplePos="0" relativeHeight="251658240" behindDoc="0" locked="0" layoutInCell="1" allowOverlap="1" wp14:anchorId="6F4147E5" wp14:editId="683024A8">
                <wp:simplePos x="0" y="0"/>
                <wp:positionH relativeFrom="page">
                  <wp:posOffset>2651125</wp:posOffset>
                </wp:positionH>
                <wp:positionV relativeFrom="paragraph">
                  <wp:posOffset>161925</wp:posOffset>
                </wp:positionV>
                <wp:extent cx="45720" cy="10795"/>
                <wp:effectExtent l="0" t="0" r="0" b="0"/>
                <wp:wrapNone/>
                <wp:docPr id="45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5B5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7BFE" id="Rectangle 439" o:spid="_x0000_s1026" style="position:absolute;margin-left:208.75pt;margin-top:12.75pt;width:3.6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" fillcolor="#5b518e" stroked="f">
                <w10:wrap anchorx="page"/>
              </v:rect>
            </w:pict>
          </mc:Fallback>
        </mc:AlternateContent>
      </w:r>
      <w:r w:rsidR="00D57E60" w:rsidRPr="00E44A8E">
        <w:t xml:space="preserve">Minutes of last meeting </w:t>
      </w:r>
      <w:r w:rsidR="00D57E60" w:rsidRPr="00E44A8E">
        <w:rPr>
          <w:b/>
          <w:color w:val="0000FF"/>
          <w:u w:val="single" w:color="0000FF"/>
        </w:rPr>
        <w:t>(</w:t>
      </w:r>
      <w:hyperlink w:anchor="FCS01022020" w:history="1">
        <w:r w:rsidR="00D57E60" w:rsidRPr="00E44A8E">
          <w:rPr>
            <w:rStyle w:val="Hyperlink"/>
            <w:b/>
          </w:rPr>
          <w:t>Confidential Appendix FCS 01/</w:t>
        </w:r>
        <w:r w:rsidR="00F867FC" w:rsidRPr="00E44A8E">
          <w:rPr>
            <w:rStyle w:val="Hyperlink"/>
            <w:b/>
          </w:rPr>
          <w:t>0</w:t>
        </w:r>
        <w:r w:rsidR="00DF5CA7" w:rsidRPr="00E44A8E">
          <w:rPr>
            <w:rStyle w:val="Hyperlink"/>
            <w:b/>
          </w:rPr>
          <w:t>5</w:t>
        </w:r>
        <w:r w:rsidR="00D57E60" w:rsidRPr="00E44A8E">
          <w:rPr>
            <w:rStyle w:val="Hyperlink"/>
            <w:b/>
          </w:rPr>
          <w:t>/</w:t>
        </w:r>
        <w:r w:rsidR="00F867FC" w:rsidRPr="00E44A8E">
          <w:rPr>
            <w:rStyle w:val="Hyperlink"/>
            <w:b/>
          </w:rPr>
          <w:t>20</w:t>
        </w:r>
      </w:hyperlink>
      <w:r w:rsidR="00D57E60" w:rsidRPr="00E44A8E">
        <w:rPr>
          <w:b/>
          <w:color w:val="0000FF"/>
          <w:u w:val="single" w:color="0000FF"/>
        </w:rPr>
        <w:t>) (</w:t>
      </w:r>
      <w:r w:rsidR="00D57E60" w:rsidRPr="00E44A8E">
        <w:rPr>
          <w:b/>
        </w:rPr>
        <w:t xml:space="preserve">pages </w:t>
      </w:r>
      <w:r w:rsidR="00144898">
        <w:rPr>
          <w:b/>
        </w:rPr>
        <w:t>2</w:t>
      </w:r>
      <w:r w:rsidR="00D57E60" w:rsidRPr="00E44A8E">
        <w:rPr>
          <w:b/>
        </w:rPr>
        <w:t>-</w:t>
      </w:r>
      <w:r w:rsidR="00144898">
        <w:rPr>
          <w:b/>
        </w:rPr>
        <w:t>5</w:t>
      </w:r>
      <w:r w:rsidR="00D57E60" w:rsidRPr="00E44A8E">
        <w:rPr>
          <w:b/>
        </w:rPr>
        <w:t xml:space="preserve">) </w:t>
      </w:r>
      <w:r w:rsidR="00D57E60" w:rsidRPr="00E44A8E">
        <w:t xml:space="preserve">and </w:t>
      </w:r>
      <w:r w:rsidR="00F867FC" w:rsidRPr="00E44A8E">
        <w:t>m</w:t>
      </w:r>
      <w:r w:rsidR="00D57E60" w:rsidRPr="00E44A8E">
        <w:t>atters</w:t>
      </w:r>
      <w:r w:rsidR="00D57E60" w:rsidRPr="00E44A8E">
        <w:rPr>
          <w:spacing w:val="1"/>
        </w:rPr>
        <w:t xml:space="preserve"> </w:t>
      </w:r>
      <w:r w:rsidR="008F7FF6" w:rsidRPr="00E44A8E">
        <w:t>a</w:t>
      </w:r>
      <w:r w:rsidR="00D57E60" w:rsidRPr="00E44A8E">
        <w:t>rising</w:t>
      </w:r>
    </w:p>
    <w:p w14:paraId="1C9A3E18" w14:textId="77777777" w:rsidR="00D01891" w:rsidRPr="00E44A8E" w:rsidRDefault="00D01891" w:rsidP="00315268">
      <w:pPr>
        <w:pStyle w:val="BodyText"/>
        <w:tabs>
          <w:tab w:val="left" w:pos="10206"/>
        </w:tabs>
        <w:ind w:left="1134" w:right="1134"/>
      </w:pPr>
    </w:p>
    <w:p w14:paraId="644CF017" w14:textId="77777777" w:rsidR="00D01891" w:rsidRPr="00E44A8E" w:rsidRDefault="00D01891" w:rsidP="00315268">
      <w:pPr>
        <w:pStyle w:val="BodyText"/>
        <w:tabs>
          <w:tab w:val="left" w:pos="10206"/>
        </w:tabs>
        <w:spacing w:before="9"/>
        <w:ind w:left="1134" w:right="1134"/>
      </w:pPr>
    </w:p>
    <w:p w14:paraId="76A3863B" w14:textId="36911B57" w:rsidR="00D01891" w:rsidRPr="00E44A8E" w:rsidRDefault="00E01F37" w:rsidP="00315268">
      <w:pPr>
        <w:tabs>
          <w:tab w:val="left" w:pos="10206"/>
        </w:tabs>
        <w:ind w:left="1134" w:right="1134"/>
        <w:rPr>
          <w:rFonts w:eastAsia="Times New Roman"/>
          <w:b/>
          <w:bCs/>
          <w:color w:val="5B518E"/>
          <w:lang w:eastAsia="en-GB" w:bidi="ar-SA"/>
        </w:rPr>
      </w:pPr>
      <w:r w:rsidRPr="00E44A8E">
        <w:rPr>
          <w:rFonts w:eastAsia="Times New Roman"/>
          <w:b/>
          <w:bCs/>
          <w:color w:val="5B518E"/>
          <w:lang w:eastAsia="en-GB" w:bidi="ar-SA"/>
        </w:rPr>
        <w:t>REPORT</w:t>
      </w:r>
      <w:r w:rsidR="00DF5CA7" w:rsidRPr="00E44A8E">
        <w:rPr>
          <w:rFonts w:eastAsia="Times New Roman"/>
          <w:b/>
          <w:bCs/>
          <w:color w:val="5B518E"/>
          <w:lang w:eastAsia="en-GB" w:bidi="ar-SA"/>
        </w:rPr>
        <w:t>S</w:t>
      </w:r>
    </w:p>
    <w:p w14:paraId="7A618A81" w14:textId="77777777" w:rsidR="00D01891" w:rsidRPr="00E44A8E" w:rsidRDefault="00D01891" w:rsidP="00315268">
      <w:pPr>
        <w:pStyle w:val="BodyText"/>
        <w:tabs>
          <w:tab w:val="left" w:pos="10206"/>
        </w:tabs>
        <w:spacing w:before="11"/>
        <w:ind w:left="1134" w:right="1134"/>
        <w:rPr>
          <w:b/>
        </w:rPr>
      </w:pPr>
    </w:p>
    <w:p w14:paraId="0B0B677C" w14:textId="77777777" w:rsidR="00D01891" w:rsidRPr="00E44A8E" w:rsidRDefault="00D57E60" w:rsidP="00267E9D">
      <w:pPr>
        <w:pStyle w:val="ListParagraph"/>
        <w:numPr>
          <w:ilvl w:val="0"/>
          <w:numId w:val="1"/>
        </w:numPr>
        <w:tabs>
          <w:tab w:val="left" w:pos="1579"/>
          <w:tab w:val="left" w:pos="10206"/>
        </w:tabs>
        <w:ind w:left="1134" w:right="1134" w:firstLine="0"/>
      </w:pPr>
      <w:r w:rsidRPr="00E44A8E">
        <w:t>Remuneration</w:t>
      </w:r>
    </w:p>
    <w:p w14:paraId="0A386CD6" w14:textId="1B4DC630" w:rsidR="00D01891" w:rsidRPr="00E44A8E" w:rsidRDefault="00D57E60" w:rsidP="000859FF">
      <w:pPr>
        <w:pStyle w:val="ListParagraph"/>
        <w:numPr>
          <w:ilvl w:val="1"/>
          <w:numId w:val="1"/>
        </w:numPr>
        <w:tabs>
          <w:tab w:val="left" w:pos="1985"/>
          <w:tab w:val="left" w:pos="10206"/>
        </w:tabs>
        <w:ind w:left="1985" w:right="-20" w:hanging="425"/>
        <w:rPr>
          <w:b/>
        </w:rPr>
      </w:pPr>
      <w:r w:rsidRPr="00E44A8E">
        <w:t>Forecast 2019/20 contract sum out-turn</w:t>
      </w:r>
      <w:r w:rsidRPr="00E44A8E">
        <w:rPr>
          <w:color w:val="0000FF"/>
        </w:rPr>
        <w:t xml:space="preserve"> </w:t>
      </w:r>
      <w:r w:rsidRPr="00E44A8E">
        <w:rPr>
          <w:b/>
          <w:color w:val="0000FF"/>
          <w:u w:val="single" w:color="0000FF"/>
        </w:rPr>
        <w:t>(</w:t>
      </w:r>
      <w:hyperlink w:anchor="FCS02022020" w:history="1">
        <w:r w:rsidRPr="00E44A8E">
          <w:rPr>
            <w:rStyle w:val="Hyperlink"/>
            <w:b/>
          </w:rPr>
          <w:t>Confidential Appendix FCS 02/</w:t>
        </w:r>
        <w:r w:rsidR="00F867FC" w:rsidRPr="00E44A8E">
          <w:rPr>
            <w:rStyle w:val="Hyperlink"/>
            <w:b/>
          </w:rPr>
          <w:t>0</w:t>
        </w:r>
        <w:r w:rsidR="006C35B8" w:rsidRPr="00E44A8E">
          <w:rPr>
            <w:rStyle w:val="Hyperlink"/>
            <w:b/>
          </w:rPr>
          <w:t>5</w:t>
        </w:r>
        <w:r w:rsidRPr="00E44A8E">
          <w:rPr>
            <w:rStyle w:val="Hyperlink"/>
            <w:b/>
          </w:rPr>
          <w:t>/</w:t>
        </w:r>
        <w:r w:rsidR="00F867FC" w:rsidRPr="00E44A8E">
          <w:rPr>
            <w:rStyle w:val="Hyperlink"/>
            <w:b/>
          </w:rPr>
          <w:t>20</w:t>
        </w:r>
      </w:hyperlink>
      <w:r w:rsidRPr="00E44A8E">
        <w:rPr>
          <w:b/>
          <w:color w:val="0000FF"/>
          <w:u w:val="single" w:color="0000FF"/>
        </w:rPr>
        <w:t>)</w:t>
      </w:r>
      <w:r w:rsidR="000859FF">
        <w:rPr>
          <w:b/>
          <w:color w:val="0000FF"/>
        </w:rPr>
        <w:t xml:space="preserve"> </w:t>
      </w:r>
      <w:r w:rsidRPr="00E44A8E">
        <w:rPr>
          <w:b/>
        </w:rPr>
        <w:t xml:space="preserve">(pages </w:t>
      </w:r>
      <w:r w:rsidR="000859FF">
        <w:rPr>
          <w:b/>
        </w:rPr>
        <w:t>6</w:t>
      </w:r>
      <w:r w:rsidRPr="00E44A8E">
        <w:rPr>
          <w:b/>
        </w:rPr>
        <w:t>-</w:t>
      </w:r>
      <w:r w:rsidR="000859FF">
        <w:rPr>
          <w:b/>
        </w:rPr>
        <w:t>8</w:t>
      </w:r>
      <w:r w:rsidRPr="00E44A8E">
        <w:rPr>
          <w:b/>
        </w:rPr>
        <w:t>)</w:t>
      </w:r>
    </w:p>
    <w:p w14:paraId="32758C99" w14:textId="683F59DC" w:rsidR="008A5E16" w:rsidRPr="00E44A8E" w:rsidRDefault="008A5E16" w:rsidP="000859FF">
      <w:pPr>
        <w:pStyle w:val="ListParagraph"/>
        <w:numPr>
          <w:ilvl w:val="1"/>
          <w:numId w:val="1"/>
        </w:numPr>
        <w:tabs>
          <w:tab w:val="left" w:pos="1985"/>
          <w:tab w:val="left" w:pos="10206"/>
        </w:tabs>
        <w:ind w:left="1985" w:right="-162" w:hanging="425"/>
        <w:rPr>
          <w:b/>
        </w:rPr>
      </w:pPr>
      <w:r w:rsidRPr="00E44A8E">
        <w:t>Forecast 20</w:t>
      </w:r>
      <w:r w:rsidR="00406446" w:rsidRPr="00E44A8E">
        <w:t>20</w:t>
      </w:r>
      <w:r w:rsidRPr="00E44A8E">
        <w:t>/2</w:t>
      </w:r>
      <w:r w:rsidR="00406446" w:rsidRPr="00E44A8E">
        <w:t>1</w:t>
      </w:r>
      <w:r w:rsidRPr="00E44A8E">
        <w:t xml:space="preserve"> contract sum out-turn</w:t>
      </w:r>
      <w:r w:rsidRPr="00E44A8E">
        <w:rPr>
          <w:color w:val="0000FF"/>
        </w:rPr>
        <w:t xml:space="preserve"> </w:t>
      </w:r>
      <w:r w:rsidRPr="00E44A8E">
        <w:rPr>
          <w:b/>
          <w:color w:val="0000FF"/>
          <w:u w:val="single" w:color="0000FF"/>
        </w:rPr>
        <w:t>(</w:t>
      </w:r>
      <w:hyperlink w:anchor="FCS03" w:history="1">
        <w:r w:rsidRPr="00E44A8E">
          <w:rPr>
            <w:rStyle w:val="Hyperlink"/>
            <w:b/>
          </w:rPr>
          <w:t>Confidential Appendix FCS 03/05/20</w:t>
        </w:r>
      </w:hyperlink>
      <w:r w:rsidRPr="00E44A8E">
        <w:rPr>
          <w:b/>
          <w:color w:val="0000FF"/>
          <w:u w:val="single" w:color="0000FF"/>
        </w:rPr>
        <w:t>)</w:t>
      </w:r>
      <w:r w:rsidRPr="00E44A8E">
        <w:rPr>
          <w:b/>
          <w:color w:val="0000FF"/>
        </w:rPr>
        <w:t xml:space="preserve"> </w:t>
      </w:r>
      <w:r w:rsidRPr="00E44A8E">
        <w:rPr>
          <w:b/>
        </w:rPr>
        <w:t xml:space="preserve">(pages </w:t>
      </w:r>
      <w:r w:rsidR="000859FF">
        <w:rPr>
          <w:b/>
        </w:rPr>
        <w:t>9</w:t>
      </w:r>
      <w:r w:rsidRPr="00E44A8E">
        <w:rPr>
          <w:b/>
        </w:rPr>
        <w:t>-</w:t>
      </w:r>
      <w:r w:rsidR="0032296F" w:rsidRPr="00E44A8E">
        <w:rPr>
          <w:b/>
        </w:rPr>
        <w:t>1</w:t>
      </w:r>
      <w:r w:rsidR="000859FF">
        <w:rPr>
          <w:b/>
        </w:rPr>
        <w:t>2</w:t>
      </w:r>
      <w:r w:rsidRPr="00E44A8E">
        <w:rPr>
          <w:b/>
        </w:rPr>
        <w:t>)</w:t>
      </w:r>
      <w:r w:rsidR="00C35B52" w:rsidRPr="00E44A8E">
        <w:rPr>
          <w:b/>
        </w:rPr>
        <w:t xml:space="preserve"> </w:t>
      </w:r>
    </w:p>
    <w:p w14:paraId="153F2661" w14:textId="58447A3C" w:rsidR="009D3AEC" w:rsidRPr="00E44A8E" w:rsidRDefault="009D3AEC" w:rsidP="000859FF">
      <w:pPr>
        <w:pStyle w:val="ListParagraph"/>
        <w:numPr>
          <w:ilvl w:val="1"/>
          <w:numId w:val="1"/>
        </w:numPr>
        <w:tabs>
          <w:tab w:val="left" w:pos="1985"/>
          <w:tab w:val="left" w:pos="10206"/>
        </w:tabs>
        <w:ind w:left="1985" w:right="1134" w:hanging="425"/>
      </w:pPr>
      <w:r w:rsidRPr="00E44A8E">
        <w:t xml:space="preserve">C-19 </w:t>
      </w:r>
      <w:r w:rsidR="00151E93" w:rsidRPr="00E44A8E">
        <w:t xml:space="preserve">operating </w:t>
      </w:r>
      <w:r w:rsidRPr="00E44A8E">
        <w:t xml:space="preserve">cost </w:t>
      </w:r>
      <w:r w:rsidR="00151E93" w:rsidRPr="00E44A8E">
        <w:t xml:space="preserve">survey </w:t>
      </w:r>
      <w:hyperlink w:anchor="FCS04" w:history="1">
        <w:r w:rsidRPr="00CF2BB2">
          <w:rPr>
            <w:rStyle w:val="Hyperlink"/>
            <w:b/>
          </w:rPr>
          <w:t>(Confidential Appendix FCS 04/05/20)</w:t>
        </w:r>
      </w:hyperlink>
      <w:r w:rsidRPr="00E44A8E">
        <w:rPr>
          <w:b/>
          <w:color w:val="0000FF"/>
        </w:rPr>
        <w:t xml:space="preserve"> </w:t>
      </w:r>
      <w:r w:rsidRPr="00E44A8E">
        <w:rPr>
          <w:b/>
        </w:rPr>
        <w:t xml:space="preserve">(pages </w:t>
      </w:r>
      <w:r w:rsidR="00151E93" w:rsidRPr="00E44A8E">
        <w:rPr>
          <w:b/>
        </w:rPr>
        <w:t>1</w:t>
      </w:r>
      <w:r w:rsidR="000859FF">
        <w:rPr>
          <w:b/>
        </w:rPr>
        <w:t>3</w:t>
      </w:r>
      <w:r w:rsidRPr="00E44A8E">
        <w:rPr>
          <w:b/>
        </w:rPr>
        <w:t>-2</w:t>
      </w:r>
      <w:r w:rsidR="000859FF">
        <w:rPr>
          <w:b/>
        </w:rPr>
        <w:t>0</w:t>
      </w:r>
      <w:r w:rsidRPr="00E44A8E">
        <w:rPr>
          <w:b/>
        </w:rPr>
        <w:t>)</w:t>
      </w:r>
    </w:p>
    <w:p w14:paraId="31E2D438" w14:textId="6FD18CA0" w:rsidR="00BC033C" w:rsidRPr="00E44A8E" w:rsidRDefault="00BC033C" w:rsidP="000859FF">
      <w:pPr>
        <w:pStyle w:val="ListParagraph"/>
        <w:numPr>
          <w:ilvl w:val="1"/>
          <w:numId w:val="1"/>
        </w:numPr>
        <w:tabs>
          <w:tab w:val="left" w:pos="1985"/>
          <w:tab w:val="left" w:pos="10206"/>
        </w:tabs>
        <w:ind w:left="1985" w:right="1134" w:hanging="425"/>
      </w:pPr>
      <w:proofErr w:type="spellStart"/>
      <w:r w:rsidRPr="00E44A8E">
        <w:t>PoT</w:t>
      </w:r>
      <w:proofErr w:type="spellEnd"/>
      <w:r w:rsidRPr="00E44A8E">
        <w:t xml:space="preserve"> proposals – C-19 </w:t>
      </w:r>
      <w:r w:rsidRPr="00E44A8E">
        <w:rPr>
          <w:b/>
          <w:color w:val="0000FF"/>
          <w:u w:val="single" w:color="0000FF"/>
        </w:rPr>
        <w:t>(</w:t>
      </w:r>
      <w:hyperlink w:anchor="FCS05" w:history="1">
        <w:r w:rsidRPr="00E44A8E">
          <w:rPr>
            <w:rStyle w:val="Hyperlink"/>
            <w:b/>
          </w:rPr>
          <w:t>Confidential Appendix FCS 05/05/20</w:t>
        </w:r>
      </w:hyperlink>
      <w:r w:rsidRPr="00E44A8E">
        <w:rPr>
          <w:b/>
          <w:color w:val="0000FF"/>
          <w:u w:val="single" w:color="0000FF"/>
        </w:rPr>
        <w:t>)</w:t>
      </w:r>
      <w:r w:rsidRPr="00E44A8E">
        <w:rPr>
          <w:rFonts w:ascii="Verdana"/>
          <w:bCs/>
        </w:rPr>
        <w:t xml:space="preserve"> </w:t>
      </w:r>
      <w:r w:rsidRPr="00E44A8E">
        <w:rPr>
          <w:b/>
        </w:rPr>
        <w:t xml:space="preserve">(pages </w:t>
      </w:r>
      <w:r w:rsidRPr="002719F3">
        <w:rPr>
          <w:b/>
        </w:rPr>
        <w:t>2</w:t>
      </w:r>
      <w:r w:rsidR="000859FF" w:rsidRPr="002719F3">
        <w:rPr>
          <w:b/>
        </w:rPr>
        <w:t>1</w:t>
      </w:r>
      <w:r w:rsidRPr="002719F3">
        <w:rPr>
          <w:b/>
        </w:rPr>
        <w:t>-23</w:t>
      </w:r>
      <w:r w:rsidRPr="00E44A8E">
        <w:rPr>
          <w:b/>
        </w:rPr>
        <w:t>)</w:t>
      </w:r>
    </w:p>
    <w:p w14:paraId="74822692" w14:textId="77777777" w:rsidR="00D01891" w:rsidRPr="00E44A8E" w:rsidRDefault="00D01891" w:rsidP="00315268">
      <w:pPr>
        <w:pStyle w:val="BodyText"/>
        <w:tabs>
          <w:tab w:val="left" w:pos="10206"/>
        </w:tabs>
        <w:spacing w:before="9"/>
        <w:ind w:left="1134" w:right="1134"/>
        <w:rPr>
          <w:b/>
        </w:rPr>
      </w:pPr>
    </w:p>
    <w:p w14:paraId="400E9BAF" w14:textId="77777777" w:rsidR="00D01891" w:rsidRPr="00E44A8E" w:rsidRDefault="00D57E60" w:rsidP="00267E9D">
      <w:pPr>
        <w:pStyle w:val="ListParagraph"/>
        <w:numPr>
          <w:ilvl w:val="0"/>
          <w:numId w:val="1"/>
        </w:numPr>
        <w:tabs>
          <w:tab w:val="left" w:pos="1579"/>
          <w:tab w:val="left" w:pos="10206"/>
        </w:tabs>
        <w:spacing w:before="51"/>
        <w:ind w:left="1134" w:right="1134" w:firstLine="0"/>
        <w:rPr>
          <w:rFonts w:asciiTheme="minorHAnsi" w:hAnsiTheme="minorHAnsi" w:cstheme="minorHAnsi"/>
        </w:rPr>
      </w:pPr>
      <w:r w:rsidRPr="00E44A8E">
        <w:t>Reimbursement</w:t>
      </w:r>
    </w:p>
    <w:p w14:paraId="003AB4D6" w14:textId="3BC07EC7" w:rsidR="00D01891" w:rsidRPr="00E44A8E" w:rsidRDefault="00D57E60" w:rsidP="000859FF">
      <w:pPr>
        <w:pStyle w:val="ListParagraph"/>
        <w:numPr>
          <w:ilvl w:val="0"/>
          <w:numId w:val="24"/>
        </w:numPr>
        <w:tabs>
          <w:tab w:val="left" w:pos="1560"/>
          <w:tab w:val="left" w:pos="10206"/>
        </w:tabs>
        <w:ind w:left="1985" w:right="1134" w:hanging="425"/>
        <w:rPr>
          <w:rFonts w:asciiTheme="minorHAnsi" w:hAnsiTheme="minorHAnsi" w:cstheme="minorHAnsi"/>
          <w:b/>
        </w:rPr>
      </w:pPr>
      <w:r w:rsidRPr="00E44A8E">
        <w:rPr>
          <w:rFonts w:asciiTheme="minorHAnsi" w:hAnsiTheme="minorHAnsi" w:cstheme="minorHAnsi"/>
        </w:rPr>
        <w:t xml:space="preserve">Category M </w:t>
      </w:r>
      <w:r w:rsidR="00D844FA" w:rsidRPr="00E44A8E">
        <w:rPr>
          <w:rFonts w:asciiTheme="minorHAnsi" w:hAnsiTheme="minorHAnsi" w:cstheme="minorHAnsi"/>
        </w:rPr>
        <w:t xml:space="preserve">April </w:t>
      </w:r>
      <w:r w:rsidRPr="00E44A8E">
        <w:rPr>
          <w:rFonts w:asciiTheme="minorHAnsi" w:hAnsiTheme="minorHAnsi" w:cstheme="minorHAnsi"/>
        </w:rPr>
        <w:t>20</w:t>
      </w:r>
      <w:r w:rsidR="00B56858" w:rsidRPr="00E44A8E">
        <w:rPr>
          <w:rFonts w:asciiTheme="minorHAnsi" w:hAnsiTheme="minorHAnsi" w:cstheme="minorHAnsi"/>
        </w:rPr>
        <w:t>20</w:t>
      </w:r>
      <w:r w:rsidRPr="00E44A8E">
        <w:rPr>
          <w:rFonts w:asciiTheme="minorHAnsi" w:hAnsiTheme="minorHAnsi" w:cstheme="minorHAnsi"/>
          <w:color w:val="0000FF"/>
        </w:rPr>
        <w:t xml:space="preserve"> </w:t>
      </w:r>
      <w:r w:rsidRPr="00E44A8E">
        <w:rPr>
          <w:rFonts w:asciiTheme="minorHAnsi" w:hAnsiTheme="minorHAnsi" w:cstheme="minorHAnsi"/>
          <w:b/>
          <w:color w:val="0000FF"/>
          <w:u w:val="single" w:color="0000FF"/>
        </w:rPr>
        <w:t>(</w:t>
      </w:r>
      <w:hyperlink w:anchor="FCS06" w:history="1">
        <w:r w:rsidRPr="00E44A8E">
          <w:rPr>
            <w:rStyle w:val="Hyperlink"/>
            <w:rFonts w:asciiTheme="minorHAnsi" w:hAnsiTheme="minorHAnsi" w:cstheme="minorHAnsi"/>
            <w:b/>
          </w:rPr>
          <w:t>Confidential Appendix FCS 0</w:t>
        </w:r>
        <w:r w:rsidR="00BC033C" w:rsidRPr="00E44A8E">
          <w:rPr>
            <w:rStyle w:val="Hyperlink"/>
            <w:rFonts w:asciiTheme="minorHAnsi" w:hAnsiTheme="minorHAnsi" w:cstheme="minorHAnsi"/>
            <w:b/>
          </w:rPr>
          <w:t>6</w:t>
        </w:r>
        <w:r w:rsidRPr="00E44A8E">
          <w:rPr>
            <w:rStyle w:val="Hyperlink"/>
            <w:rFonts w:asciiTheme="minorHAnsi" w:hAnsiTheme="minorHAnsi" w:cstheme="minorHAnsi"/>
            <w:b/>
          </w:rPr>
          <w:t>/</w:t>
        </w:r>
        <w:r w:rsidR="002F6790" w:rsidRPr="00E44A8E">
          <w:rPr>
            <w:rStyle w:val="Hyperlink"/>
            <w:rFonts w:asciiTheme="minorHAnsi" w:hAnsiTheme="minorHAnsi" w:cstheme="minorHAnsi"/>
            <w:b/>
          </w:rPr>
          <w:t>0</w:t>
        </w:r>
        <w:r w:rsidR="006C35B8" w:rsidRPr="00E44A8E">
          <w:rPr>
            <w:rStyle w:val="Hyperlink"/>
            <w:rFonts w:asciiTheme="minorHAnsi" w:hAnsiTheme="minorHAnsi" w:cstheme="minorHAnsi"/>
            <w:b/>
          </w:rPr>
          <w:t>5</w:t>
        </w:r>
        <w:r w:rsidRPr="00E44A8E">
          <w:rPr>
            <w:rStyle w:val="Hyperlink"/>
            <w:rFonts w:asciiTheme="minorHAnsi" w:hAnsiTheme="minorHAnsi" w:cstheme="minorHAnsi"/>
            <w:b/>
          </w:rPr>
          <w:t>/</w:t>
        </w:r>
        <w:r w:rsidR="002F6790" w:rsidRPr="00E44A8E">
          <w:rPr>
            <w:rStyle w:val="Hyperlink"/>
            <w:rFonts w:asciiTheme="minorHAnsi" w:hAnsiTheme="minorHAnsi" w:cstheme="minorHAnsi"/>
            <w:b/>
          </w:rPr>
          <w:t>20</w:t>
        </w:r>
      </w:hyperlink>
      <w:r w:rsidRPr="00E44A8E">
        <w:rPr>
          <w:rFonts w:asciiTheme="minorHAnsi" w:hAnsiTheme="minorHAnsi" w:cstheme="minorHAnsi"/>
          <w:b/>
          <w:color w:val="0000FF"/>
          <w:u w:val="single" w:color="0000FF"/>
        </w:rPr>
        <w:t>)</w:t>
      </w:r>
      <w:r w:rsidRPr="00E44A8E">
        <w:rPr>
          <w:rFonts w:asciiTheme="minorHAnsi" w:hAnsiTheme="minorHAnsi" w:cstheme="minorHAnsi"/>
          <w:b/>
          <w:color w:val="0000FF"/>
        </w:rPr>
        <w:t xml:space="preserve"> </w:t>
      </w:r>
      <w:r w:rsidRPr="00E44A8E">
        <w:rPr>
          <w:rFonts w:asciiTheme="minorHAnsi" w:hAnsiTheme="minorHAnsi" w:cstheme="minorHAnsi"/>
          <w:b/>
        </w:rPr>
        <w:t xml:space="preserve">(pages </w:t>
      </w:r>
      <w:r w:rsidR="000859FF">
        <w:rPr>
          <w:rFonts w:asciiTheme="minorHAnsi" w:hAnsiTheme="minorHAnsi" w:cstheme="minorHAnsi"/>
          <w:b/>
        </w:rPr>
        <w:t>24-28</w:t>
      </w:r>
      <w:r w:rsidRPr="00E44A8E">
        <w:rPr>
          <w:rFonts w:asciiTheme="minorHAnsi" w:hAnsiTheme="minorHAnsi" w:cstheme="minorHAnsi"/>
          <w:b/>
        </w:rPr>
        <w:t>)</w:t>
      </w:r>
    </w:p>
    <w:p w14:paraId="70305F69" w14:textId="28E79496" w:rsidR="00D01891" w:rsidRPr="00E44A8E" w:rsidRDefault="00D57E60" w:rsidP="000859FF">
      <w:pPr>
        <w:pStyle w:val="ListParagraph"/>
        <w:numPr>
          <w:ilvl w:val="0"/>
          <w:numId w:val="24"/>
        </w:numPr>
        <w:tabs>
          <w:tab w:val="left" w:pos="1560"/>
          <w:tab w:val="left" w:pos="9336"/>
          <w:tab w:val="left" w:pos="10206"/>
        </w:tabs>
        <w:ind w:left="1985" w:right="1134" w:hanging="425"/>
        <w:rPr>
          <w:rFonts w:asciiTheme="minorHAnsi" w:hAnsiTheme="minorHAnsi" w:cstheme="minorHAnsi"/>
          <w:b/>
        </w:rPr>
      </w:pPr>
      <w:r w:rsidRPr="00E44A8E">
        <w:rPr>
          <w:rFonts w:asciiTheme="minorHAnsi" w:hAnsiTheme="minorHAnsi" w:cstheme="minorHAnsi"/>
        </w:rPr>
        <w:t>Retained margins forecasts</w:t>
      </w:r>
      <w:r w:rsidRPr="00E44A8E">
        <w:rPr>
          <w:rFonts w:asciiTheme="minorHAnsi" w:hAnsiTheme="minorHAnsi" w:cstheme="minorHAnsi"/>
          <w:color w:val="0000FF"/>
        </w:rPr>
        <w:t xml:space="preserve"> </w:t>
      </w:r>
      <w:r w:rsidRPr="00E44A8E">
        <w:rPr>
          <w:rFonts w:asciiTheme="minorHAnsi" w:hAnsiTheme="minorHAnsi" w:cstheme="minorHAnsi"/>
          <w:b/>
          <w:color w:val="0000FF"/>
          <w:u w:val="single" w:color="0000FF"/>
        </w:rPr>
        <w:t>(</w:t>
      </w:r>
      <w:hyperlink w:anchor="FCS07" w:history="1">
        <w:r w:rsidRPr="00E44A8E">
          <w:rPr>
            <w:rStyle w:val="Hyperlink"/>
            <w:rFonts w:asciiTheme="minorHAnsi" w:hAnsiTheme="minorHAnsi" w:cstheme="minorHAnsi"/>
            <w:b/>
          </w:rPr>
          <w:t>Confidential Appendix FCS 0</w:t>
        </w:r>
        <w:r w:rsidR="00BC033C" w:rsidRPr="00E44A8E">
          <w:rPr>
            <w:rStyle w:val="Hyperlink"/>
            <w:rFonts w:asciiTheme="minorHAnsi" w:hAnsiTheme="minorHAnsi" w:cstheme="minorHAnsi"/>
            <w:b/>
          </w:rPr>
          <w:t>7</w:t>
        </w:r>
        <w:r w:rsidRPr="00E44A8E">
          <w:rPr>
            <w:rStyle w:val="Hyperlink"/>
            <w:rFonts w:asciiTheme="minorHAnsi" w:hAnsiTheme="minorHAnsi" w:cstheme="minorHAnsi"/>
            <w:b/>
          </w:rPr>
          <w:t>/</w:t>
        </w:r>
        <w:r w:rsidR="001960AE" w:rsidRPr="00E44A8E">
          <w:rPr>
            <w:rStyle w:val="Hyperlink"/>
            <w:rFonts w:asciiTheme="minorHAnsi" w:hAnsiTheme="minorHAnsi" w:cstheme="minorHAnsi"/>
            <w:b/>
          </w:rPr>
          <w:t>0</w:t>
        </w:r>
        <w:r w:rsidR="006C35B8" w:rsidRPr="00E44A8E">
          <w:rPr>
            <w:rStyle w:val="Hyperlink"/>
            <w:rFonts w:asciiTheme="minorHAnsi" w:hAnsiTheme="minorHAnsi" w:cstheme="minorHAnsi"/>
            <w:b/>
          </w:rPr>
          <w:t>5</w:t>
        </w:r>
        <w:r w:rsidRPr="00E44A8E">
          <w:rPr>
            <w:rStyle w:val="Hyperlink"/>
            <w:rFonts w:asciiTheme="minorHAnsi" w:hAnsiTheme="minorHAnsi" w:cstheme="minorHAnsi"/>
            <w:b/>
          </w:rPr>
          <w:t>/</w:t>
        </w:r>
        <w:r w:rsidR="001960AE" w:rsidRPr="00E44A8E">
          <w:rPr>
            <w:rStyle w:val="Hyperlink"/>
            <w:rFonts w:asciiTheme="minorHAnsi" w:hAnsiTheme="minorHAnsi" w:cstheme="minorHAnsi"/>
            <w:b/>
          </w:rPr>
          <w:t>20</w:t>
        </w:r>
      </w:hyperlink>
      <w:r w:rsidRPr="00E44A8E">
        <w:rPr>
          <w:rFonts w:asciiTheme="minorHAnsi" w:hAnsiTheme="minorHAnsi" w:cstheme="minorHAnsi"/>
          <w:b/>
          <w:color w:val="0000FF"/>
          <w:u w:val="single" w:color="0000FF"/>
        </w:rPr>
        <w:t>)</w:t>
      </w:r>
      <w:r w:rsidRPr="00E44A8E">
        <w:rPr>
          <w:rFonts w:asciiTheme="minorHAnsi" w:hAnsiTheme="minorHAnsi" w:cstheme="minorHAnsi"/>
          <w:b/>
        </w:rPr>
        <w:t xml:space="preserve"> (pages </w:t>
      </w:r>
      <w:r w:rsidR="000859FF">
        <w:rPr>
          <w:rFonts w:asciiTheme="minorHAnsi" w:hAnsiTheme="minorHAnsi" w:cstheme="minorHAnsi"/>
          <w:b/>
        </w:rPr>
        <w:t>29</w:t>
      </w:r>
      <w:r w:rsidRPr="00E44A8E">
        <w:rPr>
          <w:rFonts w:asciiTheme="minorHAnsi" w:hAnsiTheme="minorHAnsi" w:cstheme="minorHAnsi"/>
          <w:b/>
        </w:rPr>
        <w:t>-</w:t>
      </w:r>
      <w:r w:rsidR="000859FF">
        <w:rPr>
          <w:rFonts w:asciiTheme="minorHAnsi" w:hAnsiTheme="minorHAnsi" w:cstheme="minorHAnsi"/>
          <w:b/>
        </w:rPr>
        <w:t>33</w:t>
      </w:r>
      <w:r w:rsidRPr="002719F3">
        <w:rPr>
          <w:rFonts w:asciiTheme="minorHAnsi" w:hAnsiTheme="minorHAnsi" w:cstheme="minorHAnsi"/>
          <w:b/>
        </w:rPr>
        <w:t>)</w:t>
      </w:r>
      <w:r w:rsidR="000D5080" w:rsidRPr="002719F3">
        <w:rPr>
          <w:rFonts w:asciiTheme="minorHAnsi" w:hAnsiTheme="minorHAnsi" w:cstheme="minorHAnsi"/>
          <w:b/>
          <w:bCs/>
        </w:rPr>
        <w:t xml:space="preserve"> </w:t>
      </w:r>
    </w:p>
    <w:p w14:paraId="2F7A80D0" w14:textId="4CD1B184" w:rsidR="003B641B" w:rsidRPr="00E44A8E" w:rsidRDefault="002805A7" w:rsidP="000859FF">
      <w:pPr>
        <w:pStyle w:val="ListParagraph"/>
        <w:numPr>
          <w:ilvl w:val="0"/>
          <w:numId w:val="24"/>
        </w:numPr>
        <w:tabs>
          <w:tab w:val="left" w:pos="1560"/>
          <w:tab w:val="left" w:pos="8647"/>
        </w:tabs>
        <w:ind w:left="1985" w:right="689" w:hanging="425"/>
        <w:rPr>
          <w:rFonts w:asciiTheme="minorHAnsi" w:hAnsiTheme="minorHAnsi" w:cstheme="minorHAnsi"/>
          <w:b/>
        </w:rPr>
      </w:pPr>
      <w:r w:rsidRPr="00E44A8E">
        <w:rPr>
          <w:rFonts w:asciiTheme="minorHAnsi" w:hAnsiTheme="minorHAnsi" w:cstheme="minorHAnsi"/>
        </w:rPr>
        <w:t>Original pack dispensing</w:t>
      </w:r>
      <w:r w:rsidR="000B6FCB" w:rsidRPr="00E44A8E">
        <w:rPr>
          <w:rFonts w:asciiTheme="minorHAnsi" w:hAnsiTheme="minorHAnsi" w:cstheme="minorHAnsi"/>
          <w:bCs/>
        </w:rPr>
        <w:t xml:space="preserve"> </w:t>
      </w:r>
      <w:r w:rsidR="000B6FCB" w:rsidRPr="00E44A8E">
        <w:rPr>
          <w:rFonts w:asciiTheme="minorHAnsi" w:hAnsiTheme="minorHAnsi" w:cstheme="minorHAnsi"/>
          <w:b/>
          <w:color w:val="0000FF"/>
          <w:u w:val="single" w:color="0000FF"/>
        </w:rPr>
        <w:t>(</w:t>
      </w:r>
      <w:hyperlink w:anchor="FCS08" w:history="1">
        <w:r w:rsidR="000B6FCB" w:rsidRPr="00E44A8E">
          <w:rPr>
            <w:rStyle w:val="Hyperlink"/>
            <w:rFonts w:asciiTheme="minorHAnsi" w:hAnsiTheme="minorHAnsi" w:cstheme="minorHAnsi"/>
            <w:b/>
          </w:rPr>
          <w:t>Confidential Appendix</w:t>
        </w:r>
        <w:r w:rsidR="000D4550" w:rsidRPr="00E44A8E">
          <w:rPr>
            <w:rStyle w:val="Hyperlink"/>
            <w:rFonts w:asciiTheme="minorHAnsi" w:hAnsiTheme="minorHAnsi" w:cstheme="minorHAnsi"/>
            <w:b/>
          </w:rPr>
          <w:t xml:space="preserve"> FCS 0</w:t>
        </w:r>
        <w:r w:rsidR="00BC033C" w:rsidRPr="00E44A8E">
          <w:rPr>
            <w:rStyle w:val="Hyperlink"/>
            <w:rFonts w:asciiTheme="minorHAnsi" w:hAnsiTheme="minorHAnsi" w:cstheme="minorHAnsi"/>
            <w:b/>
          </w:rPr>
          <w:t>8</w:t>
        </w:r>
        <w:r w:rsidR="000D4550" w:rsidRPr="00E44A8E">
          <w:rPr>
            <w:rStyle w:val="Hyperlink"/>
            <w:rFonts w:asciiTheme="minorHAnsi" w:hAnsiTheme="minorHAnsi" w:cstheme="minorHAnsi"/>
            <w:b/>
          </w:rPr>
          <w:t>/0</w:t>
        </w:r>
        <w:r w:rsidR="006C35B8" w:rsidRPr="00E44A8E">
          <w:rPr>
            <w:rStyle w:val="Hyperlink"/>
            <w:rFonts w:asciiTheme="minorHAnsi" w:hAnsiTheme="minorHAnsi" w:cstheme="minorHAnsi"/>
            <w:b/>
          </w:rPr>
          <w:t>5</w:t>
        </w:r>
        <w:r w:rsidR="000D4550" w:rsidRPr="00E44A8E">
          <w:rPr>
            <w:rStyle w:val="Hyperlink"/>
            <w:rFonts w:asciiTheme="minorHAnsi" w:hAnsiTheme="minorHAnsi" w:cstheme="minorHAnsi"/>
            <w:b/>
          </w:rPr>
          <w:t>/20</w:t>
        </w:r>
      </w:hyperlink>
      <w:r w:rsidR="000D4550" w:rsidRPr="00E44A8E">
        <w:rPr>
          <w:rFonts w:asciiTheme="minorHAnsi" w:hAnsiTheme="minorHAnsi" w:cstheme="minorHAnsi"/>
          <w:b/>
          <w:color w:val="0000FF"/>
          <w:u w:val="single" w:color="0000FF"/>
        </w:rPr>
        <w:t>)</w:t>
      </w:r>
      <w:r w:rsidR="000D4550" w:rsidRPr="00E44A8E">
        <w:rPr>
          <w:rFonts w:asciiTheme="minorHAnsi" w:hAnsiTheme="minorHAnsi" w:cstheme="minorHAnsi"/>
          <w:bCs/>
        </w:rPr>
        <w:t xml:space="preserve"> </w:t>
      </w:r>
      <w:r w:rsidR="000D4550" w:rsidRPr="00E44A8E">
        <w:rPr>
          <w:rFonts w:asciiTheme="minorHAnsi" w:hAnsiTheme="minorHAnsi" w:cstheme="minorHAnsi"/>
          <w:b/>
        </w:rPr>
        <w:t xml:space="preserve">(pages </w:t>
      </w:r>
      <w:r w:rsidR="000859FF">
        <w:rPr>
          <w:rFonts w:asciiTheme="minorHAnsi" w:hAnsiTheme="minorHAnsi" w:cstheme="minorHAnsi"/>
          <w:b/>
        </w:rPr>
        <w:t>34</w:t>
      </w:r>
      <w:r w:rsidR="000D4550" w:rsidRPr="00E44A8E">
        <w:rPr>
          <w:rFonts w:asciiTheme="minorHAnsi" w:hAnsiTheme="minorHAnsi" w:cstheme="minorHAnsi"/>
          <w:b/>
        </w:rPr>
        <w:t>-</w:t>
      </w:r>
      <w:r w:rsidR="000859FF">
        <w:rPr>
          <w:rFonts w:asciiTheme="minorHAnsi" w:hAnsiTheme="minorHAnsi" w:cstheme="minorHAnsi"/>
          <w:b/>
        </w:rPr>
        <w:t>41</w:t>
      </w:r>
      <w:r w:rsidR="000D4550" w:rsidRPr="00E44A8E">
        <w:rPr>
          <w:rFonts w:asciiTheme="minorHAnsi" w:hAnsiTheme="minorHAnsi" w:cstheme="minorHAnsi"/>
          <w:b/>
        </w:rPr>
        <w:t>)</w:t>
      </w:r>
      <w:r w:rsidR="00DC3829" w:rsidRPr="00E44A8E">
        <w:rPr>
          <w:rFonts w:asciiTheme="minorHAnsi" w:hAnsiTheme="minorHAnsi" w:cstheme="minorHAnsi"/>
          <w:b/>
        </w:rPr>
        <w:t xml:space="preserve"> </w:t>
      </w:r>
    </w:p>
    <w:p w14:paraId="4AF75662" w14:textId="207DED2A" w:rsidR="00852170" w:rsidRPr="00E44A8E" w:rsidRDefault="00852170" w:rsidP="000859FF">
      <w:pPr>
        <w:pStyle w:val="ListParagraph"/>
        <w:numPr>
          <w:ilvl w:val="0"/>
          <w:numId w:val="24"/>
        </w:numPr>
        <w:tabs>
          <w:tab w:val="left" w:pos="1560"/>
          <w:tab w:val="left" w:pos="10206"/>
        </w:tabs>
        <w:ind w:left="1985" w:right="1134" w:hanging="425"/>
        <w:rPr>
          <w:rFonts w:asciiTheme="minorHAnsi" w:hAnsiTheme="minorHAnsi" w:cstheme="minorHAnsi"/>
          <w:b/>
        </w:rPr>
      </w:pPr>
      <w:r w:rsidRPr="00E44A8E">
        <w:rPr>
          <w:rFonts w:asciiTheme="minorHAnsi" w:hAnsiTheme="minorHAnsi" w:cstheme="minorHAnsi"/>
        </w:rPr>
        <w:t xml:space="preserve">Quotas </w:t>
      </w:r>
      <w:r w:rsidRPr="00E44A8E">
        <w:rPr>
          <w:rFonts w:asciiTheme="minorHAnsi" w:hAnsiTheme="minorHAnsi" w:cstheme="minorHAnsi"/>
          <w:b/>
          <w:color w:val="0000FF"/>
          <w:u w:val="single" w:color="0000FF"/>
        </w:rPr>
        <w:t>(</w:t>
      </w:r>
      <w:hyperlink w:anchor="FCS09" w:history="1">
        <w:r w:rsidRPr="00E44A8E">
          <w:rPr>
            <w:rStyle w:val="Hyperlink"/>
            <w:rFonts w:asciiTheme="minorHAnsi" w:hAnsiTheme="minorHAnsi" w:cstheme="minorHAnsi"/>
            <w:b/>
          </w:rPr>
          <w:t>Confidential Appendix FCS 0</w:t>
        </w:r>
        <w:r w:rsidR="00BC033C" w:rsidRPr="00E44A8E">
          <w:rPr>
            <w:rStyle w:val="Hyperlink"/>
            <w:rFonts w:asciiTheme="minorHAnsi" w:hAnsiTheme="minorHAnsi" w:cstheme="minorHAnsi"/>
            <w:b/>
          </w:rPr>
          <w:t>9</w:t>
        </w:r>
        <w:r w:rsidRPr="00E44A8E">
          <w:rPr>
            <w:rStyle w:val="Hyperlink"/>
            <w:rFonts w:asciiTheme="minorHAnsi" w:hAnsiTheme="minorHAnsi" w:cstheme="minorHAnsi"/>
            <w:b/>
          </w:rPr>
          <w:t>/05/20</w:t>
        </w:r>
      </w:hyperlink>
      <w:r w:rsidRPr="00E44A8E">
        <w:rPr>
          <w:rFonts w:asciiTheme="minorHAnsi" w:hAnsiTheme="minorHAnsi" w:cstheme="minorHAnsi"/>
          <w:b/>
          <w:color w:val="0000FF"/>
          <w:u w:val="single" w:color="0000FF"/>
        </w:rPr>
        <w:t>)</w:t>
      </w:r>
      <w:r w:rsidRPr="00E44A8E">
        <w:rPr>
          <w:rFonts w:asciiTheme="minorHAnsi" w:hAnsiTheme="minorHAnsi" w:cstheme="minorHAnsi"/>
          <w:bCs/>
        </w:rPr>
        <w:t xml:space="preserve"> </w:t>
      </w:r>
      <w:r w:rsidRPr="00E44A8E">
        <w:rPr>
          <w:rFonts w:asciiTheme="minorHAnsi" w:hAnsiTheme="minorHAnsi" w:cstheme="minorHAnsi"/>
          <w:b/>
        </w:rPr>
        <w:t xml:space="preserve">(pages </w:t>
      </w:r>
      <w:r w:rsidR="000859FF">
        <w:rPr>
          <w:rFonts w:asciiTheme="minorHAnsi" w:hAnsiTheme="minorHAnsi" w:cstheme="minorHAnsi"/>
          <w:b/>
        </w:rPr>
        <w:t>42</w:t>
      </w:r>
      <w:r w:rsidRPr="002719F3">
        <w:rPr>
          <w:rFonts w:asciiTheme="minorHAnsi" w:hAnsiTheme="minorHAnsi" w:cstheme="minorHAnsi"/>
          <w:b/>
        </w:rPr>
        <w:t>-</w:t>
      </w:r>
      <w:r w:rsidR="000859FF" w:rsidRPr="002719F3">
        <w:rPr>
          <w:rFonts w:asciiTheme="minorHAnsi" w:hAnsiTheme="minorHAnsi" w:cstheme="minorHAnsi"/>
          <w:b/>
        </w:rPr>
        <w:t>45</w:t>
      </w:r>
      <w:r w:rsidRPr="00E44A8E">
        <w:rPr>
          <w:rFonts w:asciiTheme="minorHAnsi" w:hAnsiTheme="minorHAnsi" w:cstheme="minorHAnsi"/>
          <w:b/>
        </w:rPr>
        <w:t>)</w:t>
      </w:r>
    </w:p>
    <w:p w14:paraId="30D8C751" w14:textId="699B63F8" w:rsidR="00BC033C" w:rsidRPr="00E44A8E" w:rsidRDefault="00EA05A9" w:rsidP="000859FF">
      <w:pPr>
        <w:pStyle w:val="ListParagraph"/>
        <w:numPr>
          <w:ilvl w:val="0"/>
          <w:numId w:val="24"/>
        </w:numPr>
        <w:tabs>
          <w:tab w:val="left" w:pos="1560"/>
          <w:tab w:val="left" w:pos="10206"/>
        </w:tabs>
        <w:ind w:left="1985" w:right="1134" w:hanging="425"/>
        <w:rPr>
          <w:rFonts w:asciiTheme="minorHAnsi" w:hAnsiTheme="minorHAnsi" w:cstheme="minorHAnsi"/>
          <w:b/>
          <w:bCs/>
        </w:rPr>
      </w:pPr>
      <w:r w:rsidRPr="00E44A8E">
        <w:rPr>
          <w:rFonts w:asciiTheme="minorHAnsi" w:hAnsiTheme="minorHAnsi" w:cstheme="minorHAnsi"/>
        </w:rPr>
        <w:t xml:space="preserve">Reimbursement changes </w:t>
      </w:r>
      <w:r w:rsidRPr="002719F3">
        <w:rPr>
          <w:rFonts w:asciiTheme="minorHAnsi" w:hAnsiTheme="minorHAnsi" w:cstheme="minorHAnsi"/>
          <w:b/>
          <w:bCs/>
        </w:rPr>
        <w:t>(</w:t>
      </w:r>
      <w:hyperlink w:anchor="FCS10" w:history="1">
        <w:r w:rsidRPr="002719F3">
          <w:rPr>
            <w:rStyle w:val="Hyperlink"/>
            <w:rFonts w:asciiTheme="minorHAnsi" w:hAnsiTheme="minorHAnsi" w:cstheme="minorHAnsi"/>
            <w:b/>
            <w:bCs/>
          </w:rPr>
          <w:t xml:space="preserve">Confidential Appendix FCS </w:t>
        </w:r>
        <w:r w:rsidR="00957E16" w:rsidRPr="002719F3">
          <w:rPr>
            <w:rStyle w:val="Hyperlink"/>
            <w:rFonts w:asciiTheme="minorHAnsi" w:hAnsiTheme="minorHAnsi" w:cstheme="minorHAnsi"/>
            <w:b/>
            <w:bCs/>
          </w:rPr>
          <w:t>1</w:t>
        </w:r>
        <w:r w:rsidRPr="002719F3">
          <w:rPr>
            <w:rStyle w:val="Hyperlink"/>
            <w:rFonts w:asciiTheme="minorHAnsi" w:hAnsiTheme="minorHAnsi" w:cstheme="minorHAnsi"/>
            <w:b/>
            <w:bCs/>
          </w:rPr>
          <w:t>0/02/20)</w:t>
        </w:r>
      </w:hyperlink>
      <w:r w:rsidRPr="00E44A8E">
        <w:rPr>
          <w:rFonts w:asciiTheme="minorHAnsi" w:hAnsiTheme="minorHAnsi" w:cstheme="minorHAnsi"/>
        </w:rPr>
        <w:t xml:space="preserve"> </w:t>
      </w:r>
      <w:r w:rsidRPr="009D7023">
        <w:rPr>
          <w:rFonts w:asciiTheme="minorHAnsi" w:hAnsiTheme="minorHAnsi" w:cstheme="minorHAnsi"/>
          <w:b/>
          <w:bCs/>
        </w:rPr>
        <w:t xml:space="preserve">(pages </w:t>
      </w:r>
      <w:r w:rsidR="000859FF" w:rsidRPr="009D7023">
        <w:rPr>
          <w:rFonts w:asciiTheme="minorHAnsi" w:hAnsiTheme="minorHAnsi" w:cstheme="minorHAnsi"/>
          <w:b/>
          <w:bCs/>
        </w:rPr>
        <w:t>46</w:t>
      </w:r>
      <w:r w:rsidRPr="009D7023">
        <w:rPr>
          <w:rFonts w:asciiTheme="minorHAnsi" w:hAnsiTheme="minorHAnsi" w:cstheme="minorHAnsi"/>
          <w:b/>
          <w:bCs/>
        </w:rPr>
        <w:t>-</w:t>
      </w:r>
      <w:r w:rsidR="000859FF" w:rsidRPr="009D7023">
        <w:rPr>
          <w:rFonts w:asciiTheme="minorHAnsi" w:hAnsiTheme="minorHAnsi" w:cstheme="minorHAnsi"/>
          <w:b/>
          <w:bCs/>
        </w:rPr>
        <w:t>48</w:t>
      </w:r>
      <w:r w:rsidRPr="009D7023">
        <w:rPr>
          <w:rFonts w:asciiTheme="minorHAnsi" w:hAnsiTheme="minorHAnsi" w:cstheme="minorHAnsi"/>
          <w:b/>
          <w:bCs/>
        </w:rPr>
        <w:t>)</w:t>
      </w:r>
    </w:p>
    <w:p w14:paraId="14EACFFD" w14:textId="1A69577A" w:rsidR="003C6DD8" w:rsidRPr="00E44A8E" w:rsidRDefault="003C6DD8" w:rsidP="000859FF">
      <w:pPr>
        <w:pStyle w:val="ListParagraph"/>
        <w:numPr>
          <w:ilvl w:val="0"/>
          <w:numId w:val="24"/>
        </w:numPr>
        <w:tabs>
          <w:tab w:val="left" w:pos="1560"/>
          <w:tab w:val="left" w:pos="10206"/>
        </w:tabs>
        <w:ind w:left="1985" w:right="1134" w:hanging="425"/>
        <w:rPr>
          <w:rFonts w:asciiTheme="minorHAnsi" w:hAnsiTheme="minorHAnsi" w:cstheme="minorHAnsi"/>
        </w:rPr>
      </w:pPr>
      <w:r w:rsidRPr="00E44A8E">
        <w:rPr>
          <w:rFonts w:asciiTheme="minorHAnsi" w:hAnsiTheme="minorHAnsi" w:cstheme="minorHAnsi"/>
        </w:rPr>
        <w:t xml:space="preserve">Price concessions analysis </w:t>
      </w:r>
      <w:r w:rsidRPr="00E44A8E">
        <w:rPr>
          <w:rFonts w:asciiTheme="minorHAnsi" w:hAnsiTheme="minorHAnsi" w:cstheme="minorHAnsi"/>
          <w:b/>
          <w:color w:val="0000FF"/>
          <w:u w:val="single" w:color="0000FF"/>
        </w:rPr>
        <w:t>(</w:t>
      </w:r>
      <w:hyperlink w:anchor="FCS11" w:history="1">
        <w:r w:rsidRPr="00E44A8E">
          <w:rPr>
            <w:rStyle w:val="Hyperlink"/>
            <w:rFonts w:asciiTheme="minorHAnsi" w:hAnsiTheme="minorHAnsi" w:cstheme="minorHAnsi"/>
            <w:b/>
          </w:rPr>
          <w:t>Confidential Appendix FCS 11/05/20</w:t>
        </w:r>
      </w:hyperlink>
      <w:r w:rsidRPr="00E44A8E">
        <w:rPr>
          <w:rFonts w:asciiTheme="minorHAnsi" w:hAnsiTheme="minorHAnsi" w:cstheme="minorHAnsi"/>
          <w:b/>
          <w:color w:val="0000FF"/>
          <w:u w:val="single" w:color="0000FF"/>
        </w:rPr>
        <w:t>)</w:t>
      </w:r>
      <w:r w:rsidRPr="00E44A8E">
        <w:rPr>
          <w:rFonts w:asciiTheme="minorHAnsi" w:hAnsiTheme="minorHAnsi" w:cstheme="minorHAnsi"/>
          <w:bCs/>
        </w:rPr>
        <w:t xml:space="preserve"> </w:t>
      </w:r>
      <w:r w:rsidRPr="00E44A8E">
        <w:rPr>
          <w:rFonts w:asciiTheme="minorHAnsi" w:hAnsiTheme="minorHAnsi" w:cstheme="minorHAnsi"/>
          <w:b/>
        </w:rPr>
        <w:t xml:space="preserve">(pages </w:t>
      </w:r>
      <w:r w:rsidR="000859FF">
        <w:rPr>
          <w:rFonts w:asciiTheme="minorHAnsi" w:hAnsiTheme="minorHAnsi" w:cstheme="minorHAnsi"/>
          <w:b/>
        </w:rPr>
        <w:t>49</w:t>
      </w:r>
      <w:r w:rsidRPr="002719F3">
        <w:rPr>
          <w:rFonts w:asciiTheme="minorHAnsi" w:hAnsiTheme="minorHAnsi" w:cstheme="minorHAnsi"/>
          <w:b/>
        </w:rPr>
        <w:t>-</w:t>
      </w:r>
      <w:r w:rsidR="000859FF">
        <w:rPr>
          <w:rFonts w:asciiTheme="minorHAnsi" w:hAnsiTheme="minorHAnsi" w:cstheme="minorHAnsi"/>
          <w:b/>
        </w:rPr>
        <w:t>52</w:t>
      </w:r>
      <w:r w:rsidRPr="00E44A8E">
        <w:rPr>
          <w:rFonts w:asciiTheme="minorHAnsi" w:hAnsiTheme="minorHAnsi" w:cstheme="minorHAnsi"/>
          <w:b/>
        </w:rPr>
        <w:t>)</w:t>
      </w:r>
    </w:p>
    <w:p w14:paraId="0AC93FF3" w14:textId="77777777" w:rsidR="00D01891" w:rsidRPr="00E44A8E" w:rsidRDefault="00D01891" w:rsidP="00540789">
      <w:pPr>
        <w:pStyle w:val="BodyText"/>
        <w:tabs>
          <w:tab w:val="left" w:pos="9781"/>
        </w:tabs>
        <w:ind w:left="1134" w:right="264"/>
        <w:rPr>
          <w:rFonts w:ascii="Verdana"/>
          <w:b/>
        </w:rPr>
      </w:pPr>
    </w:p>
    <w:p w14:paraId="65A70A0B" w14:textId="77777777" w:rsidR="00D01891" w:rsidRPr="00E44A8E" w:rsidRDefault="00D57E60" w:rsidP="00267E9D">
      <w:pPr>
        <w:pStyle w:val="ListParagraph"/>
        <w:numPr>
          <w:ilvl w:val="0"/>
          <w:numId w:val="1"/>
        </w:numPr>
        <w:tabs>
          <w:tab w:val="left" w:pos="1579"/>
          <w:tab w:val="left" w:pos="10206"/>
        </w:tabs>
        <w:spacing w:before="52"/>
        <w:ind w:left="1134" w:right="1134" w:firstLine="0"/>
      </w:pPr>
      <w:bookmarkStart w:id="2" w:name="_bookmark1"/>
      <w:bookmarkEnd w:id="2"/>
      <w:r w:rsidRPr="00E44A8E">
        <w:t>CPCF</w:t>
      </w:r>
    </w:p>
    <w:p w14:paraId="7C9979DA" w14:textId="71B6176D" w:rsidR="00FD7984" w:rsidRPr="00E44A8E" w:rsidRDefault="00F55207" w:rsidP="000859FF">
      <w:pPr>
        <w:pStyle w:val="ListParagraph"/>
        <w:numPr>
          <w:ilvl w:val="0"/>
          <w:numId w:val="25"/>
        </w:numPr>
        <w:tabs>
          <w:tab w:val="left" w:pos="1560"/>
          <w:tab w:val="left" w:pos="10206"/>
        </w:tabs>
        <w:ind w:left="1985" w:right="1134" w:hanging="425"/>
        <w:rPr>
          <w:rFonts w:asciiTheme="minorHAnsi" w:hAnsiTheme="minorHAnsi" w:cstheme="minorHAnsi"/>
        </w:rPr>
      </w:pPr>
      <w:proofErr w:type="spellStart"/>
      <w:r w:rsidRPr="00E44A8E">
        <w:t>PoT</w:t>
      </w:r>
      <w:proofErr w:type="spellEnd"/>
      <w:r w:rsidRPr="00E44A8E">
        <w:t xml:space="preserve"> </w:t>
      </w:r>
      <w:r w:rsidR="00FD7984" w:rsidRPr="00E44A8E">
        <w:t xml:space="preserve">discussion document </w:t>
      </w:r>
      <w:r w:rsidR="00FD7984" w:rsidRPr="00E44A8E">
        <w:rPr>
          <w:rFonts w:asciiTheme="minorHAnsi" w:hAnsiTheme="minorHAnsi" w:cstheme="minorHAnsi"/>
          <w:b/>
          <w:color w:val="0000FF"/>
          <w:u w:val="single" w:color="0000FF"/>
        </w:rPr>
        <w:t>(</w:t>
      </w:r>
      <w:hyperlink w:anchor="FCS12" w:history="1">
        <w:r w:rsidR="00FD7984" w:rsidRPr="00E44A8E">
          <w:rPr>
            <w:rStyle w:val="Hyperlink"/>
            <w:rFonts w:asciiTheme="minorHAnsi" w:hAnsiTheme="minorHAnsi" w:cstheme="minorHAnsi"/>
            <w:b/>
          </w:rPr>
          <w:t>Confidential Appendix FCS 12/05/20</w:t>
        </w:r>
      </w:hyperlink>
      <w:r w:rsidR="00FD7984" w:rsidRPr="00E44A8E">
        <w:rPr>
          <w:rFonts w:asciiTheme="minorHAnsi" w:hAnsiTheme="minorHAnsi" w:cstheme="minorHAnsi"/>
          <w:b/>
          <w:color w:val="0000FF"/>
          <w:u w:val="single" w:color="0000FF"/>
        </w:rPr>
        <w:t>)</w:t>
      </w:r>
      <w:r w:rsidR="00FD7984" w:rsidRPr="00E44A8E">
        <w:rPr>
          <w:rFonts w:asciiTheme="minorHAnsi" w:hAnsiTheme="minorHAnsi" w:cstheme="minorHAnsi"/>
          <w:bCs/>
        </w:rPr>
        <w:t xml:space="preserve"> </w:t>
      </w:r>
      <w:r w:rsidR="00FD7984" w:rsidRPr="00E44A8E">
        <w:rPr>
          <w:rFonts w:asciiTheme="minorHAnsi" w:hAnsiTheme="minorHAnsi" w:cstheme="minorHAnsi"/>
          <w:b/>
        </w:rPr>
        <w:t xml:space="preserve">(pages </w:t>
      </w:r>
      <w:r w:rsidR="000859FF">
        <w:rPr>
          <w:rFonts w:asciiTheme="minorHAnsi" w:hAnsiTheme="minorHAnsi" w:cstheme="minorHAnsi"/>
          <w:b/>
        </w:rPr>
        <w:t>53</w:t>
      </w:r>
      <w:r w:rsidR="00FD7984" w:rsidRPr="002719F3">
        <w:rPr>
          <w:rFonts w:asciiTheme="minorHAnsi" w:hAnsiTheme="minorHAnsi" w:cstheme="minorHAnsi"/>
          <w:b/>
        </w:rPr>
        <w:t>-</w:t>
      </w:r>
      <w:r w:rsidR="000859FF">
        <w:rPr>
          <w:rFonts w:asciiTheme="minorHAnsi" w:hAnsiTheme="minorHAnsi" w:cstheme="minorHAnsi"/>
          <w:b/>
        </w:rPr>
        <w:t>56</w:t>
      </w:r>
      <w:r w:rsidR="00FD7984" w:rsidRPr="00E44A8E">
        <w:rPr>
          <w:rFonts w:asciiTheme="minorHAnsi" w:hAnsiTheme="minorHAnsi" w:cstheme="minorHAnsi"/>
          <w:b/>
        </w:rPr>
        <w:t>)</w:t>
      </w:r>
    </w:p>
    <w:p w14:paraId="681D3BDC" w14:textId="77777777" w:rsidR="00A901AC" w:rsidRPr="00E44A8E" w:rsidRDefault="00A901AC" w:rsidP="00A901AC">
      <w:pPr>
        <w:tabs>
          <w:tab w:val="left" w:pos="1560"/>
          <w:tab w:val="left" w:pos="10206"/>
        </w:tabs>
        <w:spacing w:line="282" w:lineRule="exact"/>
        <w:ind w:right="1134"/>
        <w:rPr>
          <w:rFonts w:ascii="Verdana"/>
        </w:rPr>
      </w:pPr>
    </w:p>
    <w:p w14:paraId="259D1D2E" w14:textId="7663D0CB" w:rsidR="000D5080" w:rsidRPr="00E44A8E" w:rsidRDefault="00D57E60" w:rsidP="000859FF">
      <w:pPr>
        <w:pStyle w:val="ListParagraph"/>
        <w:numPr>
          <w:ilvl w:val="0"/>
          <w:numId w:val="1"/>
        </w:numPr>
        <w:tabs>
          <w:tab w:val="left" w:pos="1287"/>
        </w:tabs>
        <w:ind w:left="1560" w:right="1134" w:hanging="426"/>
        <w:rPr>
          <w:rFonts w:ascii="Verdana"/>
          <w:b/>
        </w:rPr>
      </w:pPr>
      <w:r w:rsidRPr="00E44A8E">
        <w:t xml:space="preserve">General funding update </w:t>
      </w:r>
      <w:r w:rsidRPr="00E44A8E">
        <w:rPr>
          <w:b/>
          <w:color w:val="0000FF"/>
          <w:u w:color="0000FF"/>
        </w:rPr>
        <w:t>(</w:t>
      </w:r>
      <w:hyperlink w:anchor="FCS13" w:history="1">
        <w:r w:rsidRPr="00E44A8E">
          <w:rPr>
            <w:rStyle w:val="Hyperlink"/>
            <w:b/>
          </w:rPr>
          <w:t xml:space="preserve">Appendix FCS </w:t>
        </w:r>
        <w:r w:rsidR="009D3AEC" w:rsidRPr="00E44A8E">
          <w:rPr>
            <w:rStyle w:val="Hyperlink"/>
            <w:b/>
          </w:rPr>
          <w:t>1</w:t>
        </w:r>
        <w:r w:rsidR="00FD7984" w:rsidRPr="00E44A8E">
          <w:rPr>
            <w:rStyle w:val="Hyperlink"/>
            <w:b/>
          </w:rPr>
          <w:t>3</w:t>
        </w:r>
        <w:r w:rsidRPr="00E44A8E">
          <w:rPr>
            <w:rStyle w:val="Hyperlink"/>
            <w:b/>
          </w:rPr>
          <w:t>/</w:t>
        </w:r>
        <w:r w:rsidR="00F8214C" w:rsidRPr="00E44A8E">
          <w:rPr>
            <w:rStyle w:val="Hyperlink"/>
            <w:b/>
          </w:rPr>
          <w:t>0</w:t>
        </w:r>
        <w:r w:rsidR="00A901AC" w:rsidRPr="00E44A8E">
          <w:rPr>
            <w:rStyle w:val="Hyperlink"/>
            <w:b/>
          </w:rPr>
          <w:t>5</w:t>
        </w:r>
        <w:r w:rsidRPr="00E44A8E">
          <w:rPr>
            <w:rStyle w:val="Hyperlink"/>
            <w:b/>
          </w:rPr>
          <w:t>/</w:t>
        </w:r>
        <w:r w:rsidR="00F8214C" w:rsidRPr="00E44A8E">
          <w:rPr>
            <w:rStyle w:val="Hyperlink"/>
            <w:b/>
          </w:rPr>
          <w:t>20</w:t>
        </w:r>
      </w:hyperlink>
      <w:r w:rsidRPr="00E44A8E">
        <w:rPr>
          <w:b/>
          <w:color w:val="0000FF"/>
          <w:u w:color="0000FF"/>
        </w:rPr>
        <w:t>) (</w:t>
      </w:r>
      <w:r w:rsidRPr="00E44A8E">
        <w:rPr>
          <w:b/>
        </w:rPr>
        <w:t xml:space="preserve">pages </w:t>
      </w:r>
      <w:r w:rsidR="000859FF">
        <w:rPr>
          <w:b/>
        </w:rPr>
        <w:t>57</w:t>
      </w:r>
      <w:r w:rsidRPr="00E44A8E">
        <w:rPr>
          <w:b/>
        </w:rPr>
        <w:t>-</w:t>
      </w:r>
      <w:r w:rsidR="000859FF">
        <w:rPr>
          <w:b/>
        </w:rPr>
        <w:t>65</w:t>
      </w:r>
      <w:r w:rsidRPr="00E44A8E">
        <w:rPr>
          <w:b/>
        </w:rPr>
        <w:t>)</w:t>
      </w:r>
    </w:p>
    <w:p w14:paraId="081EAB38" w14:textId="77777777" w:rsidR="000D5080" w:rsidRPr="00E44A8E" w:rsidRDefault="000D5080" w:rsidP="000859FF">
      <w:pPr>
        <w:pStyle w:val="ListParagraph"/>
        <w:tabs>
          <w:tab w:val="left" w:pos="1287"/>
        </w:tabs>
        <w:ind w:left="1560" w:right="1134" w:hanging="426"/>
        <w:rPr>
          <w:rFonts w:ascii="Verdana"/>
          <w:b/>
        </w:rPr>
      </w:pPr>
    </w:p>
    <w:p w14:paraId="34F0063E" w14:textId="4A173BBB" w:rsidR="00D01891" w:rsidRPr="00E44A8E" w:rsidRDefault="00D57E60" w:rsidP="000859FF">
      <w:pPr>
        <w:pStyle w:val="ListParagraph"/>
        <w:numPr>
          <w:ilvl w:val="0"/>
          <w:numId w:val="1"/>
        </w:numPr>
        <w:tabs>
          <w:tab w:val="left" w:pos="1287"/>
        </w:tabs>
        <w:ind w:left="1560" w:right="1134" w:hanging="426"/>
        <w:rPr>
          <w:rFonts w:ascii="Verdana"/>
          <w:b/>
        </w:rPr>
      </w:pPr>
      <w:r w:rsidRPr="00E44A8E">
        <w:t>Statistics</w:t>
      </w:r>
      <w:r w:rsidRPr="00E44A8E">
        <w:rPr>
          <w:color w:val="0000FF"/>
        </w:rPr>
        <w:t xml:space="preserve"> </w:t>
      </w:r>
      <w:r w:rsidRPr="00E44A8E">
        <w:rPr>
          <w:b/>
          <w:color w:val="0000FF"/>
          <w:u w:val="single" w:color="0000FF"/>
        </w:rPr>
        <w:t>(</w:t>
      </w:r>
      <w:hyperlink w:anchor="FCS14" w:history="1">
        <w:r w:rsidRPr="00E44A8E">
          <w:rPr>
            <w:rStyle w:val="Hyperlink"/>
            <w:b/>
          </w:rPr>
          <w:t xml:space="preserve">Appendix FCS </w:t>
        </w:r>
        <w:r w:rsidR="009D3AEC" w:rsidRPr="00E44A8E">
          <w:rPr>
            <w:rStyle w:val="Hyperlink"/>
            <w:b/>
          </w:rPr>
          <w:t>1</w:t>
        </w:r>
        <w:r w:rsidR="00FD7984" w:rsidRPr="00E44A8E">
          <w:rPr>
            <w:rStyle w:val="Hyperlink"/>
            <w:b/>
          </w:rPr>
          <w:t>4</w:t>
        </w:r>
        <w:r w:rsidRPr="00E44A8E">
          <w:rPr>
            <w:rStyle w:val="Hyperlink"/>
            <w:b/>
          </w:rPr>
          <w:t>/</w:t>
        </w:r>
        <w:r w:rsidR="00F8214C" w:rsidRPr="00E44A8E">
          <w:rPr>
            <w:rStyle w:val="Hyperlink"/>
            <w:b/>
          </w:rPr>
          <w:t>0</w:t>
        </w:r>
        <w:r w:rsidR="00A901AC" w:rsidRPr="00E44A8E">
          <w:rPr>
            <w:rStyle w:val="Hyperlink"/>
            <w:b/>
          </w:rPr>
          <w:t>5</w:t>
        </w:r>
        <w:r w:rsidRPr="00E44A8E">
          <w:rPr>
            <w:rStyle w:val="Hyperlink"/>
            <w:b/>
          </w:rPr>
          <w:t>/</w:t>
        </w:r>
        <w:r w:rsidR="00F8214C" w:rsidRPr="00E44A8E">
          <w:rPr>
            <w:rStyle w:val="Hyperlink"/>
            <w:b/>
          </w:rPr>
          <w:t>20</w:t>
        </w:r>
      </w:hyperlink>
      <w:r w:rsidRPr="00E44A8E">
        <w:rPr>
          <w:b/>
          <w:color w:val="0000FF"/>
          <w:u w:val="single" w:color="0000FF"/>
        </w:rPr>
        <w:t>)</w:t>
      </w:r>
      <w:r w:rsidRPr="00E44A8E">
        <w:rPr>
          <w:b/>
          <w:color w:val="0000FF"/>
        </w:rPr>
        <w:t xml:space="preserve"> </w:t>
      </w:r>
      <w:r w:rsidRPr="00E44A8E">
        <w:rPr>
          <w:b/>
        </w:rPr>
        <w:t xml:space="preserve">(pages </w:t>
      </w:r>
      <w:r w:rsidR="000859FF">
        <w:rPr>
          <w:b/>
        </w:rPr>
        <w:t>66</w:t>
      </w:r>
      <w:r w:rsidRPr="00E44A8E">
        <w:rPr>
          <w:b/>
        </w:rPr>
        <w:t>-</w:t>
      </w:r>
      <w:r w:rsidR="000859FF">
        <w:rPr>
          <w:b/>
        </w:rPr>
        <w:t>71</w:t>
      </w:r>
      <w:r w:rsidRPr="00E44A8E">
        <w:rPr>
          <w:b/>
        </w:rPr>
        <w:t>)</w:t>
      </w:r>
    </w:p>
    <w:p w14:paraId="772C35BD" w14:textId="77777777" w:rsidR="00D01891" w:rsidRPr="00E44A8E" w:rsidRDefault="00D01891" w:rsidP="000859FF">
      <w:pPr>
        <w:pStyle w:val="BodyText"/>
        <w:spacing w:before="10"/>
        <w:ind w:left="1560" w:right="1134" w:hanging="426"/>
        <w:rPr>
          <w:rFonts w:ascii="Verdana"/>
          <w:b/>
        </w:rPr>
      </w:pPr>
    </w:p>
    <w:p w14:paraId="57C0DEA9" w14:textId="72F19162" w:rsidR="00D01891" w:rsidRPr="00907E6A" w:rsidRDefault="00D57E60" w:rsidP="000859FF">
      <w:pPr>
        <w:pStyle w:val="ListParagraph"/>
        <w:numPr>
          <w:ilvl w:val="0"/>
          <w:numId w:val="1"/>
        </w:numPr>
        <w:tabs>
          <w:tab w:val="left" w:pos="1579"/>
        </w:tabs>
        <w:spacing w:before="51"/>
        <w:ind w:left="1560" w:right="1134" w:hanging="426"/>
        <w:sectPr w:rsidR="00D01891" w:rsidRPr="00907E6A" w:rsidSect="003D188B">
          <w:footerReference w:type="default" r:id="rId10"/>
          <w:pgSz w:w="11910" w:h="16840"/>
          <w:pgMar w:top="720" w:right="720" w:bottom="720" w:left="720" w:header="0" w:footer="606" w:gutter="0"/>
          <w:cols w:space="720"/>
        </w:sectPr>
      </w:pPr>
      <w:r w:rsidRPr="00E44A8E">
        <w:t>Any other</w:t>
      </w:r>
      <w:r w:rsidRPr="00E44A8E">
        <w:rPr>
          <w:spacing w:val="-2"/>
        </w:rPr>
        <w:t xml:space="preserve"> </w:t>
      </w:r>
      <w:r w:rsidR="009F2F25" w:rsidRPr="00E44A8E">
        <w:t>business</w:t>
      </w:r>
    </w:p>
    <w:p w14:paraId="496B5522" w14:textId="6955076B" w:rsidR="00971820" w:rsidRPr="00907E6A" w:rsidRDefault="00971820" w:rsidP="00971820">
      <w:pPr>
        <w:ind w:left="7077" w:right="717"/>
        <w:jc w:val="right"/>
        <w:rPr>
          <w:b/>
        </w:rPr>
      </w:pPr>
      <w:bookmarkStart w:id="3" w:name="_bookmark2"/>
      <w:bookmarkStart w:id="4" w:name="FCS13"/>
      <w:bookmarkEnd w:id="3"/>
      <w:r w:rsidRPr="00907E6A">
        <w:rPr>
          <w:b/>
          <w:color w:val="5B518E"/>
        </w:rPr>
        <w:t xml:space="preserve">Appendix FCS </w:t>
      </w:r>
      <w:r>
        <w:rPr>
          <w:b/>
          <w:color w:val="5B518E"/>
        </w:rPr>
        <w:t>13</w:t>
      </w:r>
      <w:r w:rsidRPr="00907E6A">
        <w:rPr>
          <w:b/>
          <w:color w:val="5B518E"/>
        </w:rPr>
        <w:t>/0</w:t>
      </w:r>
      <w:r>
        <w:rPr>
          <w:b/>
          <w:color w:val="5B518E"/>
        </w:rPr>
        <w:t>5</w:t>
      </w:r>
      <w:r w:rsidRPr="00907E6A">
        <w:rPr>
          <w:b/>
          <w:color w:val="5B518E"/>
        </w:rPr>
        <w:t>/20</w:t>
      </w:r>
    </w:p>
    <w:bookmarkEnd w:id="4"/>
    <w:p w14:paraId="351A34E0" w14:textId="77777777" w:rsidR="00971820" w:rsidRPr="00907E6A" w:rsidRDefault="00971820" w:rsidP="00387F43">
      <w:pPr>
        <w:pStyle w:val="BodyText"/>
        <w:spacing w:before="11"/>
        <w:jc w:val="both"/>
        <w:rPr>
          <w:b/>
        </w:rPr>
      </w:pPr>
    </w:p>
    <w:p w14:paraId="1D6641B6" w14:textId="77777777" w:rsidR="00D01891" w:rsidRPr="00907E6A" w:rsidRDefault="00D01891" w:rsidP="00387F43">
      <w:pPr>
        <w:pStyle w:val="BodyText"/>
        <w:spacing w:after="1"/>
        <w:jc w:val="both"/>
        <w:rPr>
          <w:b/>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5386"/>
      </w:tblGrid>
      <w:tr w:rsidR="00D01891" w:rsidRPr="00907E6A" w14:paraId="327166DD" w14:textId="77777777" w:rsidTr="00590642">
        <w:trPr>
          <w:trHeight w:val="802"/>
        </w:trPr>
        <w:tc>
          <w:tcPr>
            <w:tcW w:w="3522" w:type="dxa"/>
          </w:tcPr>
          <w:p w14:paraId="0B920D42" w14:textId="77777777" w:rsidR="00D01891" w:rsidRPr="00907E6A" w:rsidRDefault="00D01891" w:rsidP="00387F43">
            <w:pPr>
              <w:pStyle w:val="TableParagraph"/>
              <w:spacing w:before="11"/>
              <w:jc w:val="both"/>
              <w:rPr>
                <w:b/>
              </w:rPr>
            </w:pPr>
          </w:p>
          <w:p w14:paraId="7D1353D2" w14:textId="77777777" w:rsidR="00D01891" w:rsidRPr="00907E6A" w:rsidRDefault="00D57E60" w:rsidP="00387F43">
            <w:pPr>
              <w:pStyle w:val="TableParagraph"/>
              <w:ind w:left="107"/>
              <w:jc w:val="both"/>
            </w:pPr>
            <w:r w:rsidRPr="00907E6A">
              <w:t>Subject</w:t>
            </w:r>
          </w:p>
        </w:tc>
        <w:tc>
          <w:tcPr>
            <w:tcW w:w="5386" w:type="dxa"/>
          </w:tcPr>
          <w:p w14:paraId="69839DFE" w14:textId="77777777" w:rsidR="00D01891" w:rsidRPr="00907E6A" w:rsidRDefault="00D01891" w:rsidP="00387F43">
            <w:pPr>
              <w:pStyle w:val="TableParagraph"/>
              <w:spacing w:before="11"/>
              <w:jc w:val="both"/>
              <w:rPr>
                <w:b/>
              </w:rPr>
            </w:pPr>
          </w:p>
          <w:p w14:paraId="7950F91B" w14:textId="77777777" w:rsidR="00D01891" w:rsidRPr="00907E6A" w:rsidRDefault="00D57E60" w:rsidP="00387F43">
            <w:pPr>
              <w:pStyle w:val="TableParagraph"/>
              <w:ind w:left="107"/>
              <w:jc w:val="both"/>
            </w:pPr>
            <w:r w:rsidRPr="00907E6A">
              <w:t>General funding update</w:t>
            </w:r>
          </w:p>
        </w:tc>
      </w:tr>
      <w:tr w:rsidR="00D01891" w:rsidRPr="00907E6A" w14:paraId="3811112C" w14:textId="77777777" w:rsidTr="00590642">
        <w:trPr>
          <w:trHeight w:val="803"/>
        </w:trPr>
        <w:tc>
          <w:tcPr>
            <w:tcW w:w="3522" w:type="dxa"/>
          </w:tcPr>
          <w:p w14:paraId="4383EF0C" w14:textId="77777777" w:rsidR="00D01891" w:rsidRPr="00907E6A" w:rsidRDefault="00D01891" w:rsidP="00387F43">
            <w:pPr>
              <w:pStyle w:val="TableParagraph"/>
              <w:spacing w:before="11"/>
              <w:jc w:val="both"/>
              <w:rPr>
                <w:b/>
              </w:rPr>
            </w:pPr>
          </w:p>
          <w:p w14:paraId="37767321" w14:textId="77777777" w:rsidR="00D01891" w:rsidRPr="00907E6A" w:rsidRDefault="00D57E60" w:rsidP="00387F43">
            <w:pPr>
              <w:pStyle w:val="TableParagraph"/>
              <w:ind w:left="107"/>
              <w:jc w:val="both"/>
            </w:pPr>
            <w:r w:rsidRPr="00907E6A">
              <w:t>Date of meeting</w:t>
            </w:r>
          </w:p>
        </w:tc>
        <w:tc>
          <w:tcPr>
            <w:tcW w:w="5386" w:type="dxa"/>
          </w:tcPr>
          <w:p w14:paraId="562B95AC" w14:textId="77777777" w:rsidR="00D01891" w:rsidRPr="00907E6A" w:rsidRDefault="00D01891" w:rsidP="00387F43">
            <w:pPr>
              <w:pStyle w:val="TableParagraph"/>
              <w:spacing w:before="11"/>
              <w:jc w:val="both"/>
              <w:rPr>
                <w:b/>
              </w:rPr>
            </w:pPr>
          </w:p>
          <w:p w14:paraId="6119DBC5" w14:textId="450D44ED" w:rsidR="00D01891" w:rsidRPr="00907E6A" w:rsidRDefault="00822FAE" w:rsidP="00387F43">
            <w:pPr>
              <w:pStyle w:val="TableParagraph"/>
              <w:ind w:left="107"/>
              <w:jc w:val="both"/>
            </w:pPr>
            <w:r>
              <w:t>20</w:t>
            </w:r>
            <w:r w:rsidR="00D57E60" w:rsidRPr="00907E6A">
              <w:rPr>
                <w:vertAlign w:val="superscript"/>
              </w:rPr>
              <w:t>th</w:t>
            </w:r>
            <w:r w:rsidR="00D57E60" w:rsidRPr="00907E6A">
              <w:t xml:space="preserve"> </w:t>
            </w:r>
            <w:r w:rsidR="00C262CB">
              <w:t xml:space="preserve">May </w:t>
            </w:r>
            <w:r w:rsidR="00D57E60" w:rsidRPr="00907E6A">
              <w:t>20</w:t>
            </w:r>
            <w:r w:rsidR="00020F21" w:rsidRPr="00907E6A">
              <w:t>20</w:t>
            </w:r>
          </w:p>
        </w:tc>
      </w:tr>
      <w:tr w:rsidR="00D01891" w:rsidRPr="00907E6A" w14:paraId="6398C82C" w14:textId="77777777" w:rsidTr="00590642">
        <w:trPr>
          <w:trHeight w:val="803"/>
        </w:trPr>
        <w:tc>
          <w:tcPr>
            <w:tcW w:w="3522" w:type="dxa"/>
          </w:tcPr>
          <w:p w14:paraId="01CCA173" w14:textId="77777777" w:rsidR="00D01891" w:rsidRPr="00907E6A" w:rsidRDefault="00D01891" w:rsidP="00387F43">
            <w:pPr>
              <w:pStyle w:val="TableParagraph"/>
              <w:spacing w:before="11"/>
              <w:jc w:val="both"/>
              <w:rPr>
                <w:b/>
              </w:rPr>
            </w:pPr>
          </w:p>
          <w:p w14:paraId="225A71CD" w14:textId="77777777" w:rsidR="00D01891" w:rsidRPr="00907E6A" w:rsidRDefault="00D57E60" w:rsidP="00387F43">
            <w:pPr>
              <w:pStyle w:val="TableParagraph"/>
              <w:ind w:left="107"/>
              <w:jc w:val="both"/>
            </w:pPr>
            <w:r w:rsidRPr="00907E6A">
              <w:t>Committee/Subcommittee</w:t>
            </w:r>
          </w:p>
        </w:tc>
        <w:tc>
          <w:tcPr>
            <w:tcW w:w="5386" w:type="dxa"/>
          </w:tcPr>
          <w:p w14:paraId="02CC81B9" w14:textId="77777777" w:rsidR="00D01891" w:rsidRPr="00907E6A" w:rsidRDefault="00D01891" w:rsidP="00387F43">
            <w:pPr>
              <w:pStyle w:val="TableParagraph"/>
              <w:spacing w:before="11"/>
              <w:jc w:val="both"/>
              <w:rPr>
                <w:b/>
              </w:rPr>
            </w:pPr>
          </w:p>
          <w:p w14:paraId="7A993BD1" w14:textId="77777777" w:rsidR="00D01891" w:rsidRPr="00907E6A" w:rsidRDefault="00D57E60" w:rsidP="00387F43">
            <w:pPr>
              <w:pStyle w:val="TableParagraph"/>
              <w:ind w:left="107"/>
              <w:jc w:val="both"/>
            </w:pPr>
            <w:r w:rsidRPr="00907E6A">
              <w:t>FunCon</w:t>
            </w:r>
          </w:p>
        </w:tc>
      </w:tr>
      <w:tr w:rsidR="00D01891" w:rsidRPr="00907E6A" w14:paraId="4A04A7D3" w14:textId="77777777" w:rsidTr="00590642">
        <w:trPr>
          <w:trHeight w:val="801"/>
        </w:trPr>
        <w:tc>
          <w:tcPr>
            <w:tcW w:w="3522" w:type="dxa"/>
          </w:tcPr>
          <w:p w14:paraId="77442B81" w14:textId="77777777" w:rsidR="00D01891" w:rsidRPr="00907E6A" w:rsidRDefault="00D01891" w:rsidP="00387F43">
            <w:pPr>
              <w:pStyle w:val="TableParagraph"/>
              <w:spacing w:before="12"/>
              <w:jc w:val="both"/>
              <w:rPr>
                <w:b/>
              </w:rPr>
            </w:pPr>
          </w:p>
          <w:p w14:paraId="0D45E6CF" w14:textId="77777777" w:rsidR="00D01891" w:rsidRPr="00907E6A" w:rsidRDefault="00D57E60" w:rsidP="00387F43">
            <w:pPr>
              <w:pStyle w:val="TableParagraph"/>
              <w:ind w:left="107"/>
              <w:jc w:val="both"/>
            </w:pPr>
            <w:r w:rsidRPr="00907E6A">
              <w:t>Status</w:t>
            </w:r>
          </w:p>
        </w:tc>
        <w:tc>
          <w:tcPr>
            <w:tcW w:w="5386" w:type="dxa"/>
          </w:tcPr>
          <w:p w14:paraId="4DB438E3" w14:textId="77777777" w:rsidR="00D01891" w:rsidRPr="00907E6A" w:rsidRDefault="00D01891" w:rsidP="00387F43">
            <w:pPr>
              <w:pStyle w:val="TableParagraph"/>
              <w:spacing w:before="12"/>
              <w:jc w:val="both"/>
              <w:rPr>
                <w:b/>
              </w:rPr>
            </w:pPr>
          </w:p>
          <w:p w14:paraId="15F74451" w14:textId="77777777" w:rsidR="00D01891" w:rsidRPr="00907E6A" w:rsidRDefault="00D57E60" w:rsidP="00387F43">
            <w:pPr>
              <w:pStyle w:val="TableParagraph"/>
              <w:ind w:left="107"/>
              <w:jc w:val="both"/>
            </w:pPr>
            <w:r w:rsidRPr="00907E6A">
              <w:t>Not confidential</w:t>
            </w:r>
          </w:p>
        </w:tc>
      </w:tr>
      <w:tr w:rsidR="00D01891" w:rsidRPr="00907E6A" w14:paraId="73C512BE" w14:textId="77777777" w:rsidTr="00590642">
        <w:trPr>
          <w:trHeight w:val="802"/>
        </w:trPr>
        <w:tc>
          <w:tcPr>
            <w:tcW w:w="3522" w:type="dxa"/>
          </w:tcPr>
          <w:p w14:paraId="2FA71FAC" w14:textId="77777777" w:rsidR="00D01891" w:rsidRPr="00907E6A" w:rsidRDefault="00D01891" w:rsidP="00387F43">
            <w:pPr>
              <w:pStyle w:val="TableParagraph"/>
              <w:spacing w:before="11"/>
              <w:jc w:val="both"/>
              <w:rPr>
                <w:b/>
              </w:rPr>
            </w:pPr>
          </w:p>
          <w:p w14:paraId="3976D10B" w14:textId="77777777" w:rsidR="00D01891" w:rsidRPr="00907E6A" w:rsidRDefault="00D57E60" w:rsidP="00387F43">
            <w:pPr>
              <w:pStyle w:val="TableParagraph"/>
              <w:ind w:left="107"/>
              <w:jc w:val="both"/>
            </w:pPr>
            <w:r w:rsidRPr="00907E6A">
              <w:t>Overview</w:t>
            </w:r>
          </w:p>
        </w:tc>
        <w:tc>
          <w:tcPr>
            <w:tcW w:w="5386" w:type="dxa"/>
          </w:tcPr>
          <w:p w14:paraId="1E3E5862" w14:textId="77777777" w:rsidR="00D01891" w:rsidRPr="00907E6A" w:rsidRDefault="00D01891" w:rsidP="00387F43">
            <w:pPr>
              <w:pStyle w:val="TableParagraph"/>
              <w:spacing w:before="11"/>
              <w:jc w:val="both"/>
              <w:rPr>
                <w:b/>
              </w:rPr>
            </w:pPr>
          </w:p>
          <w:p w14:paraId="58D162B8" w14:textId="77777777" w:rsidR="00D01891" w:rsidRPr="00907E6A" w:rsidRDefault="00D57E60" w:rsidP="00387F43">
            <w:pPr>
              <w:pStyle w:val="TableParagraph"/>
              <w:ind w:left="107"/>
              <w:jc w:val="both"/>
            </w:pPr>
            <w:r w:rsidRPr="00907E6A">
              <w:t>General update on various funding issues</w:t>
            </w:r>
          </w:p>
        </w:tc>
      </w:tr>
      <w:tr w:rsidR="00D01891" w:rsidRPr="00907E6A" w14:paraId="413FCCE6" w14:textId="77777777" w:rsidTr="00590642">
        <w:trPr>
          <w:trHeight w:val="803"/>
        </w:trPr>
        <w:tc>
          <w:tcPr>
            <w:tcW w:w="3522" w:type="dxa"/>
          </w:tcPr>
          <w:p w14:paraId="6A6D046C" w14:textId="77777777" w:rsidR="00D01891" w:rsidRPr="00907E6A" w:rsidRDefault="00D01891" w:rsidP="00387F43">
            <w:pPr>
              <w:pStyle w:val="TableParagraph"/>
              <w:spacing w:before="11"/>
              <w:jc w:val="both"/>
              <w:rPr>
                <w:b/>
              </w:rPr>
            </w:pPr>
          </w:p>
          <w:p w14:paraId="734F97BF" w14:textId="77777777" w:rsidR="00D01891" w:rsidRPr="00907E6A" w:rsidRDefault="00D57E60" w:rsidP="00387F43">
            <w:pPr>
              <w:pStyle w:val="TableParagraph"/>
              <w:ind w:left="107"/>
              <w:jc w:val="both"/>
            </w:pPr>
            <w:r w:rsidRPr="00907E6A">
              <w:t>Proposed action(s)</w:t>
            </w:r>
          </w:p>
        </w:tc>
        <w:tc>
          <w:tcPr>
            <w:tcW w:w="5386" w:type="dxa"/>
          </w:tcPr>
          <w:p w14:paraId="4F7D6589" w14:textId="77777777" w:rsidR="00D01891" w:rsidRPr="00907E6A" w:rsidRDefault="00D01891" w:rsidP="00387F43">
            <w:pPr>
              <w:pStyle w:val="TableParagraph"/>
              <w:spacing w:before="11"/>
              <w:jc w:val="both"/>
              <w:rPr>
                <w:b/>
              </w:rPr>
            </w:pPr>
          </w:p>
          <w:p w14:paraId="18AD0905" w14:textId="77777777" w:rsidR="00D01891" w:rsidRPr="00907E6A" w:rsidRDefault="00D57E60" w:rsidP="00387F43">
            <w:pPr>
              <w:pStyle w:val="TableParagraph"/>
              <w:ind w:left="107"/>
              <w:jc w:val="both"/>
            </w:pPr>
            <w:r w:rsidRPr="00907E6A">
              <w:t>No action required</w:t>
            </w:r>
          </w:p>
        </w:tc>
      </w:tr>
      <w:tr w:rsidR="00D01891" w:rsidRPr="00907E6A" w14:paraId="248485B6" w14:textId="77777777" w:rsidTr="00590642">
        <w:trPr>
          <w:trHeight w:val="1071"/>
        </w:trPr>
        <w:tc>
          <w:tcPr>
            <w:tcW w:w="3522" w:type="dxa"/>
          </w:tcPr>
          <w:p w14:paraId="47A4635A" w14:textId="77777777" w:rsidR="00D01891" w:rsidRPr="00907E6A" w:rsidRDefault="00D01891" w:rsidP="00387F43">
            <w:pPr>
              <w:pStyle w:val="TableParagraph"/>
              <w:spacing w:before="11"/>
              <w:jc w:val="both"/>
              <w:rPr>
                <w:b/>
              </w:rPr>
            </w:pPr>
          </w:p>
          <w:p w14:paraId="08845EB2" w14:textId="77777777" w:rsidR="00D01891" w:rsidRPr="00907E6A" w:rsidRDefault="00D57E60" w:rsidP="00387F43">
            <w:pPr>
              <w:pStyle w:val="TableParagraph"/>
              <w:ind w:left="107"/>
              <w:jc w:val="both"/>
            </w:pPr>
            <w:r w:rsidRPr="00907E6A">
              <w:t>Author(s) of the paper</w:t>
            </w:r>
          </w:p>
        </w:tc>
        <w:tc>
          <w:tcPr>
            <w:tcW w:w="5386" w:type="dxa"/>
          </w:tcPr>
          <w:p w14:paraId="593194D3" w14:textId="77777777" w:rsidR="00D01891" w:rsidRPr="00907E6A" w:rsidRDefault="00D01891" w:rsidP="00387F43">
            <w:pPr>
              <w:pStyle w:val="TableParagraph"/>
              <w:spacing w:before="11"/>
              <w:jc w:val="both"/>
              <w:rPr>
                <w:b/>
              </w:rPr>
            </w:pPr>
          </w:p>
          <w:p w14:paraId="67B35B6B" w14:textId="77777777" w:rsidR="00822FAE" w:rsidRDefault="00D57E60" w:rsidP="00387F43">
            <w:pPr>
              <w:pStyle w:val="TableParagraph"/>
              <w:ind w:left="107" w:right="1299"/>
              <w:jc w:val="both"/>
            </w:pPr>
            <w:r w:rsidRPr="00907E6A">
              <w:t xml:space="preserve">PSNC Pharmacy Funding Team </w:t>
            </w:r>
          </w:p>
          <w:p w14:paraId="5E274B67" w14:textId="1AC4B3C8" w:rsidR="00D01891" w:rsidRPr="00907E6A" w:rsidRDefault="00D01891" w:rsidP="00387F43">
            <w:pPr>
              <w:pStyle w:val="TableParagraph"/>
              <w:ind w:left="107" w:right="1299"/>
              <w:jc w:val="both"/>
            </w:pPr>
          </w:p>
        </w:tc>
      </w:tr>
    </w:tbl>
    <w:p w14:paraId="156F3B8B" w14:textId="77777777" w:rsidR="00032B51" w:rsidRPr="00907E6A" w:rsidRDefault="00032B51" w:rsidP="00387F43">
      <w:pPr>
        <w:spacing w:before="15"/>
        <w:ind w:right="2880"/>
        <w:jc w:val="both"/>
        <w:rPr>
          <w:b/>
          <w:color w:val="5B518E"/>
        </w:rPr>
      </w:pPr>
    </w:p>
    <w:p w14:paraId="67B3471C" w14:textId="77777777" w:rsidR="00032B51" w:rsidRPr="00907E6A" w:rsidRDefault="00032B51" w:rsidP="00387F43">
      <w:pPr>
        <w:spacing w:before="15"/>
        <w:ind w:right="2880"/>
        <w:jc w:val="both"/>
        <w:rPr>
          <w:b/>
          <w:color w:val="5B518E"/>
        </w:rPr>
      </w:pPr>
    </w:p>
    <w:p w14:paraId="3CBDAB84" w14:textId="77777777" w:rsidR="00032B51" w:rsidRPr="00907E6A" w:rsidRDefault="00032B51" w:rsidP="00387F43">
      <w:pPr>
        <w:spacing w:before="15"/>
        <w:ind w:right="2880"/>
        <w:jc w:val="both"/>
        <w:rPr>
          <w:b/>
          <w:color w:val="5B518E"/>
        </w:rPr>
      </w:pPr>
    </w:p>
    <w:p w14:paraId="18BA5894" w14:textId="77777777" w:rsidR="00032B51" w:rsidRPr="00907E6A" w:rsidRDefault="00032B51" w:rsidP="00387F43">
      <w:pPr>
        <w:spacing w:before="15"/>
        <w:ind w:right="2880"/>
        <w:jc w:val="both"/>
        <w:rPr>
          <w:b/>
          <w:color w:val="5B518E"/>
        </w:rPr>
      </w:pPr>
    </w:p>
    <w:p w14:paraId="4C93CCFC" w14:textId="77777777" w:rsidR="00032B51" w:rsidRPr="00907E6A" w:rsidRDefault="00032B51" w:rsidP="00387F43">
      <w:pPr>
        <w:spacing w:before="15"/>
        <w:ind w:right="2880"/>
        <w:jc w:val="both"/>
        <w:rPr>
          <w:b/>
          <w:color w:val="5B518E"/>
        </w:rPr>
      </w:pPr>
    </w:p>
    <w:p w14:paraId="70EFA295" w14:textId="77777777" w:rsidR="00032B51" w:rsidRPr="00907E6A" w:rsidRDefault="00032B51" w:rsidP="00387F43">
      <w:pPr>
        <w:spacing w:before="15"/>
        <w:ind w:right="2880"/>
        <w:jc w:val="both"/>
        <w:rPr>
          <w:b/>
          <w:color w:val="5B518E"/>
        </w:rPr>
      </w:pPr>
    </w:p>
    <w:p w14:paraId="1BF745DC" w14:textId="21926802" w:rsidR="00032B51" w:rsidRPr="00907E6A" w:rsidRDefault="00032B51" w:rsidP="00387F43">
      <w:pPr>
        <w:spacing w:before="15"/>
        <w:ind w:left="851" w:right="2880"/>
        <w:jc w:val="both"/>
        <w:rPr>
          <w:b/>
          <w:color w:val="5B518E"/>
        </w:rPr>
      </w:pPr>
    </w:p>
    <w:p w14:paraId="437E4072" w14:textId="77777777" w:rsidR="00032B51" w:rsidRPr="00907E6A" w:rsidRDefault="00032B51" w:rsidP="00387F43">
      <w:pPr>
        <w:spacing w:before="15"/>
        <w:ind w:left="851" w:right="2880"/>
        <w:jc w:val="both"/>
        <w:rPr>
          <w:b/>
          <w:color w:val="5B518E"/>
        </w:rPr>
      </w:pPr>
    </w:p>
    <w:p w14:paraId="5AF0155A" w14:textId="77777777" w:rsidR="00032B51" w:rsidRPr="00907E6A" w:rsidRDefault="00032B51" w:rsidP="00387F43">
      <w:pPr>
        <w:spacing w:before="15"/>
        <w:ind w:left="851" w:right="2880"/>
        <w:jc w:val="both"/>
        <w:rPr>
          <w:b/>
          <w:color w:val="5B518E"/>
        </w:rPr>
      </w:pPr>
    </w:p>
    <w:p w14:paraId="2EE24426" w14:textId="77777777" w:rsidR="00032B51" w:rsidRPr="00907E6A" w:rsidRDefault="00032B51" w:rsidP="00387F43">
      <w:pPr>
        <w:spacing w:before="15"/>
        <w:ind w:left="851" w:right="2880"/>
        <w:jc w:val="both"/>
        <w:rPr>
          <w:b/>
          <w:color w:val="5B518E"/>
        </w:rPr>
      </w:pPr>
    </w:p>
    <w:p w14:paraId="463A92D3" w14:textId="77777777" w:rsidR="00032B51" w:rsidRPr="00907E6A" w:rsidRDefault="00032B51" w:rsidP="00387F43">
      <w:pPr>
        <w:spacing w:before="15"/>
        <w:ind w:left="851" w:right="2880"/>
        <w:jc w:val="both"/>
        <w:rPr>
          <w:b/>
          <w:color w:val="5B518E"/>
        </w:rPr>
      </w:pPr>
    </w:p>
    <w:p w14:paraId="643FA90C" w14:textId="77777777" w:rsidR="00032B51" w:rsidRPr="00907E6A" w:rsidRDefault="00032B51" w:rsidP="00387F43">
      <w:pPr>
        <w:spacing w:before="15"/>
        <w:ind w:left="851" w:right="2880"/>
        <w:jc w:val="both"/>
        <w:rPr>
          <w:b/>
          <w:color w:val="5B518E"/>
        </w:rPr>
      </w:pPr>
    </w:p>
    <w:p w14:paraId="6AB9DEF4" w14:textId="77777777" w:rsidR="00032B51" w:rsidRPr="00907E6A" w:rsidRDefault="00032B51" w:rsidP="00387F43">
      <w:pPr>
        <w:spacing w:before="15"/>
        <w:ind w:left="851" w:right="2880"/>
        <w:jc w:val="both"/>
        <w:rPr>
          <w:b/>
          <w:color w:val="5B518E"/>
        </w:rPr>
      </w:pPr>
    </w:p>
    <w:p w14:paraId="7B9AEE36" w14:textId="77777777" w:rsidR="00032B51" w:rsidRPr="00907E6A" w:rsidRDefault="00032B51" w:rsidP="00387F43">
      <w:pPr>
        <w:spacing w:before="15"/>
        <w:ind w:left="851" w:right="2880"/>
        <w:jc w:val="both"/>
        <w:rPr>
          <w:b/>
          <w:color w:val="5B518E"/>
        </w:rPr>
      </w:pPr>
    </w:p>
    <w:p w14:paraId="117E1B5A" w14:textId="77777777" w:rsidR="00032B51" w:rsidRPr="00907E6A" w:rsidRDefault="00032B51" w:rsidP="00387F43">
      <w:pPr>
        <w:spacing w:before="15"/>
        <w:ind w:left="851" w:right="2880"/>
        <w:jc w:val="both"/>
        <w:rPr>
          <w:b/>
          <w:color w:val="5B518E"/>
        </w:rPr>
      </w:pPr>
    </w:p>
    <w:p w14:paraId="53C2AB79" w14:textId="77777777" w:rsidR="00032B51" w:rsidRPr="00907E6A" w:rsidRDefault="00032B51" w:rsidP="00387F43">
      <w:pPr>
        <w:spacing w:before="15"/>
        <w:ind w:left="851" w:right="2880"/>
        <w:jc w:val="both"/>
        <w:rPr>
          <w:b/>
          <w:color w:val="5B518E"/>
        </w:rPr>
      </w:pPr>
    </w:p>
    <w:p w14:paraId="239729D0" w14:textId="5E71FE02" w:rsidR="00032B51" w:rsidRPr="00907E6A" w:rsidRDefault="00032B51" w:rsidP="00387F43">
      <w:pPr>
        <w:spacing w:before="15"/>
        <w:ind w:left="851" w:right="2880"/>
        <w:jc w:val="both"/>
        <w:rPr>
          <w:b/>
          <w:color w:val="5B518E"/>
        </w:rPr>
      </w:pPr>
    </w:p>
    <w:p w14:paraId="562A7EFF" w14:textId="3756E889" w:rsidR="00194DF8" w:rsidRDefault="00194DF8" w:rsidP="00387F43">
      <w:pPr>
        <w:spacing w:before="15"/>
        <w:ind w:left="851" w:right="2880"/>
        <w:jc w:val="both"/>
        <w:rPr>
          <w:b/>
          <w:color w:val="5B518E"/>
        </w:rPr>
      </w:pPr>
    </w:p>
    <w:p w14:paraId="1C2398D4" w14:textId="1CAAB451" w:rsidR="00194DF8" w:rsidRDefault="00194DF8" w:rsidP="00387F43">
      <w:pPr>
        <w:spacing w:before="15"/>
        <w:ind w:left="851" w:right="2880"/>
        <w:jc w:val="both"/>
        <w:rPr>
          <w:b/>
          <w:color w:val="5B518E"/>
        </w:rPr>
      </w:pPr>
    </w:p>
    <w:p w14:paraId="14413591" w14:textId="77777777" w:rsidR="00C7245A" w:rsidRDefault="00C7245A" w:rsidP="00387F43">
      <w:pPr>
        <w:spacing w:before="15"/>
        <w:ind w:left="851" w:right="2880"/>
        <w:jc w:val="both"/>
        <w:rPr>
          <w:b/>
          <w:color w:val="5B518E"/>
        </w:rPr>
      </w:pPr>
    </w:p>
    <w:p w14:paraId="5BD43CD9" w14:textId="782F3E39" w:rsidR="00194DF8" w:rsidRDefault="00194DF8" w:rsidP="00387F43">
      <w:pPr>
        <w:spacing w:before="15"/>
        <w:ind w:left="851" w:right="2880"/>
        <w:jc w:val="both"/>
        <w:rPr>
          <w:b/>
          <w:color w:val="5B518E"/>
        </w:rPr>
      </w:pPr>
    </w:p>
    <w:p w14:paraId="03F4A696" w14:textId="77777777" w:rsidR="00C7245A" w:rsidRDefault="00C7245A" w:rsidP="00387F43">
      <w:pPr>
        <w:spacing w:before="15"/>
        <w:ind w:left="851" w:right="2880"/>
        <w:jc w:val="both"/>
        <w:rPr>
          <w:b/>
          <w:color w:val="5B518E"/>
        </w:rPr>
      </w:pPr>
    </w:p>
    <w:p w14:paraId="40CD877A" w14:textId="77777777" w:rsidR="00C7245A" w:rsidRDefault="00C7245A" w:rsidP="00387F43">
      <w:pPr>
        <w:spacing w:before="15"/>
        <w:ind w:left="851" w:right="2880"/>
        <w:jc w:val="both"/>
        <w:rPr>
          <w:b/>
          <w:color w:val="5B518E"/>
        </w:rPr>
      </w:pPr>
    </w:p>
    <w:p w14:paraId="47731867" w14:textId="257BFF76" w:rsidR="00194DF8" w:rsidRDefault="00194DF8" w:rsidP="00387F43">
      <w:pPr>
        <w:spacing w:before="15"/>
        <w:ind w:left="851" w:right="2880"/>
        <w:jc w:val="both"/>
        <w:rPr>
          <w:b/>
          <w:color w:val="5B518E"/>
        </w:rPr>
      </w:pPr>
    </w:p>
    <w:p w14:paraId="210415C1" w14:textId="77777777" w:rsidR="00194DF8" w:rsidRPr="00907E6A" w:rsidRDefault="00194DF8" w:rsidP="00387F43">
      <w:pPr>
        <w:spacing w:before="15"/>
        <w:ind w:left="851" w:right="2880"/>
        <w:jc w:val="both"/>
        <w:rPr>
          <w:b/>
          <w:color w:val="5B518E"/>
        </w:rPr>
      </w:pPr>
    </w:p>
    <w:p w14:paraId="21BE6645" w14:textId="77777777" w:rsidR="00032B51" w:rsidRDefault="00032B51" w:rsidP="00387F43">
      <w:pPr>
        <w:spacing w:before="15"/>
        <w:ind w:left="851" w:right="2880"/>
        <w:jc w:val="both"/>
        <w:rPr>
          <w:b/>
          <w:color w:val="5B518E"/>
        </w:rPr>
      </w:pPr>
    </w:p>
    <w:p w14:paraId="24FC9FBF" w14:textId="77777777" w:rsidR="005E652F" w:rsidRDefault="005E652F" w:rsidP="00387F43">
      <w:pPr>
        <w:spacing w:before="15"/>
        <w:ind w:left="851" w:right="2880"/>
        <w:jc w:val="both"/>
        <w:rPr>
          <w:b/>
          <w:color w:val="5B518E"/>
        </w:rPr>
      </w:pPr>
    </w:p>
    <w:p w14:paraId="4C657F6D" w14:textId="77777777" w:rsidR="005E652F" w:rsidRDefault="005E652F" w:rsidP="00387F43">
      <w:pPr>
        <w:spacing w:before="15"/>
        <w:ind w:left="851" w:right="2880"/>
        <w:jc w:val="both"/>
        <w:rPr>
          <w:b/>
          <w:color w:val="5B518E"/>
        </w:rPr>
      </w:pPr>
    </w:p>
    <w:p w14:paraId="2860326A" w14:textId="44042BFB" w:rsidR="00D01891" w:rsidRPr="001F4B63" w:rsidRDefault="00D57E60" w:rsidP="001F4B63">
      <w:pPr>
        <w:keepNext/>
        <w:keepLines/>
        <w:widowControl/>
        <w:autoSpaceDE/>
        <w:autoSpaceDN/>
        <w:spacing w:before="240"/>
        <w:jc w:val="center"/>
        <w:outlineLvl w:val="0"/>
        <w:rPr>
          <w:rFonts w:ascii="Calibri Light" w:eastAsia="Times New Roman" w:hAnsi="Calibri Light" w:cs="Times New Roman"/>
          <w:color w:val="2F5496"/>
          <w:sz w:val="32"/>
          <w:szCs w:val="32"/>
          <w:lang w:eastAsia="en-GB" w:bidi="ar-SA"/>
        </w:rPr>
      </w:pPr>
      <w:r w:rsidRPr="001F4B63">
        <w:rPr>
          <w:rFonts w:ascii="Calibri Light" w:eastAsia="Times New Roman" w:hAnsi="Calibri Light" w:cs="Times New Roman"/>
          <w:color w:val="2F5496"/>
          <w:sz w:val="32"/>
          <w:szCs w:val="32"/>
          <w:lang w:eastAsia="en-GB" w:bidi="ar-SA"/>
        </w:rPr>
        <w:t>General funding update</w:t>
      </w:r>
    </w:p>
    <w:p w14:paraId="1D6A4E16" w14:textId="77777777" w:rsidR="00A44DA5" w:rsidRDefault="00A44DA5" w:rsidP="00C7245A">
      <w:pPr>
        <w:pStyle w:val="BodyText"/>
        <w:ind w:left="1134" w:right="937"/>
        <w:jc w:val="both"/>
        <w:rPr>
          <w:b/>
          <w:bCs/>
          <w:color w:val="0000FF"/>
          <w:u w:val="single" w:color="0000FF"/>
        </w:rPr>
      </w:pPr>
    </w:p>
    <w:p w14:paraId="3B3D8009" w14:textId="79CBE056" w:rsidR="00D01891" w:rsidRPr="00907E6A" w:rsidRDefault="00D57E60" w:rsidP="00C67D35">
      <w:pPr>
        <w:pStyle w:val="BodyText"/>
        <w:ind w:left="1134" w:right="937" w:hanging="850"/>
        <w:jc w:val="both"/>
      </w:pPr>
      <w:r w:rsidRPr="00907E6A">
        <w:t>The following items are matters of report:</w:t>
      </w:r>
    </w:p>
    <w:p w14:paraId="4165AF4A" w14:textId="77777777" w:rsidR="00D01891" w:rsidRPr="00907E6A" w:rsidRDefault="00D01891" w:rsidP="00C7245A">
      <w:pPr>
        <w:pStyle w:val="BodyText"/>
        <w:spacing w:before="9"/>
        <w:ind w:left="1134" w:right="937"/>
        <w:jc w:val="both"/>
      </w:pPr>
    </w:p>
    <w:p w14:paraId="58F31EEE" w14:textId="77777777" w:rsidR="007D6234" w:rsidRPr="00907E6A" w:rsidRDefault="007D6234" w:rsidP="00C7245A">
      <w:pPr>
        <w:pStyle w:val="BodyText"/>
        <w:spacing w:line="276" w:lineRule="auto"/>
        <w:ind w:left="1134" w:right="937"/>
        <w:jc w:val="both"/>
      </w:pPr>
    </w:p>
    <w:p w14:paraId="6F589995" w14:textId="77777777" w:rsidR="00A0358F" w:rsidRPr="00C67D35" w:rsidRDefault="00A0358F" w:rsidP="00C67D35">
      <w:pPr>
        <w:spacing w:after="160" w:line="259" w:lineRule="auto"/>
        <w:ind w:left="284" w:right="425"/>
        <w:jc w:val="both"/>
        <w:rPr>
          <w:color w:val="31579B"/>
          <w:sz w:val="24"/>
          <w:szCs w:val="24"/>
        </w:rPr>
      </w:pPr>
      <w:r w:rsidRPr="00C67D35">
        <w:rPr>
          <w:rFonts w:asciiTheme="minorHAnsi" w:eastAsiaTheme="minorEastAsia" w:hAnsiTheme="minorHAnsi" w:cstheme="minorBidi"/>
          <w:color w:val="31579B"/>
          <w:sz w:val="24"/>
          <w:szCs w:val="24"/>
        </w:rPr>
        <w:t>Pharmacy closures &amp; openings – estimates to February 2020</w:t>
      </w:r>
    </w:p>
    <w:p w14:paraId="3508E3F0" w14:textId="77777777" w:rsidR="00A0358F" w:rsidRPr="00907E6A" w:rsidRDefault="00A0358F" w:rsidP="009D7023">
      <w:pPr>
        <w:spacing w:after="160" w:line="259" w:lineRule="auto"/>
        <w:ind w:left="284" w:right="425"/>
        <w:jc w:val="both"/>
      </w:pPr>
      <w:r w:rsidRPr="00907E6A">
        <w:t xml:space="preserve">We used e-dispensary data published by NHS Digital to search for pharmacies which appeared to close or open in the months since the announcement of the funding cuts in October 2016. The latest data was published on </w:t>
      </w:r>
      <w:r>
        <w:t>28</w:t>
      </w:r>
      <w:r w:rsidRPr="007916AB">
        <w:rPr>
          <w:vertAlign w:val="superscript"/>
        </w:rPr>
        <w:t>th</w:t>
      </w:r>
      <w:r>
        <w:t xml:space="preserve"> February 2020</w:t>
      </w:r>
      <w:r w:rsidRPr="00907E6A">
        <w:t xml:space="preserve">, meaning that any </w:t>
      </w:r>
      <w:r>
        <w:t xml:space="preserve">February </w:t>
      </w:r>
      <w:r w:rsidRPr="00907E6A">
        <w:t>data within is likely to be incomplete.</w:t>
      </w:r>
    </w:p>
    <w:p w14:paraId="311D3CF0" w14:textId="77777777" w:rsidR="00A0358F" w:rsidRPr="00907E6A" w:rsidRDefault="00A0358F" w:rsidP="009D7023">
      <w:pPr>
        <w:spacing w:after="160" w:line="259" w:lineRule="auto"/>
        <w:ind w:left="284" w:right="425"/>
        <w:jc w:val="both"/>
      </w:pPr>
      <w:r w:rsidRPr="00907E6A">
        <w:t xml:space="preserve">We defined a ‘period of interest’ for this analysis as any closure or opening occurring between “&gt; or = 1 October 2016” and “&lt; </w:t>
      </w:r>
      <w:r>
        <w:t>28</w:t>
      </w:r>
      <w:r w:rsidRPr="00907E6A">
        <w:t xml:space="preserve"> </w:t>
      </w:r>
      <w:r>
        <w:t>February 2020</w:t>
      </w:r>
      <w:r w:rsidRPr="00907E6A">
        <w:t>”.</w:t>
      </w:r>
    </w:p>
    <w:p w14:paraId="49B7995B" w14:textId="77777777" w:rsidR="00A0358F" w:rsidRDefault="00A0358F" w:rsidP="009D7023">
      <w:pPr>
        <w:spacing w:after="160" w:line="259" w:lineRule="auto"/>
        <w:ind w:left="284" w:right="425"/>
        <w:jc w:val="both"/>
        <w:rPr>
          <w:bCs/>
        </w:rPr>
      </w:pPr>
      <w:r w:rsidRPr="00907E6A">
        <w:rPr>
          <w:bCs/>
        </w:rPr>
        <w:t>We also used location matching to filter out any closures or openings which appeared to be sales of pharmacy businesses. This leaves us with a count of ‘true openings and ‘true closures’ as shown in the charts below:</w:t>
      </w:r>
    </w:p>
    <w:p w14:paraId="23830D8E" w14:textId="77777777" w:rsidR="00A0358F" w:rsidRDefault="00A0358F" w:rsidP="00C67D35">
      <w:pPr>
        <w:spacing w:after="160" w:line="259" w:lineRule="auto"/>
        <w:ind w:left="284" w:right="425"/>
        <w:jc w:val="both"/>
      </w:pPr>
      <w:r w:rsidRPr="00907E6A">
        <w:t xml:space="preserve">Overall, there appear to have been </w:t>
      </w:r>
      <w:r w:rsidRPr="003526C5">
        <w:t>401</w:t>
      </w:r>
      <w:r w:rsidRPr="003526C5">
        <w:rPr>
          <w:b/>
          <w:bCs/>
        </w:rPr>
        <w:t xml:space="preserve"> </w:t>
      </w:r>
      <w:r w:rsidRPr="00907E6A">
        <w:t xml:space="preserve">‘true closures’ from October 2016 until </w:t>
      </w:r>
      <w:r>
        <w:t>Feb</w:t>
      </w:r>
      <w:r w:rsidRPr="00907E6A">
        <w:t xml:space="preserve"> </w:t>
      </w:r>
      <w:r>
        <w:t>2020</w:t>
      </w:r>
      <w:r w:rsidRPr="00907E6A">
        <w:t>:</w:t>
      </w:r>
    </w:p>
    <w:p w14:paraId="75ABBDB9" w14:textId="500C6952" w:rsidR="00A0358F" w:rsidRDefault="00A0358F" w:rsidP="00803543">
      <w:pPr>
        <w:spacing w:after="160" w:line="259" w:lineRule="auto"/>
        <w:ind w:left="-426" w:right="-46"/>
        <w:jc w:val="center"/>
      </w:pPr>
      <w:r>
        <w:rPr>
          <w:noProof/>
        </w:rPr>
        <w:drawing>
          <wp:inline distT="0" distB="0" distL="0" distR="0" wp14:anchorId="57AA0725" wp14:editId="30E0F214">
            <wp:extent cx="6229350" cy="3502863"/>
            <wp:effectExtent l="0" t="0" r="0" b="2540"/>
            <wp:docPr id="1304707218"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pic:nvPicPr>
                  <pic:blipFill>
                    <a:blip r:embed="rId11">
                      <a:extLst>
                        <a:ext uri="{28A0092B-C50C-407E-A947-70E740481C1C}">
                          <a14:useLocalDpi xmlns:a14="http://schemas.microsoft.com/office/drawing/2010/main" val="0"/>
                        </a:ext>
                      </a:extLst>
                    </a:blip>
                    <a:stretch>
                      <a:fillRect/>
                    </a:stretch>
                  </pic:blipFill>
                  <pic:spPr>
                    <a:xfrm>
                      <a:off x="0" y="0"/>
                      <a:ext cx="6258634" cy="3519330"/>
                    </a:xfrm>
                    <a:prstGeom prst="rect">
                      <a:avLst/>
                    </a:prstGeom>
                  </pic:spPr>
                </pic:pic>
              </a:graphicData>
            </a:graphic>
          </wp:inline>
        </w:drawing>
      </w:r>
    </w:p>
    <w:p w14:paraId="07314CFA" w14:textId="77777777" w:rsidR="00803543" w:rsidRPr="00907E6A" w:rsidRDefault="00803543" w:rsidP="00803543">
      <w:pPr>
        <w:spacing w:after="160" w:line="259" w:lineRule="auto"/>
        <w:ind w:left="-426" w:right="-46"/>
        <w:jc w:val="center"/>
      </w:pPr>
    </w:p>
    <w:p w14:paraId="589A6ACD" w14:textId="43E8AB9C" w:rsidR="00A0358F" w:rsidRDefault="00A0358F" w:rsidP="00C67D35">
      <w:pPr>
        <w:spacing w:after="160" w:line="259" w:lineRule="auto"/>
        <w:ind w:left="567" w:right="-46" w:hanging="283"/>
        <w:jc w:val="both"/>
      </w:pPr>
      <w:r>
        <w:t>Of the 401 true closures</w:t>
      </w:r>
      <w:r w:rsidR="00803543">
        <w:t>:</w:t>
      </w:r>
    </w:p>
    <w:p w14:paraId="37001968" w14:textId="77777777" w:rsidR="00A0358F" w:rsidRDefault="00A0358F" w:rsidP="00C67D35">
      <w:pPr>
        <w:pStyle w:val="ListParagraph"/>
        <w:numPr>
          <w:ilvl w:val="0"/>
          <w:numId w:val="20"/>
        </w:numPr>
        <w:spacing w:after="160" w:line="259" w:lineRule="auto"/>
        <w:ind w:left="567" w:right="-46"/>
        <w:contextualSpacing/>
        <w:jc w:val="both"/>
      </w:pPr>
      <w:r>
        <w:t>369 were in urban areas</w:t>
      </w:r>
    </w:p>
    <w:p w14:paraId="19DB89F1" w14:textId="77777777" w:rsidR="00A0358F" w:rsidRDefault="00A0358F" w:rsidP="00C67D35">
      <w:pPr>
        <w:pStyle w:val="ListParagraph"/>
        <w:numPr>
          <w:ilvl w:val="0"/>
          <w:numId w:val="20"/>
        </w:numPr>
        <w:spacing w:after="160" w:line="259" w:lineRule="auto"/>
        <w:ind w:left="567" w:right="-46"/>
        <w:contextualSpacing/>
        <w:jc w:val="both"/>
      </w:pPr>
      <w:r>
        <w:t>127 were independents</w:t>
      </w:r>
    </w:p>
    <w:p w14:paraId="1647B041" w14:textId="77777777" w:rsidR="00A0358F" w:rsidRDefault="00A0358F" w:rsidP="00C67D35">
      <w:pPr>
        <w:pStyle w:val="ListParagraph"/>
        <w:numPr>
          <w:ilvl w:val="0"/>
          <w:numId w:val="20"/>
        </w:numPr>
        <w:spacing w:after="160" w:line="259" w:lineRule="auto"/>
        <w:ind w:left="567" w:right="-46"/>
        <w:contextualSpacing/>
        <w:jc w:val="both"/>
      </w:pPr>
      <w:r>
        <w:t xml:space="preserve">116 were independent bricks and mortar pharmacies </w:t>
      </w:r>
    </w:p>
    <w:p w14:paraId="57416EF3" w14:textId="77777777" w:rsidR="00A0358F" w:rsidRDefault="00A0358F" w:rsidP="00C67D35">
      <w:pPr>
        <w:pStyle w:val="ListParagraph"/>
        <w:numPr>
          <w:ilvl w:val="0"/>
          <w:numId w:val="20"/>
        </w:numPr>
        <w:spacing w:after="160" w:line="259" w:lineRule="auto"/>
        <w:ind w:left="567" w:right="-46"/>
        <w:contextualSpacing/>
        <w:jc w:val="both"/>
      </w:pPr>
      <w:r>
        <w:t>59 were independent bricks and mortar pharmacies with a monthly item volume greater than 2,500</w:t>
      </w:r>
    </w:p>
    <w:p w14:paraId="044A491B" w14:textId="77777777" w:rsidR="00A0358F" w:rsidRDefault="00A0358F" w:rsidP="00C67D35">
      <w:pPr>
        <w:pStyle w:val="ListParagraph"/>
        <w:numPr>
          <w:ilvl w:val="0"/>
          <w:numId w:val="20"/>
        </w:numPr>
        <w:spacing w:after="160" w:line="259" w:lineRule="auto"/>
        <w:ind w:left="567" w:right="-46"/>
        <w:contextualSpacing/>
        <w:jc w:val="both"/>
      </w:pPr>
      <w:r>
        <w:t xml:space="preserve">237 were in rural areas </w:t>
      </w:r>
    </w:p>
    <w:p w14:paraId="30E348B5" w14:textId="77777777" w:rsidR="00A0358F" w:rsidRDefault="00A0358F" w:rsidP="00C67D35">
      <w:pPr>
        <w:pStyle w:val="ListParagraph"/>
        <w:numPr>
          <w:ilvl w:val="0"/>
          <w:numId w:val="20"/>
        </w:numPr>
        <w:spacing w:after="160" w:line="259" w:lineRule="auto"/>
        <w:ind w:left="567" w:right="-46"/>
        <w:contextualSpacing/>
        <w:jc w:val="both"/>
      </w:pPr>
      <w:r>
        <w:t xml:space="preserve">40 had a monthly item volume greater than 7,000 </w:t>
      </w:r>
    </w:p>
    <w:p w14:paraId="1A690E90" w14:textId="77777777" w:rsidR="00A0358F" w:rsidRDefault="00A0358F" w:rsidP="00C67D35">
      <w:pPr>
        <w:pStyle w:val="ListParagraph"/>
        <w:numPr>
          <w:ilvl w:val="0"/>
          <w:numId w:val="20"/>
        </w:numPr>
        <w:spacing w:after="160" w:line="259" w:lineRule="auto"/>
        <w:ind w:left="567" w:right="-46"/>
        <w:contextualSpacing/>
        <w:jc w:val="both"/>
      </w:pPr>
      <w:r>
        <w:t xml:space="preserve">16 were independents with a monthly item volume greater than 7,000 </w:t>
      </w:r>
    </w:p>
    <w:p w14:paraId="4B6076BD" w14:textId="77777777" w:rsidR="00A0358F" w:rsidRDefault="00A0358F" w:rsidP="00C67D35">
      <w:pPr>
        <w:pStyle w:val="ListParagraph"/>
        <w:numPr>
          <w:ilvl w:val="0"/>
          <w:numId w:val="20"/>
        </w:numPr>
        <w:tabs>
          <w:tab w:val="left" w:pos="3450"/>
        </w:tabs>
        <w:spacing w:after="160" w:line="259" w:lineRule="auto"/>
        <w:ind w:left="567" w:right="-46"/>
        <w:contextualSpacing/>
        <w:jc w:val="both"/>
      </w:pPr>
      <w:r>
        <w:t>13 were DSP’s</w:t>
      </w:r>
      <w:r>
        <w:tab/>
      </w:r>
    </w:p>
    <w:p w14:paraId="4EB814FD" w14:textId="77777777" w:rsidR="00A0358F" w:rsidRDefault="00A0358F" w:rsidP="00C67D35">
      <w:pPr>
        <w:pStyle w:val="ListParagraph"/>
        <w:numPr>
          <w:ilvl w:val="0"/>
          <w:numId w:val="20"/>
        </w:numPr>
        <w:spacing w:after="160" w:line="259" w:lineRule="auto"/>
        <w:ind w:left="567" w:right="-46"/>
        <w:contextualSpacing/>
        <w:jc w:val="both"/>
      </w:pPr>
      <w:r>
        <w:t xml:space="preserve">18 were </w:t>
      </w:r>
      <w:proofErr w:type="spellStart"/>
      <w:r>
        <w:t>PhAS</w:t>
      </w:r>
      <w:proofErr w:type="spellEnd"/>
      <w:r>
        <w:t xml:space="preserve"> pharmacies</w:t>
      </w:r>
    </w:p>
    <w:p w14:paraId="070A1012" w14:textId="77777777" w:rsidR="00A0358F" w:rsidRDefault="00A0358F" w:rsidP="00A0358F">
      <w:pPr>
        <w:spacing w:after="160" w:line="259" w:lineRule="auto"/>
        <w:ind w:right="-46"/>
        <w:jc w:val="both"/>
      </w:pPr>
    </w:p>
    <w:p w14:paraId="28173412" w14:textId="77777777" w:rsidR="00A0358F" w:rsidRDefault="00A0358F" w:rsidP="00A0358F">
      <w:pPr>
        <w:spacing w:after="160" w:line="259" w:lineRule="auto"/>
        <w:ind w:right="-46"/>
        <w:jc w:val="both"/>
      </w:pPr>
    </w:p>
    <w:p w14:paraId="20C428DC" w14:textId="1796392A" w:rsidR="00A0358F" w:rsidRDefault="00A0358F" w:rsidP="00C67D35">
      <w:pPr>
        <w:spacing w:after="160" w:line="259" w:lineRule="auto"/>
        <w:ind w:left="284" w:right="425"/>
        <w:jc w:val="both"/>
      </w:pPr>
      <w:r>
        <w:t xml:space="preserve">We were able to identify 329 of the true closures in previous pharmacy distance analysis. Of </w:t>
      </w:r>
      <w:r w:rsidR="00A7683A">
        <w:t xml:space="preserve">the </w:t>
      </w:r>
      <w:r>
        <w:t>329, 294 had their nearest pharmacy still open</w:t>
      </w:r>
      <w:r w:rsidR="00A7683A">
        <w:t>.</w:t>
      </w:r>
      <w:r>
        <w:tab/>
      </w:r>
    </w:p>
    <w:p w14:paraId="20604469" w14:textId="3E154A8A" w:rsidR="00A0358F" w:rsidRDefault="00A0358F" w:rsidP="00C67D35">
      <w:pPr>
        <w:spacing w:after="160" w:line="259" w:lineRule="auto"/>
        <w:ind w:left="284" w:right="425"/>
        <w:jc w:val="both"/>
      </w:pPr>
      <w:r>
        <w:t>The average distance from the closed pharmacies to their next nearest bricks and mortar pharmacy was 704 metres</w:t>
      </w:r>
      <w:r w:rsidR="00A7683A">
        <w:t>:</w:t>
      </w:r>
      <w:r>
        <w:tab/>
      </w:r>
    </w:p>
    <w:p w14:paraId="282D245F" w14:textId="42AF41EF" w:rsidR="00A0358F" w:rsidRDefault="00A0358F" w:rsidP="009D7023">
      <w:pPr>
        <w:spacing w:after="160" w:line="259" w:lineRule="auto"/>
        <w:ind w:left="284" w:right="425" w:firstLine="436"/>
        <w:jc w:val="both"/>
      </w:pPr>
      <w:r>
        <w:t>Frequency for 0-200m distance</w:t>
      </w:r>
      <w:r w:rsidR="009D7023">
        <w:t>:</w:t>
      </w:r>
      <w:r>
        <w:tab/>
      </w:r>
      <w:r>
        <w:tab/>
        <w:t>99</w:t>
      </w:r>
    </w:p>
    <w:p w14:paraId="66D91B23" w14:textId="5881415E" w:rsidR="00A0358F" w:rsidRDefault="00A0358F" w:rsidP="009D7023">
      <w:pPr>
        <w:spacing w:after="160" w:line="259" w:lineRule="auto"/>
        <w:ind w:left="284" w:right="425" w:firstLine="436"/>
        <w:jc w:val="both"/>
      </w:pPr>
      <w:r>
        <w:t>Frequency for 201-500m distance</w:t>
      </w:r>
      <w:r w:rsidR="009D7023">
        <w:t>:</w:t>
      </w:r>
      <w:r>
        <w:tab/>
        <w:t>80</w:t>
      </w:r>
    </w:p>
    <w:p w14:paraId="31F30A9F" w14:textId="71B5A14A" w:rsidR="00A0358F" w:rsidRDefault="00A0358F" w:rsidP="009D7023">
      <w:pPr>
        <w:spacing w:after="160" w:line="259" w:lineRule="auto"/>
        <w:ind w:left="284" w:right="425" w:firstLine="436"/>
        <w:jc w:val="both"/>
      </w:pPr>
      <w:r>
        <w:t>Frequency for 501-750m distance</w:t>
      </w:r>
      <w:r w:rsidR="009D7023">
        <w:t>:</w:t>
      </w:r>
      <w:r>
        <w:tab/>
        <w:t>28</w:t>
      </w:r>
    </w:p>
    <w:p w14:paraId="53EB47BB" w14:textId="5FF99488" w:rsidR="00A0358F" w:rsidRDefault="00A0358F" w:rsidP="009D7023">
      <w:pPr>
        <w:spacing w:after="160" w:line="259" w:lineRule="auto"/>
        <w:ind w:left="284" w:right="425" w:firstLine="436"/>
        <w:jc w:val="both"/>
      </w:pPr>
      <w:r>
        <w:t>Frequency for 751-1000m distance</w:t>
      </w:r>
      <w:r w:rsidR="009D7023">
        <w:t>:</w:t>
      </w:r>
      <w:r>
        <w:tab/>
        <w:t>28</w:t>
      </w:r>
    </w:p>
    <w:p w14:paraId="042BC633" w14:textId="04C420F8" w:rsidR="00A0358F" w:rsidRDefault="00A0358F" w:rsidP="009D7023">
      <w:pPr>
        <w:spacing w:after="160" w:line="259" w:lineRule="auto"/>
        <w:ind w:left="284" w:right="425" w:firstLine="436"/>
        <w:jc w:val="both"/>
      </w:pPr>
      <w:r>
        <w:t>Frequency for 1001-2000m distance</w:t>
      </w:r>
      <w:r w:rsidR="009D7023">
        <w:t>:</w:t>
      </w:r>
      <w:r w:rsidR="00C67D35">
        <w:tab/>
      </w:r>
      <w:r>
        <w:t>46</w:t>
      </w:r>
    </w:p>
    <w:p w14:paraId="1E5F5045" w14:textId="73316B5C" w:rsidR="00A0358F" w:rsidRDefault="00A0358F" w:rsidP="009D7023">
      <w:pPr>
        <w:spacing w:after="160" w:line="259" w:lineRule="auto"/>
        <w:ind w:left="284" w:right="425" w:firstLine="436"/>
        <w:jc w:val="both"/>
      </w:pPr>
      <w:r>
        <w:t>Frequency for 2001-10000m distance</w:t>
      </w:r>
      <w:r w:rsidR="009D7023">
        <w:t>:</w:t>
      </w:r>
      <w:r>
        <w:tab/>
        <w:t>13</w:t>
      </w:r>
    </w:p>
    <w:p w14:paraId="5F644D66" w14:textId="49F09B23" w:rsidR="00A0358F" w:rsidRDefault="00A0358F" w:rsidP="00C67D35">
      <w:pPr>
        <w:spacing w:after="160" w:line="259" w:lineRule="auto"/>
        <w:ind w:left="284" w:right="425"/>
        <w:jc w:val="both"/>
      </w:pPr>
      <w:r>
        <w:t xml:space="preserve">Looking at frequency, we can see that most closed pharmacies had another pharmacy operating within 500 metres. </w:t>
      </w:r>
    </w:p>
    <w:p w14:paraId="25FA1E12" w14:textId="77777777" w:rsidR="00A0358F" w:rsidRDefault="00A0358F" w:rsidP="00C67D35">
      <w:pPr>
        <w:spacing w:after="160" w:line="259" w:lineRule="auto"/>
        <w:ind w:left="284" w:right="425"/>
        <w:jc w:val="both"/>
      </w:pPr>
      <w:r w:rsidRPr="00907E6A">
        <w:t xml:space="preserve">During the same time frame, there appear to have been </w:t>
      </w:r>
      <w:r w:rsidRPr="003526C5">
        <w:t>191</w:t>
      </w:r>
      <w:r w:rsidRPr="003526C5">
        <w:rPr>
          <w:b/>
          <w:bCs/>
        </w:rPr>
        <w:t xml:space="preserve"> </w:t>
      </w:r>
      <w:r w:rsidRPr="00907E6A">
        <w:t>‘true openings’:</w:t>
      </w:r>
    </w:p>
    <w:p w14:paraId="07604E1E" w14:textId="77777777" w:rsidR="00A0358F" w:rsidRPr="00907E6A" w:rsidRDefault="00A0358F" w:rsidP="00A7683A">
      <w:pPr>
        <w:spacing w:after="160" w:line="259" w:lineRule="auto"/>
        <w:ind w:left="-426"/>
        <w:jc w:val="center"/>
      </w:pPr>
      <w:r>
        <w:rPr>
          <w:noProof/>
        </w:rPr>
        <w:drawing>
          <wp:inline distT="0" distB="0" distL="0" distR="0" wp14:anchorId="40B3C8B9" wp14:editId="4C284AC8">
            <wp:extent cx="6278210" cy="3039579"/>
            <wp:effectExtent l="0" t="0" r="8890" b="8890"/>
            <wp:docPr id="759195864"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pic:nvPicPr>
                  <pic:blipFill>
                    <a:blip r:embed="rId12">
                      <a:extLst>
                        <a:ext uri="{28A0092B-C50C-407E-A947-70E740481C1C}">
                          <a14:useLocalDpi xmlns:a14="http://schemas.microsoft.com/office/drawing/2010/main" val="0"/>
                        </a:ext>
                      </a:extLst>
                    </a:blip>
                    <a:stretch>
                      <a:fillRect/>
                    </a:stretch>
                  </pic:blipFill>
                  <pic:spPr>
                    <a:xfrm>
                      <a:off x="0" y="0"/>
                      <a:ext cx="6278210" cy="3039579"/>
                    </a:xfrm>
                    <a:prstGeom prst="rect">
                      <a:avLst/>
                    </a:prstGeom>
                  </pic:spPr>
                </pic:pic>
              </a:graphicData>
            </a:graphic>
          </wp:inline>
        </w:drawing>
      </w:r>
    </w:p>
    <w:p w14:paraId="14A18382" w14:textId="77777777" w:rsidR="00A0358F" w:rsidRDefault="00A0358F" w:rsidP="00C67D35">
      <w:pPr>
        <w:spacing w:after="160" w:line="259" w:lineRule="auto"/>
        <w:ind w:left="284" w:right="425"/>
        <w:jc w:val="both"/>
      </w:pPr>
      <w:r>
        <w:t xml:space="preserve">Of the 191 true </w:t>
      </w:r>
      <w:proofErr w:type="gramStart"/>
      <w:r>
        <w:t>openings;</w:t>
      </w:r>
      <w:proofErr w:type="gramEnd"/>
      <w:r>
        <w:t xml:space="preserve"> </w:t>
      </w:r>
    </w:p>
    <w:p w14:paraId="133EC4F5" w14:textId="77777777" w:rsidR="00A0358F" w:rsidRDefault="00A0358F" w:rsidP="00C67D35">
      <w:pPr>
        <w:pStyle w:val="ListParagraph"/>
        <w:numPr>
          <w:ilvl w:val="0"/>
          <w:numId w:val="21"/>
        </w:numPr>
        <w:spacing w:after="160" w:line="259" w:lineRule="auto"/>
        <w:ind w:left="284" w:right="425" w:firstLine="0"/>
        <w:contextualSpacing/>
        <w:jc w:val="both"/>
      </w:pPr>
      <w:r>
        <w:t>110 were DSP’s</w:t>
      </w:r>
    </w:p>
    <w:p w14:paraId="6A169D5A" w14:textId="77777777" w:rsidR="00A0358F" w:rsidRDefault="00A0358F" w:rsidP="00C67D35">
      <w:pPr>
        <w:pStyle w:val="ListParagraph"/>
        <w:numPr>
          <w:ilvl w:val="0"/>
          <w:numId w:val="21"/>
        </w:numPr>
        <w:spacing w:after="160" w:line="259" w:lineRule="auto"/>
        <w:ind w:left="284" w:right="425" w:firstLine="0"/>
        <w:contextualSpacing/>
        <w:jc w:val="both"/>
      </w:pPr>
      <w:r>
        <w:t>37 were DSP’s with a monthly item volume greater than 2,500</w:t>
      </w:r>
    </w:p>
    <w:p w14:paraId="009F884D" w14:textId="77777777" w:rsidR="00A0358F" w:rsidRDefault="00A0358F" w:rsidP="00C67D35">
      <w:pPr>
        <w:pStyle w:val="ListParagraph"/>
        <w:numPr>
          <w:ilvl w:val="0"/>
          <w:numId w:val="21"/>
        </w:numPr>
        <w:spacing w:after="160" w:line="259" w:lineRule="auto"/>
        <w:ind w:left="284" w:right="425" w:firstLine="0"/>
        <w:contextualSpacing/>
        <w:jc w:val="both"/>
      </w:pPr>
      <w:r>
        <w:t>6 were DSP’s with a monthly item volume greater than 7,000</w:t>
      </w:r>
    </w:p>
    <w:p w14:paraId="033C9618" w14:textId="77777777" w:rsidR="00A0358F" w:rsidRDefault="00A0358F" w:rsidP="00C67D35">
      <w:pPr>
        <w:pStyle w:val="ListParagraph"/>
        <w:numPr>
          <w:ilvl w:val="0"/>
          <w:numId w:val="21"/>
        </w:numPr>
        <w:spacing w:after="160" w:line="259" w:lineRule="auto"/>
        <w:ind w:left="284" w:right="425" w:firstLine="0"/>
        <w:contextualSpacing/>
        <w:jc w:val="both"/>
      </w:pPr>
      <w:r>
        <w:t>35 were bricks and mortar pharmacies with a monthly item volume greater than 2,500</w:t>
      </w:r>
    </w:p>
    <w:p w14:paraId="4656B8F6" w14:textId="77777777" w:rsidR="00A0358F" w:rsidRDefault="00A0358F" w:rsidP="00C67D35">
      <w:pPr>
        <w:pStyle w:val="ListParagraph"/>
        <w:numPr>
          <w:ilvl w:val="0"/>
          <w:numId w:val="21"/>
        </w:numPr>
        <w:spacing w:after="160" w:line="259" w:lineRule="auto"/>
        <w:ind w:left="284" w:right="425" w:firstLine="0"/>
        <w:contextualSpacing/>
        <w:jc w:val="both"/>
      </w:pPr>
      <w:r>
        <w:t>19 were bricks and mortar pharmacies in rural areas</w:t>
      </w:r>
    </w:p>
    <w:p w14:paraId="08029B15" w14:textId="77777777" w:rsidR="00A0358F" w:rsidRDefault="00A0358F" w:rsidP="00C67D35">
      <w:pPr>
        <w:pStyle w:val="ListParagraph"/>
        <w:numPr>
          <w:ilvl w:val="0"/>
          <w:numId w:val="21"/>
        </w:numPr>
        <w:spacing w:after="160" w:line="259" w:lineRule="auto"/>
        <w:ind w:left="284" w:right="425" w:firstLine="0"/>
        <w:contextualSpacing/>
        <w:jc w:val="both"/>
      </w:pPr>
      <w:r>
        <w:t>11 were independent bricks and mortar pharmacies in rural areas</w:t>
      </w:r>
    </w:p>
    <w:p w14:paraId="11E3992E" w14:textId="77777777" w:rsidR="00C67D35" w:rsidRDefault="00C67D35" w:rsidP="00C67D35">
      <w:pPr>
        <w:spacing w:after="160" w:line="259" w:lineRule="auto"/>
        <w:ind w:left="284" w:right="425"/>
        <w:jc w:val="both"/>
      </w:pPr>
    </w:p>
    <w:p w14:paraId="14421DEC" w14:textId="2E7C6B27" w:rsidR="00C67D35" w:rsidRDefault="00C67D35" w:rsidP="00C67D35">
      <w:pPr>
        <w:spacing w:after="160" w:line="259" w:lineRule="auto"/>
        <w:ind w:left="284" w:right="425"/>
        <w:jc w:val="both"/>
      </w:pPr>
    </w:p>
    <w:p w14:paraId="76277E0C" w14:textId="77777777" w:rsidR="009D7023" w:rsidRDefault="009D7023" w:rsidP="00C67D35">
      <w:pPr>
        <w:spacing w:after="160" w:line="259" w:lineRule="auto"/>
        <w:ind w:left="284" w:right="425"/>
        <w:jc w:val="both"/>
      </w:pPr>
    </w:p>
    <w:p w14:paraId="7B373AB2" w14:textId="77777777" w:rsidR="00C67D35" w:rsidRDefault="00C67D35" w:rsidP="00C67D35">
      <w:pPr>
        <w:spacing w:after="160" w:line="259" w:lineRule="auto"/>
        <w:ind w:left="284" w:right="425"/>
        <w:jc w:val="both"/>
      </w:pPr>
    </w:p>
    <w:p w14:paraId="67043A76" w14:textId="4782AD18" w:rsidR="00A0358F" w:rsidRPr="00907E6A" w:rsidRDefault="00A0358F" w:rsidP="00C67D35">
      <w:pPr>
        <w:spacing w:after="160" w:line="259" w:lineRule="auto"/>
        <w:ind w:left="284" w:right="425"/>
        <w:jc w:val="both"/>
      </w:pPr>
      <w:r w:rsidRPr="00907E6A">
        <w:t xml:space="preserve">A waterfall chart of net change in pharmacy numbers per month indicates a drop of </w:t>
      </w:r>
      <w:r w:rsidRPr="002537CF">
        <w:t>210</w:t>
      </w:r>
      <w:r>
        <w:t xml:space="preserve"> </w:t>
      </w:r>
      <w:r w:rsidRPr="00907E6A">
        <w:t>in the total number of pharmacies.</w:t>
      </w:r>
    </w:p>
    <w:p w14:paraId="2843A5CC" w14:textId="77777777" w:rsidR="00A0358F" w:rsidRPr="00907E6A" w:rsidRDefault="00A0358F" w:rsidP="00A7683A">
      <w:pPr>
        <w:spacing w:after="160" w:line="259" w:lineRule="auto"/>
        <w:ind w:left="-426" w:right="95"/>
        <w:jc w:val="center"/>
      </w:pPr>
      <w:r>
        <w:rPr>
          <w:noProof/>
        </w:rPr>
        <w:drawing>
          <wp:inline distT="0" distB="0" distL="0" distR="0" wp14:anchorId="40C9B1E0" wp14:editId="14B9A257">
            <wp:extent cx="6239727" cy="2908622"/>
            <wp:effectExtent l="0" t="0" r="8890" b="6350"/>
            <wp:docPr id="503990116"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39727" cy="2908622"/>
                    </a:xfrm>
                    <a:prstGeom prst="rect">
                      <a:avLst/>
                    </a:prstGeom>
                  </pic:spPr>
                </pic:pic>
              </a:graphicData>
            </a:graphic>
          </wp:inline>
        </w:drawing>
      </w:r>
    </w:p>
    <w:p w14:paraId="61178E8D" w14:textId="77777777" w:rsidR="005B6488" w:rsidRDefault="005B6488" w:rsidP="00387F43">
      <w:pPr>
        <w:pStyle w:val="Heading2"/>
        <w:spacing w:before="39"/>
        <w:ind w:left="851"/>
        <w:jc w:val="both"/>
        <w:rPr>
          <w:color w:val="5B518E"/>
          <w:sz w:val="22"/>
          <w:szCs w:val="22"/>
        </w:rPr>
      </w:pPr>
    </w:p>
    <w:p w14:paraId="1300C45C" w14:textId="77777777" w:rsidR="005B6488" w:rsidRPr="00907E6A" w:rsidRDefault="005B6488" w:rsidP="00387F43">
      <w:pPr>
        <w:pStyle w:val="Heading2"/>
        <w:spacing w:before="39"/>
        <w:ind w:left="851"/>
        <w:jc w:val="both"/>
        <w:rPr>
          <w:color w:val="5B518E"/>
          <w:sz w:val="22"/>
          <w:szCs w:val="22"/>
        </w:rPr>
      </w:pPr>
    </w:p>
    <w:p w14:paraId="2B50C43C" w14:textId="77777777" w:rsidR="00590642" w:rsidRPr="00C67D35" w:rsidRDefault="00590642" w:rsidP="00C67D35">
      <w:pPr>
        <w:spacing w:after="200"/>
        <w:ind w:left="284" w:right="425"/>
        <w:rPr>
          <w:rFonts w:asciiTheme="minorHAnsi" w:eastAsiaTheme="minorEastAsia" w:hAnsiTheme="minorHAnsi" w:cstheme="minorBidi"/>
          <w:color w:val="31579B"/>
          <w:sz w:val="24"/>
          <w:szCs w:val="24"/>
        </w:rPr>
      </w:pPr>
      <w:bookmarkStart w:id="5" w:name="_bookmark10"/>
      <w:bookmarkEnd w:id="5"/>
      <w:r w:rsidRPr="00C67D35">
        <w:rPr>
          <w:rFonts w:asciiTheme="minorHAnsi" w:eastAsiaTheme="minorEastAsia" w:hAnsiTheme="minorHAnsi" w:cstheme="minorBidi"/>
          <w:color w:val="31579B"/>
          <w:sz w:val="24"/>
          <w:szCs w:val="24"/>
        </w:rPr>
        <w:t>Price concessions – February 2020</w:t>
      </w:r>
    </w:p>
    <w:p w14:paraId="5484F4C8" w14:textId="77777777" w:rsidR="00590642" w:rsidRPr="00EB333F" w:rsidRDefault="00590642" w:rsidP="009D7023">
      <w:pPr>
        <w:widowControl/>
        <w:numPr>
          <w:ilvl w:val="0"/>
          <w:numId w:val="4"/>
        </w:numPr>
        <w:autoSpaceDE/>
        <w:autoSpaceDN/>
        <w:spacing w:line="276" w:lineRule="auto"/>
        <w:ind w:left="709" w:right="425" w:hanging="425"/>
        <w:jc w:val="both"/>
        <w:rPr>
          <w:rFonts w:asciiTheme="minorHAnsi" w:hAnsiTheme="minorHAnsi"/>
        </w:rPr>
      </w:pPr>
      <w:r w:rsidRPr="41A35521">
        <w:rPr>
          <w:rFonts w:asciiTheme="minorHAnsi" w:hAnsiTheme="minorHAnsi"/>
        </w:rPr>
        <w:t>PSNC applied for a total of</w:t>
      </w:r>
      <w:r w:rsidRPr="41A35521">
        <w:rPr>
          <w:rFonts w:asciiTheme="minorHAnsi" w:hAnsiTheme="minorHAnsi"/>
          <w:b/>
          <w:bCs/>
        </w:rPr>
        <w:t xml:space="preserve"> 57</w:t>
      </w:r>
      <w:r w:rsidRPr="41A35521">
        <w:rPr>
          <w:rFonts w:asciiTheme="minorHAnsi" w:hAnsiTheme="minorHAnsi"/>
        </w:rPr>
        <w:t> price concessions in February 2020.  </w:t>
      </w:r>
    </w:p>
    <w:p w14:paraId="0BAF8556" w14:textId="77777777" w:rsidR="00590642" w:rsidRPr="00FC1597" w:rsidRDefault="00590642" w:rsidP="009D7023">
      <w:pPr>
        <w:widowControl/>
        <w:numPr>
          <w:ilvl w:val="0"/>
          <w:numId w:val="4"/>
        </w:numPr>
        <w:autoSpaceDE/>
        <w:autoSpaceDN/>
        <w:spacing w:after="200" w:line="276" w:lineRule="auto"/>
        <w:ind w:left="709" w:right="425" w:hanging="425"/>
        <w:jc w:val="both"/>
        <w:rPr>
          <w:rFonts w:asciiTheme="minorHAnsi" w:hAnsiTheme="minorHAnsi"/>
        </w:rPr>
      </w:pPr>
      <w:r w:rsidRPr="008E0562">
        <w:rPr>
          <w:rFonts w:asciiTheme="minorHAnsi" w:hAnsiTheme="minorHAnsi"/>
          <w:b/>
          <w:bCs/>
        </w:rPr>
        <w:t>45</w:t>
      </w:r>
      <w:r w:rsidRPr="6EEA5381">
        <w:rPr>
          <w:rFonts w:asciiTheme="minorHAnsi" w:hAnsiTheme="minorHAnsi"/>
        </w:rPr>
        <w:t xml:space="preserve"> price concessions were agreed between DHSC and PSNC. </w:t>
      </w:r>
      <w:r w:rsidRPr="008E0562">
        <w:rPr>
          <w:rFonts w:asciiTheme="minorHAnsi" w:hAnsiTheme="minorHAnsi"/>
          <w:b/>
          <w:bCs/>
        </w:rPr>
        <w:t>9</w:t>
      </w:r>
      <w:r w:rsidRPr="6EEA5381">
        <w:rPr>
          <w:rFonts w:asciiTheme="minorHAnsi" w:hAnsiTheme="minorHAnsi"/>
        </w:rPr>
        <w:t xml:space="preserve"> products had prices imposed as PSNC was unable to agree to the final prices proposed by DHSC and </w:t>
      </w:r>
      <w:r w:rsidRPr="008E0562">
        <w:rPr>
          <w:rFonts w:asciiTheme="minorHAnsi" w:hAnsiTheme="minorHAnsi"/>
          <w:b/>
          <w:bCs/>
        </w:rPr>
        <w:t>3</w:t>
      </w:r>
      <w:r w:rsidRPr="6EEA5381">
        <w:rPr>
          <w:rFonts w:asciiTheme="minorHAnsi" w:hAnsiTheme="minorHAnsi"/>
        </w:rPr>
        <w:t xml:space="preserve"> products had a no concessionary price imposed by DHSC. DHSC wrote to PSNC on 28/02/20 with the final prices.</w:t>
      </w:r>
    </w:p>
    <w:p w14:paraId="679ADE33" w14:textId="77777777" w:rsidR="00590642" w:rsidRPr="00C67D35" w:rsidRDefault="00590642" w:rsidP="009D7023">
      <w:pPr>
        <w:spacing w:after="200"/>
        <w:ind w:left="284" w:right="425"/>
        <w:jc w:val="both"/>
        <w:rPr>
          <w:rFonts w:asciiTheme="minorHAnsi" w:eastAsiaTheme="minorEastAsia" w:hAnsiTheme="minorHAnsi" w:cstheme="minorBidi"/>
          <w:color w:val="31579B"/>
          <w:sz w:val="24"/>
          <w:szCs w:val="24"/>
        </w:rPr>
      </w:pPr>
      <w:r w:rsidRPr="00C67D35">
        <w:rPr>
          <w:rFonts w:asciiTheme="minorHAnsi" w:eastAsiaTheme="minorEastAsia" w:hAnsiTheme="minorHAnsi" w:cstheme="minorBidi"/>
          <w:color w:val="31579B"/>
          <w:sz w:val="24"/>
          <w:szCs w:val="24"/>
        </w:rPr>
        <w:t>Price concessions – March 2020 </w:t>
      </w:r>
    </w:p>
    <w:p w14:paraId="3B4B3FF1" w14:textId="77777777" w:rsidR="00590642" w:rsidRPr="00034A0B" w:rsidRDefault="00590642" w:rsidP="009D7023">
      <w:pPr>
        <w:widowControl/>
        <w:numPr>
          <w:ilvl w:val="0"/>
          <w:numId w:val="4"/>
        </w:numPr>
        <w:autoSpaceDE/>
        <w:autoSpaceDN/>
        <w:spacing w:line="276" w:lineRule="auto"/>
        <w:ind w:left="709" w:right="425" w:hanging="425"/>
        <w:jc w:val="both"/>
        <w:rPr>
          <w:rFonts w:asciiTheme="minorHAnsi" w:hAnsiTheme="minorHAnsi"/>
        </w:rPr>
      </w:pPr>
      <w:r w:rsidRPr="41A35521">
        <w:rPr>
          <w:rFonts w:asciiTheme="minorHAnsi" w:hAnsiTheme="minorHAnsi"/>
        </w:rPr>
        <w:t>PSNC applied for a total of </w:t>
      </w:r>
      <w:r w:rsidRPr="41A35521">
        <w:rPr>
          <w:rFonts w:asciiTheme="minorHAnsi" w:hAnsiTheme="minorHAnsi"/>
          <w:b/>
          <w:bCs/>
        </w:rPr>
        <w:t>79 </w:t>
      </w:r>
      <w:r w:rsidRPr="41A35521">
        <w:rPr>
          <w:rFonts w:asciiTheme="minorHAnsi" w:hAnsiTheme="minorHAnsi"/>
        </w:rPr>
        <w:t>price concessions in March 2020.  </w:t>
      </w:r>
    </w:p>
    <w:p w14:paraId="50E0CC3A" w14:textId="77777777" w:rsidR="00590642" w:rsidRDefault="00590642" w:rsidP="009D7023">
      <w:pPr>
        <w:widowControl/>
        <w:numPr>
          <w:ilvl w:val="0"/>
          <w:numId w:val="4"/>
        </w:numPr>
        <w:autoSpaceDE/>
        <w:autoSpaceDN/>
        <w:spacing w:line="276" w:lineRule="auto"/>
        <w:ind w:left="709" w:right="425" w:hanging="425"/>
        <w:jc w:val="both"/>
        <w:rPr>
          <w:rFonts w:asciiTheme="minorHAnsi" w:hAnsiTheme="minorHAnsi"/>
        </w:rPr>
      </w:pPr>
      <w:r w:rsidRPr="008E0562">
        <w:rPr>
          <w:rFonts w:asciiTheme="minorHAnsi" w:hAnsiTheme="minorHAnsi"/>
          <w:b/>
          <w:bCs/>
        </w:rPr>
        <w:t>57</w:t>
      </w:r>
      <w:r w:rsidRPr="41A35521">
        <w:rPr>
          <w:rFonts w:asciiTheme="minorHAnsi" w:hAnsiTheme="minorHAnsi"/>
        </w:rPr>
        <w:t> price concessions were agreed between DHSC and PSNC. </w:t>
      </w:r>
      <w:r w:rsidRPr="008E0562">
        <w:rPr>
          <w:rFonts w:asciiTheme="minorHAnsi" w:hAnsiTheme="minorHAnsi"/>
          <w:b/>
          <w:bCs/>
        </w:rPr>
        <w:t>22</w:t>
      </w:r>
      <w:r w:rsidRPr="41A35521">
        <w:rPr>
          <w:rFonts w:asciiTheme="minorHAnsi" w:hAnsiTheme="minorHAnsi"/>
        </w:rPr>
        <w:t xml:space="preserve"> products had prices imposed as PSNC was unable to agree to the final prices proposed by DHSC and </w:t>
      </w:r>
      <w:r w:rsidRPr="41A35521">
        <w:rPr>
          <w:rFonts w:asciiTheme="minorHAnsi" w:hAnsiTheme="minorHAnsi"/>
          <w:b/>
          <w:bCs/>
        </w:rPr>
        <w:t>3</w:t>
      </w:r>
      <w:r w:rsidRPr="41A35521">
        <w:rPr>
          <w:rFonts w:asciiTheme="minorHAnsi" w:hAnsiTheme="minorHAnsi"/>
        </w:rPr>
        <w:t xml:space="preserve"> products had a no concessionary price imposed by DHSC. DHSC wrote to PSNC on 30/03/20 with the final prices. </w:t>
      </w:r>
    </w:p>
    <w:p w14:paraId="5B07B871" w14:textId="77777777" w:rsidR="00590642" w:rsidRDefault="00590642" w:rsidP="009D7023">
      <w:pPr>
        <w:widowControl/>
        <w:numPr>
          <w:ilvl w:val="0"/>
          <w:numId w:val="4"/>
        </w:numPr>
        <w:autoSpaceDE/>
        <w:autoSpaceDN/>
        <w:spacing w:line="276" w:lineRule="auto"/>
        <w:ind w:left="709" w:right="425" w:hanging="425"/>
        <w:jc w:val="both"/>
        <w:rPr>
          <w:rFonts w:asciiTheme="minorHAnsi" w:hAnsiTheme="minorHAnsi"/>
        </w:rPr>
      </w:pPr>
      <w:r>
        <w:rPr>
          <w:rFonts w:asciiTheme="minorHAnsi" w:hAnsiTheme="minorHAnsi"/>
        </w:rPr>
        <w:t>Sertraline 50mg, and 100mg tablets had large price increases and although PSNC had supporting data, DHSC imposed the prices for March 2020.</w:t>
      </w:r>
      <w:r w:rsidRPr="00034A0B">
        <w:rPr>
          <w:rFonts w:asciiTheme="minorHAnsi" w:hAnsiTheme="minorHAnsi"/>
        </w:rPr>
        <w:t> </w:t>
      </w:r>
    </w:p>
    <w:p w14:paraId="523BAC0E" w14:textId="77777777" w:rsidR="00590642" w:rsidRPr="00462EC1" w:rsidRDefault="00590642" w:rsidP="009D7023">
      <w:pPr>
        <w:widowControl/>
        <w:numPr>
          <w:ilvl w:val="0"/>
          <w:numId w:val="4"/>
        </w:numPr>
        <w:autoSpaceDE/>
        <w:autoSpaceDN/>
        <w:spacing w:line="276" w:lineRule="auto"/>
        <w:ind w:left="709" w:right="425" w:hanging="425"/>
        <w:rPr>
          <w:rFonts w:asciiTheme="minorHAnsi" w:hAnsiTheme="minorHAnsi"/>
        </w:rPr>
      </w:pPr>
      <w:r>
        <w:rPr>
          <w:rFonts w:asciiTheme="minorHAnsi" w:hAnsiTheme="minorHAnsi"/>
        </w:rPr>
        <w:t>The spike in the number of price concession applied for was due to increased pressure arising from the COVID-19 pandemic.</w:t>
      </w:r>
      <w:r>
        <w:rPr>
          <w:rFonts w:asciiTheme="minorHAnsi" w:hAnsiTheme="minorHAnsi"/>
        </w:rPr>
        <w:br/>
      </w:r>
      <w:r w:rsidRPr="00034A0B">
        <w:rPr>
          <w:rFonts w:asciiTheme="minorHAnsi" w:hAnsiTheme="minorHAnsi"/>
        </w:rPr>
        <w:t> </w:t>
      </w:r>
    </w:p>
    <w:p w14:paraId="5644693B" w14:textId="77777777" w:rsidR="00590642" w:rsidRPr="00C67D35" w:rsidRDefault="00590642" w:rsidP="00C67D35">
      <w:pPr>
        <w:spacing w:after="200"/>
        <w:ind w:left="284" w:right="425"/>
        <w:rPr>
          <w:rFonts w:asciiTheme="minorHAnsi" w:eastAsiaTheme="minorEastAsia" w:hAnsiTheme="minorHAnsi" w:cstheme="minorBidi"/>
          <w:color w:val="31579B"/>
          <w:sz w:val="24"/>
          <w:szCs w:val="24"/>
        </w:rPr>
      </w:pPr>
      <w:r w:rsidRPr="00C67D35">
        <w:rPr>
          <w:rFonts w:asciiTheme="minorHAnsi" w:eastAsiaTheme="minorEastAsia" w:hAnsiTheme="minorHAnsi" w:cstheme="minorBidi"/>
          <w:color w:val="31579B"/>
          <w:sz w:val="24"/>
          <w:szCs w:val="24"/>
        </w:rPr>
        <w:t>Price concessions – April 2020 </w:t>
      </w:r>
    </w:p>
    <w:p w14:paraId="1985D59A" w14:textId="77777777" w:rsidR="00590642" w:rsidRPr="003A644E" w:rsidRDefault="00590642" w:rsidP="009D7023">
      <w:pPr>
        <w:widowControl/>
        <w:numPr>
          <w:ilvl w:val="0"/>
          <w:numId w:val="4"/>
        </w:numPr>
        <w:autoSpaceDE/>
        <w:autoSpaceDN/>
        <w:spacing w:line="276" w:lineRule="auto"/>
        <w:ind w:left="709" w:right="425" w:hanging="425"/>
        <w:jc w:val="both"/>
        <w:rPr>
          <w:rFonts w:asciiTheme="minorHAnsi" w:hAnsiTheme="minorHAnsi"/>
          <w:color w:val="000000" w:themeColor="text1"/>
        </w:rPr>
      </w:pPr>
      <w:r w:rsidRPr="41A35521">
        <w:rPr>
          <w:rFonts w:asciiTheme="minorHAnsi" w:hAnsiTheme="minorHAnsi"/>
          <w:color w:val="000000" w:themeColor="text1"/>
        </w:rPr>
        <w:t>PSNC applied for a total of </w:t>
      </w:r>
      <w:r w:rsidRPr="41A35521">
        <w:rPr>
          <w:rFonts w:asciiTheme="minorHAnsi" w:hAnsiTheme="minorHAnsi"/>
          <w:b/>
          <w:bCs/>
          <w:color w:val="000000" w:themeColor="text1"/>
        </w:rPr>
        <w:t>80</w:t>
      </w:r>
      <w:r w:rsidRPr="41A35521">
        <w:rPr>
          <w:rFonts w:asciiTheme="minorHAnsi" w:hAnsiTheme="minorHAnsi"/>
          <w:color w:val="000000" w:themeColor="text1"/>
        </w:rPr>
        <w:t> price concessions in April 2020.  </w:t>
      </w:r>
    </w:p>
    <w:p w14:paraId="3E602E44" w14:textId="4B348CAB" w:rsidR="00590642" w:rsidRPr="003A644E" w:rsidRDefault="00590642" w:rsidP="009D7023">
      <w:pPr>
        <w:pStyle w:val="ListParagraph"/>
        <w:widowControl/>
        <w:numPr>
          <w:ilvl w:val="0"/>
          <w:numId w:val="4"/>
        </w:numPr>
        <w:autoSpaceDE/>
        <w:autoSpaceDN/>
        <w:spacing w:after="200"/>
        <w:ind w:left="709" w:right="425" w:hanging="425"/>
        <w:contextualSpacing/>
        <w:jc w:val="both"/>
        <w:rPr>
          <w:rFonts w:asciiTheme="minorHAnsi" w:eastAsiaTheme="minorEastAsia" w:hAnsiTheme="minorHAnsi" w:cstheme="minorBidi"/>
          <w:b/>
          <w:bCs/>
          <w:color w:val="000000" w:themeColor="text1"/>
        </w:rPr>
      </w:pPr>
      <w:r w:rsidRPr="008E0562">
        <w:rPr>
          <w:rFonts w:asciiTheme="minorHAnsi" w:hAnsiTheme="minorHAnsi"/>
          <w:b/>
          <w:bCs/>
          <w:color w:val="000000" w:themeColor="text1"/>
        </w:rPr>
        <w:t>65</w:t>
      </w:r>
      <w:r w:rsidRPr="1730349F">
        <w:rPr>
          <w:rFonts w:asciiTheme="minorHAnsi" w:hAnsiTheme="minorHAnsi"/>
          <w:color w:val="000000" w:themeColor="text1"/>
        </w:rPr>
        <w:t> price concessions were agreed between DHSC and PSNC. </w:t>
      </w:r>
      <w:r w:rsidRPr="008E0562">
        <w:rPr>
          <w:rFonts w:asciiTheme="minorHAnsi" w:hAnsiTheme="minorHAnsi"/>
          <w:b/>
          <w:bCs/>
          <w:color w:val="000000" w:themeColor="text1"/>
        </w:rPr>
        <w:t>1</w:t>
      </w:r>
      <w:r w:rsidR="00167B22">
        <w:rPr>
          <w:rFonts w:asciiTheme="minorHAnsi" w:hAnsiTheme="minorHAnsi"/>
          <w:b/>
          <w:bCs/>
          <w:color w:val="000000" w:themeColor="text1"/>
        </w:rPr>
        <w:t>2</w:t>
      </w:r>
      <w:r w:rsidRPr="1730349F">
        <w:rPr>
          <w:rFonts w:asciiTheme="minorHAnsi" w:hAnsiTheme="minorHAnsi"/>
          <w:color w:val="000000" w:themeColor="text1"/>
        </w:rPr>
        <w:t xml:space="preserve"> products had prices imposed as PSNC was unable to agree to the final prices proposed by DHSC and </w:t>
      </w:r>
      <w:r w:rsidRPr="00167B22">
        <w:rPr>
          <w:rFonts w:asciiTheme="minorHAnsi" w:hAnsiTheme="minorHAnsi"/>
          <w:b/>
          <w:bCs/>
          <w:color w:val="000000" w:themeColor="text1"/>
        </w:rPr>
        <w:t xml:space="preserve">3 </w:t>
      </w:r>
      <w:r w:rsidRPr="00167B22">
        <w:rPr>
          <w:rFonts w:asciiTheme="minorHAnsi" w:hAnsiTheme="minorHAnsi"/>
          <w:color w:val="000000" w:themeColor="text1"/>
        </w:rPr>
        <w:t>p</w:t>
      </w:r>
      <w:r w:rsidRPr="1730349F">
        <w:rPr>
          <w:rFonts w:asciiTheme="minorHAnsi" w:hAnsiTheme="minorHAnsi"/>
          <w:color w:val="000000" w:themeColor="text1"/>
        </w:rPr>
        <w:t>roducts had a no concessionary price imposed by DHSC. DHSC wrote to PSNC on 28/04/20 with the final prices.  </w:t>
      </w:r>
    </w:p>
    <w:p w14:paraId="0ADBBED3" w14:textId="314418AB" w:rsidR="00590642" w:rsidRPr="005170BF" w:rsidRDefault="00590642" w:rsidP="009D7023">
      <w:pPr>
        <w:pStyle w:val="ListParagraph"/>
        <w:widowControl/>
        <w:numPr>
          <w:ilvl w:val="0"/>
          <w:numId w:val="4"/>
        </w:numPr>
        <w:autoSpaceDE/>
        <w:autoSpaceDN/>
        <w:spacing w:after="200"/>
        <w:ind w:left="709" w:right="425" w:hanging="425"/>
        <w:contextualSpacing/>
        <w:jc w:val="both"/>
        <w:rPr>
          <w:rFonts w:asciiTheme="minorHAnsi" w:eastAsiaTheme="minorEastAsia" w:hAnsiTheme="minorHAnsi" w:cstheme="minorBidi"/>
          <w:b/>
          <w:bCs/>
          <w:color w:val="000000" w:themeColor="text1"/>
        </w:rPr>
      </w:pPr>
      <w:r w:rsidRPr="41A35521">
        <w:rPr>
          <w:rFonts w:asciiTheme="minorHAnsi" w:eastAsiaTheme="minorEastAsia" w:hAnsiTheme="minorHAnsi" w:cstheme="minorBidi"/>
          <w:color w:val="000000" w:themeColor="text1"/>
        </w:rPr>
        <w:t>Both Sertraline strengths continued to be an issue in April with generic stock of the 100mg tablets slowly being depleted due to an API issue. PSNC pushed for quicker and more responsive prices and managed to get prices agreed (100mg - £15.07 and 50mg - £8.95).</w:t>
      </w:r>
    </w:p>
    <w:p w14:paraId="1C733329" w14:textId="575FD0F9" w:rsidR="005170BF" w:rsidRDefault="005170BF" w:rsidP="00C67D35">
      <w:pPr>
        <w:pStyle w:val="ListParagraph"/>
        <w:widowControl/>
        <w:autoSpaceDE/>
        <w:autoSpaceDN/>
        <w:spacing w:after="200"/>
        <w:ind w:left="284" w:right="425" w:firstLine="0"/>
        <w:contextualSpacing/>
        <w:rPr>
          <w:rFonts w:asciiTheme="minorHAnsi" w:eastAsiaTheme="minorEastAsia" w:hAnsiTheme="minorHAnsi" w:cstheme="minorBidi"/>
          <w:b/>
          <w:bCs/>
          <w:color w:val="000000" w:themeColor="text1"/>
        </w:rPr>
      </w:pPr>
    </w:p>
    <w:p w14:paraId="11E0CB9C" w14:textId="77EFC967" w:rsidR="00C67D35" w:rsidRDefault="00C67D35" w:rsidP="00C67D35">
      <w:pPr>
        <w:pStyle w:val="ListParagraph"/>
        <w:widowControl/>
        <w:autoSpaceDE/>
        <w:autoSpaceDN/>
        <w:spacing w:after="200"/>
        <w:ind w:left="284" w:right="425" w:firstLine="0"/>
        <w:contextualSpacing/>
        <w:rPr>
          <w:rFonts w:asciiTheme="minorHAnsi" w:eastAsiaTheme="minorEastAsia" w:hAnsiTheme="minorHAnsi" w:cstheme="minorBidi"/>
          <w:b/>
          <w:bCs/>
          <w:color w:val="000000" w:themeColor="text1"/>
        </w:rPr>
      </w:pPr>
    </w:p>
    <w:p w14:paraId="450E7B4A" w14:textId="77777777" w:rsidR="00C67D35" w:rsidRPr="003A644E" w:rsidRDefault="00C67D35" w:rsidP="00C67D35">
      <w:pPr>
        <w:pStyle w:val="ListParagraph"/>
        <w:widowControl/>
        <w:autoSpaceDE/>
        <w:autoSpaceDN/>
        <w:spacing w:after="200"/>
        <w:ind w:left="284" w:right="425" w:firstLine="0"/>
        <w:contextualSpacing/>
        <w:rPr>
          <w:rFonts w:asciiTheme="minorHAnsi" w:eastAsiaTheme="minorEastAsia" w:hAnsiTheme="minorHAnsi" w:cstheme="minorBidi"/>
          <w:b/>
          <w:bCs/>
          <w:color w:val="000000" w:themeColor="text1"/>
        </w:rPr>
      </w:pPr>
    </w:p>
    <w:p w14:paraId="2B344925" w14:textId="77777777" w:rsidR="00590642" w:rsidRPr="00C67D35" w:rsidRDefault="00590642" w:rsidP="00C67D35">
      <w:pPr>
        <w:spacing w:after="200"/>
        <w:ind w:firstLine="284"/>
        <w:rPr>
          <w:rFonts w:asciiTheme="minorHAnsi" w:eastAsiaTheme="minorEastAsia" w:hAnsiTheme="minorHAnsi" w:cstheme="minorBidi"/>
          <w:color w:val="31579B"/>
          <w:sz w:val="24"/>
          <w:szCs w:val="24"/>
        </w:rPr>
      </w:pPr>
      <w:r w:rsidRPr="00C67D35">
        <w:rPr>
          <w:rFonts w:asciiTheme="minorHAnsi" w:eastAsiaTheme="minorEastAsia" w:hAnsiTheme="minorHAnsi" w:cstheme="minorBidi"/>
          <w:color w:val="31579B"/>
          <w:sz w:val="24"/>
          <w:szCs w:val="24"/>
        </w:rPr>
        <w:t>Price concession summary</w:t>
      </w:r>
    </w:p>
    <w:p w14:paraId="0FE6D587" w14:textId="77777777" w:rsidR="00590642" w:rsidRDefault="00590642" w:rsidP="0081235A">
      <w:pPr>
        <w:spacing w:after="200"/>
        <w:jc w:val="center"/>
        <w:rPr>
          <w:rFonts w:asciiTheme="minorHAnsi" w:eastAsiaTheme="minorEastAsia" w:hAnsiTheme="minorHAnsi" w:cstheme="minorBidi"/>
          <w:b/>
          <w:bCs/>
          <w:color w:val="5B518E"/>
          <w:sz w:val="24"/>
          <w:szCs w:val="24"/>
        </w:rPr>
      </w:pPr>
      <w:r>
        <w:rPr>
          <w:noProof/>
        </w:rPr>
        <w:drawing>
          <wp:inline distT="0" distB="0" distL="0" distR="0" wp14:anchorId="19ADDA43" wp14:editId="3D9B02FF">
            <wp:extent cx="5456712" cy="2635885"/>
            <wp:effectExtent l="0" t="0" r="10795" b="12065"/>
            <wp:docPr id="12" name="Chart 12">
              <a:extLst xmlns:a="http://schemas.openxmlformats.org/drawingml/2006/main">
                <a:ext uri="{FF2B5EF4-FFF2-40B4-BE49-F238E27FC236}">
                  <a16:creationId xmlns:a16="http://schemas.microsoft.com/office/drawing/2014/main" id="{A3D1287B-5DAB-452A-8E04-79ECEEEF2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9A61A7" w14:textId="0A7E79F9" w:rsidR="00590642" w:rsidRDefault="00590642" w:rsidP="0081235A">
      <w:pPr>
        <w:spacing w:after="200"/>
        <w:jc w:val="center"/>
        <w:rPr>
          <w:rFonts w:asciiTheme="minorHAnsi" w:eastAsiaTheme="minorEastAsia" w:hAnsiTheme="minorHAnsi" w:cstheme="minorBidi"/>
          <w:b/>
          <w:bCs/>
          <w:color w:val="5B518E"/>
          <w:sz w:val="24"/>
          <w:szCs w:val="24"/>
        </w:rPr>
      </w:pPr>
      <w:r>
        <w:rPr>
          <w:noProof/>
        </w:rPr>
        <w:drawing>
          <wp:inline distT="0" distB="0" distL="0" distR="0" wp14:anchorId="7ECED57D" wp14:editId="5FE108FB">
            <wp:extent cx="5504213" cy="2505075"/>
            <wp:effectExtent l="0" t="0" r="1270" b="9525"/>
            <wp:docPr id="13" name="Chart 13">
              <a:extLst xmlns:a="http://schemas.openxmlformats.org/drawingml/2006/main">
                <a:ext uri="{FF2B5EF4-FFF2-40B4-BE49-F238E27FC236}">
                  <a16:creationId xmlns:a16="http://schemas.microsoft.com/office/drawing/2014/main" id="{51BDFF17-1C59-41B7-8D00-6C8CC4DC0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1A0346" w14:textId="77777777" w:rsidR="005170BF" w:rsidRPr="00F338D6" w:rsidRDefault="005170BF" w:rsidP="00590642">
      <w:pPr>
        <w:spacing w:after="200"/>
        <w:rPr>
          <w:rFonts w:asciiTheme="minorHAnsi" w:eastAsiaTheme="minorEastAsia" w:hAnsiTheme="minorHAnsi" w:cstheme="minorBidi"/>
          <w:b/>
          <w:bCs/>
          <w:color w:val="5B518E"/>
          <w:sz w:val="24"/>
          <w:szCs w:val="24"/>
        </w:rPr>
      </w:pPr>
    </w:p>
    <w:p w14:paraId="2EA113B1" w14:textId="77777777" w:rsidR="00590642" w:rsidRPr="00C67D35" w:rsidRDefault="00590642" w:rsidP="00C67D35">
      <w:pPr>
        <w:spacing w:after="200" w:line="276" w:lineRule="auto"/>
        <w:ind w:firstLine="284"/>
        <w:rPr>
          <w:rFonts w:asciiTheme="minorHAnsi" w:hAnsiTheme="minorHAnsi"/>
          <w:color w:val="31579B"/>
        </w:rPr>
      </w:pPr>
      <w:r w:rsidRPr="00C67D35">
        <w:rPr>
          <w:rFonts w:asciiTheme="minorHAnsi" w:eastAsiaTheme="minorEastAsia" w:hAnsiTheme="minorHAnsi" w:cstheme="minorBidi"/>
          <w:color w:val="31579B"/>
          <w:sz w:val="24"/>
          <w:szCs w:val="24"/>
        </w:rPr>
        <w:t>Market movements with implications for supply</w:t>
      </w:r>
    </w:p>
    <w:p w14:paraId="747D46D6" w14:textId="547C6E75" w:rsidR="00590642" w:rsidRPr="003C4804" w:rsidRDefault="00590642" w:rsidP="00C67D35">
      <w:pPr>
        <w:spacing w:after="200" w:line="276" w:lineRule="auto"/>
        <w:ind w:left="284"/>
        <w:rPr>
          <w:rFonts w:asciiTheme="minorHAnsi" w:hAnsiTheme="minorHAnsi"/>
        </w:rPr>
      </w:pPr>
      <w:r w:rsidRPr="76ED4C29">
        <w:rPr>
          <w:rFonts w:asciiTheme="minorHAnsi" w:hAnsiTheme="minorHAnsi"/>
        </w:rPr>
        <w:t>Supply disruption alerts (</w:t>
      </w:r>
      <w:r w:rsidR="00882961" w:rsidRPr="76ED4C29">
        <w:rPr>
          <w:rFonts w:asciiTheme="minorHAnsi" w:hAnsiTheme="minorHAnsi"/>
        </w:rPr>
        <w:t xml:space="preserve">issued between </w:t>
      </w:r>
      <w:r w:rsidR="00882961" w:rsidRPr="002D11BE">
        <w:rPr>
          <w:rFonts w:asciiTheme="minorHAnsi" w:hAnsiTheme="minorHAnsi"/>
        </w:rPr>
        <w:t>February 2020 and May 2020</w:t>
      </w:r>
      <w:r w:rsidRPr="76ED4C29">
        <w:rPr>
          <w:rFonts w:asciiTheme="minorHAnsi" w:hAnsiTheme="minorHAnsi"/>
        </w:rPr>
        <w:t>) for the following products were published by the Dispensing &amp; Supply team on the PSNC website</w:t>
      </w:r>
    </w:p>
    <w:tbl>
      <w:tblPr>
        <w:tblW w:w="8637" w:type="dxa"/>
        <w:jc w:val="center"/>
        <w:tblLook w:val="04A0" w:firstRow="1" w:lastRow="0" w:firstColumn="1" w:lastColumn="0" w:noHBand="0" w:noVBand="1"/>
      </w:tblPr>
      <w:tblGrid>
        <w:gridCol w:w="1280"/>
        <w:gridCol w:w="7357"/>
      </w:tblGrid>
      <w:tr w:rsidR="00590642" w:rsidRPr="00D13F2A" w14:paraId="41B43E3C" w14:textId="77777777" w:rsidTr="005170BF">
        <w:trPr>
          <w:trHeight w:val="315"/>
          <w:jc w:val="center"/>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38245" w14:textId="77777777" w:rsidR="00590642" w:rsidRPr="00D13F2A" w:rsidRDefault="00590642" w:rsidP="00540789">
            <w:pPr>
              <w:rPr>
                <w:rFonts w:ascii="Arial" w:hAnsi="Arial" w:cs="Arial"/>
                <w:b/>
                <w:bCs/>
                <w:color w:val="000000"/>
              </w:rPr>
            </w:pPr>
            <w:r w:rsidRPr="00D13F2A">
              <w:rPr>
                <w:rFonts w:ascii="Arial" w:hAnsi="Arial" w:cs="Arial"/>
                <w:b/>
                <w:bCs/>
                <w:color w:val="000000"/>
              </w:rPr>
              <w:t>Date</w:t>
            </w:r>
          </w:p>
        </w:tc>
        <w:tc>
          <w:tcPr>
            <w:tcW w:w="7357" w:type="dxa"/>
            <w:tcBorders>
              <w:top w:val="single" w:sz="8" w:space="0" w:color="auto"/>
              <w:left w:val="nil"/>
              <w:bottom w:val="single" w:sz="8" w:space="0" w:color="auto"/>
              <w:right w:val="single" w:sz="8" w:space="0" w:color="auto"/>
            </w:tcBorders>
            <w:shd w:val="clear" w:color="auto" w:fill="auto"/>
            <w:noWrap/>
            <w:vAlign w:val="center"/>
            <w:hideMark/>
          </w:tcPr>
          <w:p w14:paraId="587954BA" w14:textId="77777777" w:rsidR="00590642" w:rsidRPr="00D13F2A" w:rsidRDefault="00590642" w:rsidP="00540789">
            <w:pPr>
              <w:rPr>
                <w:rFonts w:ascii="Arial" w:hAnsi="Arial" w:cs="Arial"/>
                <w:b/>
                <w:bCs/>
                <w:color w:val="000000"/>
              </w:rPr>
            </w:pPr>
            <w:r w:rsidRPr="00D13F2A">
              <w:rPr>
                <w:rFonts w:ascii="Arial" w:hAnsi="Arial" w:cs="Arial"/>
                <w:b/>
                <w:bCs/>
                <w:color w:val="000000"/>
              </w:rPr>
              <w:t>Drug</w:t>
            </w:r>
          </w:p>
        </w:tc>
      </w:tr>
      <w:tr w:rsidR="00590642" w:rsidRPr="00D13F2A" w14:paraId="1C7EE8E2"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AC45565" w14:textId="77777777" w:rsidR="00590642" w:rsidRPr="00D13F2A" w:rsidRDefault="00590642" w:rsidP="00540789">
            <w:pPr>
              <w:jc w:val="right"/>
              <w:rPr>
                <w:color w:val="000000"/>
              </w:rPr>
            </w:pPr>
            <w:r w:rsidRPr="00D13F2A">
              <w:rPr>
                <w:color w:val="000000"/>
              </w:rPr>
              <w:t>07/05/2020</w:t>
            </w:r>
          </w:p>
        </w:tc>
        <w:tc>
          <w:tcPr>
            <w:tcW w:w="7357" w:type="dxa"/>
            <w:tcBorders>
              <w:top w:val="nil"/>
              <w:left w:val="nil"/>
              <w:bottom w:val="single" w:sz="8" w:space="0" w:color="auto"/>
              <w:right w:val="single" w:sz="8" w:space="0" w:color="auto"/>
            </w:tcBorders>
            <w:shd w:val="clear" w:color="auto" w:fill="auto"/>
            <w:noWrap/>
            <w:vAlign w:val="center"/>
            <w:hideMark/>
          </w:tcPr>
          <w:p w14:paraId="190CD61D" w14:textId="77777777" w:rsidR="00590642" w:rsidRPr="00D13F2A" w:rsidRDefault="00590642" w:rsidP="00540789">
            <w:pPr>
              <w:rPr>
                <w:color w:val="000000"/>
              </w:rPr>
            </w:pPr>
            <w:r w:rsidRPr="00D13F2A">
              <w:rPr>
                <w:color w:val="000000"/>
              </w:rPr>
              <w:t>Ranitidine all formulations update</w:t>
            </w:r>
          </w:p>
        </w:tc>
      </w:tr>
      <w:tr w:rsidR="00590642" w:rsidRPr="00D13F2A" w14:paraId="65C39932"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BB8F17B" w14:textId="77777777" w:rsidR="00590642" w:rsidRPr="00D13F2A" w:rsidRDefault="00590642" w:rsidP="00540789">
            <w:pPr>
              <w:jc w:val="right"/>
              <w:rPr>
                <w:color w:val="000000"/>
              </w:rPr>
            </w:pPr>
            <w:r w:rsidRPr="00D13F2A">
              <w:rPr>
                <w:color w:val="000000"/>
              </w:rPr>
              <w:t>29/04/2020</w:t>
            </w:r>
          </w:p>
        </w:tc>
        <w:tc>
          <w:tcPr>
            <w:tcW w:w="7357" w:type="dxa"/>
            <w:tcBorders>
              <w:top w:val="nil"/>
              <w:left w:val="nil"/>
              <w:bottom w:val="single" w:sz="8" w:space="0" w:color="auto"/>
              <w:right w:val="single" w:sz="8" w:space="0" w:color="auto"/>
            </w:tcBorders>
            <w:shd w:val="clear" w:color="auto" w:fill="auto"/>
            <w:noWrap/>
            <w:vAlign w:val="center"/>
            <w:hideMark/>
          </w:tcPr>
          <w:p w14:paraId="1114CB30" w14:textId="77777777" w:rsidR="00590642" w:rsidRPr="00D13F2A" w:rsidRDefault="00590642" w:rsidP="00540789">
            <w:pPr>
              <w:rPr>
                <w:color w:val="000000"/>
              </w:rPr>
            </w:pPr>
            <w:r w:rsidRPr="00D13F2A">
              <w:rPr>
                <w:color w:val="000000"/>
              </w:rPr>
              <w:t>Sulfasalazine 250mg/5ml oral suspension sugar free (Rosemont)</w:t>
            </w:r>
          </w:p>
        </w:tc>
      </w:tr>
      <w:tr w:rsidR="00590642" w:rsidRPr="00D13F2A" w14:paraId="654B722C"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BD90C2D" w14:textId="77777777" w:rsidR="00590642" w:rsidRPr="00D13F2A" w:rsidRDefault="00590642" w:rsidP="00540789">
            <w:pPr>
              <w:jc w:val="right"/>
              <w:rPr>
                <w:color w:val="000000"/>
              </w:rPr>
            </w:pPr>
            <w:r w:rsidRPr="00D13F2A">
              <w:rPr>
                <w:color w:val="000000"/>
              </w:rPr>
              <w:t>28/04/2020</w:t>
            </w:r>
          </w:p>
        </w:tc>
        <w:tc>
          <w:tcPr>
            <w:tcW w:w="7357" w:type="dxa"/>
            <w:tcBorders>
              <w:top w:val="nil"/>
              <w:left w:val="nil"/>
              <w:bottom w:val="single" w:sz="8" w:space="0" w:color="auto"/>
              <w:right w:val="single" w:sz="8" w:space="0" w:color="auto"/>
            </w:tcBorders>
            <w:shd w:val="clear" w:color="auto" w:fill="auto"/>
            <w:noWrap/>
            <w:vAlign w:val="center"/>
            <w:hideMark/>
          </w:tcPr>
          <w:p w14:paraId="70B4DB3C" w14:textId="77777777" w:rsidR="00590642" w:rsidRPr="00D13F2A" w:rsidRDefault="00590642" w:rsidP="00540789">
            <w:pPr>
              <w:rPr>
                <w:color w:val="000000"/>
              </w:rPr>
            </w:pPr>
            <w:proofErr w:type="spellStart"/>
            <w:r w:rsidRPr="00D13F2A">
              <w:rPr>
                <w:color w:val="000000"/>
              </w:rPr>
              <w:t>Salofalk</w:t>
            </w:r>
            <w:proofErr w:type="spellEnd"/>
            <w:r w:rsidRPr="00D13F2A">
              <w:rPr>
                <w:color w:val="000000"/>
              </w:rPr>
              <w:t xml:space="preserve"> (</w:t>
            </w:r>
            <w:proofErr w:type="spellStart"/>
            <w:r w:rsidRPr="00D13F2A">
              <w:rPr>
                <w:color w:val="000000"/>
              </w:rPr>
              <w:t>mesalazine</w:t>
            </w:r>
            <w:proofErr w:type="spellEnd"/>
            <w:r w:rsidRPr="00D13F2A">
              <w:rPr>
                <w:color w:val="000000"/>
              </w:rPr>
              <w:t>) suppositories (500mg and 1g) – Update</w:t>
            </w:r>
          </w:p>
        </w:tc>
      </w:tr>
      <w:tr w:rsidR="00590642" w:rsidRPr="00D13F2A" w14:paraId="5F5D3DE6"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A67F90C" w14:textId="77777777" w:rsidR="00590642" w:rsidRPr="00D13F2A" w:rsidRDefault="00590642" w:rsidP="00540789">
            <w:pPr>
              <w:jc w:val="right"/>
              <w:rPr>
                <w:color w:val="000000"/>
              </w:rPr>
            </w:pPr>
            <w:r w:rsidRPr="00D13F2A">
              <w:rPr>
                <w:color w:val="000000"/>
              </w:rPr>
              <w:t>28/04/2020</w:t>
            </w:r>
          </w:p>
        </w:tc>
        <w:tc>
          <w:tcPr>
            <w:tcW w:w="7357" w:type="dxa"/>
            <w:tcBorders>
              <w:top w:val="nil"/>
              <w:left w:val="nil"/>
              <w:bottom w:val="single" w:sz="8" w:space="0" w:color="auto"/>
              <w:right w:val="single" w:sz="8" w:space="0" w:color="auto"/>
            </w:tcBorders>
            <w:shd w:val="clear" w:color="auto" w:fill="auto"/>
            <w:noWrap/>
            <w:vAlign w:val="center"/>
            <w:hideMark/>
          </w:tcPr>
          <w:p w14:paraId="21CA0CE4" w14:textId="77777777" w:rsidR="00590642" w:rsidRPr="00D13F2A" w:rsidRDefault="00590642" w:rsidP="00540789">
            <w:pPr>
              <w:rPr>
                <w:color w:val="000000"/>
              </w:rPr>
            </w:pPr>
            <w:r w:rsidRPr="00D13F2A">
              <w:rPr>
                <w:color w:val="000000"/>
              </w:rPr>
              <w:t>Disopyramide 150mg capsules – Update</w:t>
            </w:r>
          </w:p>
        </w:tc>
      </w:tr>
      <w:tr w:rsidR="00590642" w:rsidRPr="00D13F2A" w14:paraId="5D2558DB"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71C8DCE" w14:textId="77777777" w:rsidR="00590642" w:rsidRPr="00D13F2A" w:rsidRDefault="00590642" w:rsidP="00540789">
            <w:pPr>
              <w:jc w:val="right"/>
              <w:rPr>
                <w:color w:val="000000"/>
              </w:rPr>
            </w:pPr>
            <w:r w:rsidRPr="00D13F2A">
              <w:rPr>
                <w:color w:val="000000"/>
              </w:rPr>
              <w:t>28/04/2020</w:t>
            </w:r>
          </w:p>
        </w:tc>
        <w:tc>
          <w:tcPr>
            <w:tcW w:w="7357" w:type="dxa"/>
            <w:tcBorders>
              <w:top w:val="nil"/>
              <w:left w:val="nil"/>
              <w:bottom w:val="single" w:sz="8" w:space="0" w:color="auto"/>
              <w:right w:val="single" w:sz="8" w:space="0" w:color="auto"/>
            </w:tcBorders>
            <w:shd w:val="clear" w:color="auto" w:fill="auto"/>
            <w:noWrap/>
            <w:vAlign w:val="center"/>
            <w:hideMark/>
          </w:tcPr>
          <w:p w14:paraId="3D78C4DE" w14:textId="77777777" w:rsidR="00590642" w:rsidRPr="00D13F2A" w:rsidRDefault="00590642" w:rsidP="00540789">
            <w:pPr>
              <w:rPr>
                <w:color w:val="000000"/>
              </w:rPr>
            </w:pPr>
            <w:r w:rsidRPr="00D13F2A">
              <w:rPr>
                <w:color w:val="000000"/>
              </w:rPr>
              <w:t>Valproic acid 150mg, 300mg and 500mg capsules (</w:t>
            </w:r>
            <w:proofErr w:type="spellStart"/>
            <w:r w:rsidRPr="00D13F2A">
              <w:rPr>
                <w:color w:val="000000"/>
              </w:rPr>
              <w:t>Convulex</w:t>
            </w:r>
            <w:proofErr w:type="spellEnd"/>
            <w:r w:rsidRPr="00D13F2A">
              <w:rPr>
                <w:color w:val="000000"/>
              </w:rPr>
              <w:t>®) – Update</w:t>
            </w:r>
          </w:p>
        </w:tc>
      </w:tr>
      <w:tr w:rsidR="00590642" w:rsidRPr="00D13F2A" w14:paraId="41B7216D"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CCEAC16" w14:textId="77777777" w:rsidR="00590642" w:rsidRPr="00D13F2A" w:rsidRDefault="00590642" w:rsidP="00540789">
            <w:pPr>
              <w:jc w:val="right"/>
              <w:rPr>
                <w:color w:val="000000"/>
              </w:rPr>
            </w:pPr>
            <w:r w:rsidRPr="00D13F2A">
              <w:rPr>
                <w:color w:val="000000"/>
              </w:rPr>
              <w:t>28/04/2020</w:t>
            </w:r>
          </w:p>
        </w:tc>
        <w:tc>
          <w:tcPr>
            <w:tcW w:w="7357" w:type="dxa"/>
            <w:tcBorders>
              <w:top w:val="nil"/>
              <w:left w:val="nil"/>
              <w:bottom w:val="single" w:sz="8" w:space="0" w:color="auto"/>
              <w:right w:val="single" w:sz="8" w:space="0" w:color="auto"/>
            </w:tcBorders>
            <w:shd w:val="clear" w:color="auto" w:fill="auto"/>
            <w:noWrap/>
            <w:vAlign w:val="center"/>
            <w:hideMark/>
          </w:tcPr>
          <w:p w14:paraId="1FACC2BA" w14:textId="77777777" w:rsidR="00590642" w:rsidRPr="00D13F2A" w:rsidRDefault="00590642" w:rsidP="00540789">
            <w:pPr>
              <w:rPr>
                <w:color w:val="000000"/>
              </w:rPr>
            </w:pPr>
            <w:r w:rsidRPr="00D13F2A">
              <w:rPr>
                <w:color w:val="000000"/>
              </w:rPr>
              <w:t xml:space="preserve">Valproate </w:t>
            </w:r>
            <w:proofErr w:type="spellStart"/>
            <w:r w:rsidRPr="00D13F2A">
              <w:rPr>
                <w:color w:val="000000"/>
              </w:rPr>
              <w:t>semisodium</w:t>
            </w:r>
            <w:proofErr w:type="spellEnd"/>
            <w:r w:rsidRPr="00D13F2A">
              <w:rPr>
                <w:color w:val="000000"/>
              </w:rPr>
              <w:t xml:space="preserve"> (Depakote) 250mg and 500mg tablets (Sanofi) – Update</w:t>
            </w:r>
          </w:p>
        </w:tc>
      </w:tr>
      <w:tr w:rsidR="00590642" w:rsidRPr="00D13F2A" w14:paraId="72EB13FC"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98A33DB" w14:textId="77777777" w:rsidR="00590642" w:rsidRPr="00D13F2A" w:rsidRDefault="00590642" w:rsidP="00540789">
            <w:pPr>
              <w:jc w:val="right"/>
              <w:rPr>
                <w:color w:val="000000"/>
              </w:rPr>
            </w:pPr>
            <w:r w:rsidRPr="00D13F2A">
              <w:rPr>
                <w:color w:val="000000"/>
              </w:rPr>
              <w:t>28/04/2020</w:t>
            </w:r>
          </w:p>
        </w:tc>
        <w:tc>
          <w:tcPr>
            <w:tcW w:w="7357" w:type="dxa"/>
            <w:tcBorders>
              <w:top w:val="nil"/>
              <w:left w:val="nil"/>
              <w:bottom w:val="single" w:sz="8" w:space="0" w:color="auto"/>
              <w:right w:val="single" w:sz="8" w:space="0" w:color="auto"/>
            </w:tcBorders>
            <w:shd w:val="clear" w:color="auto" w:fill="auto"/>
            <w:noWrap/>
            <w:vAlign w:val="center"/>
            <w:hideMark/>
          </w:tcPr>
          <w:p w14:paraId="35F4298F" w14:textId="77777777" w:rsidR="00590642" w:rsidRPr="00D13F2A" w:rsidRDefault="00590642" w:rsidP="00540789">
            <w:pPr>
              <w:rPr>
                <w:color w:val="000000"/>
              </w:rPr>
            </w:pPr>
            <w:r w:rsidRPr="00D13F2A">
              <w:rPr>
                <w:color w:val="000000"/>
              </w:rPr>
              <w:t>Promazine 25mg and 50mg tablets – Update</w:t>
            </w:r>
          </w:p>
        </w:tc>
      </w:tr>
      <w:tr w:rsidR="00590642" w:rsidRPr="00D13F2A" w14:paraId="6E98184C"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F6A9DDD" w14:textId="77777777" w:rsidR="00590642" w:rsidRPr="00D13F2A" w:rsidRDefault="00590642" w:rsidP="00540789">
            <w:pPr>
              <w:jc w:val="right"/>
              <w:rPr>
                <w:color w:val="000000"/>
              </w:rPr>
            </w:pPr>
            <w:r w:rsidRPr="00D13F2A">
              <w:rPr>
                <w:color w:val="000000"/>
              </w:rPr>
              <w:t>28/04/2020</w:t>
            </w:r>
          </w:p>
        </w:tc>
        <w:tc>
          <w:tcPr>
            <w:tcW w:w="7357" w:type="dxa"/>
            <w:tcBorders>
              <w:top w:val="nil"/>
              <w:left w:val="nil"/>
              <w:bottom w:val="single" w:sz="8" w:space="0" w:color="auto"/>
              <w:right w:val="single" w:sz="8" w:space="0" w:color="auto"/>
            </w:tcBorders>
            <w:shd w:val="clear" w:color="auto" w:fill="auto"/>
            <w:noWrap/>
            <w:vAlign w:val="center"/>
            <w:hideMark/>
          </w:tcPr>
          <w:p w14:paraId="7836EFBD" w14:textId="77777777" w:rsidR="00590642" w:rsidRPr="00D13F2A" w:rsidRDefault="00590642" w:rsidP="00540789">
            <w:pPr>
              <w:rPr>
                <w:color w:val="000000"/>
              </w:rPr>
            </w:pPr>
            <w:r w:rsidRPr="00D13F2A">
              <w:rPr>
                <w:color w:val="000000"/>
              </w:rPr>
              <w:t>Lorazepam (Ativan®) 4mg/ml injection (Pfizer) – Update</w:t>
            </w:r>
          </w:p>
        </w:tc>
      </w:tr>
      <w:tr w:rsidR="00590642" w:rsidRPr="00D13F2A" w14:paraId="757C9FDD"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BE91883" w14:textId="77777777" w:rsidR="00590642" w:rsidRPr="00D13F2A" w:rsidRDefault="00590642" w:rsidP="00540789">
            <w:pPr>
              <w:jc w:val="right"/>
              <w:rPr>
                <w:color w:val="000000"/>
              </w:rPr>
            </w:pPr>
            <w:r w:rsidRPr="00D13F2A">
              <w:rPr>
                <w:color w:val="000000"/>
              </w:rPr>
              <w:t>28/04/2020</w:t>
            </w:r>
          </w:p>
        </w:tc>
        <w:tc>
          <w:tcPr>
            <w:tcW w:w="7357" w:type="dxa"/>
            <w:tcBorders>
              <w:top w:val="nil"/>
              <w:left w:val="nil"/>
              <w:bottom w:val="single" w:sz="8" w:space="0" w:color="auto"/>
              <w:right w:val="single" w:sz="8" w:space="0" w:color="auto"/>
            </w:tcBorders>
            <w:shd w:val="clear" w:color="auto" w:fill="auto"/>
            <w:noWrap/>
            <w:vAlign w:val="center"/>
            <w:hideMark/>
          </w:tcPr>
          <w:p w14:paraId="185E5201" w14:textId="77777777" w:rsidR="00590642" w:rsidRPr="00D13F2A" w:rsidRDefault="00590642" w:rsidP="00540789">
            <w:pPr>
              <w:rPr>
                <w:color w:val="000000"/>
              </w:rPr>
            </w:pPr>
            <w:r w:rsidRPr="00D13F2A">
              <w:rPr>
                <w:color w:val="000000"/>
              </w:rPr>
              <w:t>Propantheline bromide (Pro-Banthine) 15mg tablets (Kyowa Kirin</w:t>
            </w:r>
          </w:p>
        </w:tc>
      </w:tr>
      <w:tr w:rsidR="00590642" w:rsidRPr="00D13F2A" w14:paraId="7107ABEC"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90DE7A2" w14:textId="77777777" w:rsidR="00590642" w:rsidRPr="00D13F2A" w:rsidRDefault="00590642" w:rsidP="00540789">
            <w:pPr>
              <w:jc w:val="right"/>
              <w:rPr>
                <w:color w:val="000000"/>
              </w:rPr>
            </w:pPr>
            <w:r w:rsidRPr="00D13F2A">
              <w:rPr>
                <w:color w:val="000000"/>
              </w:rPr>
              <w:t>09/04/2020</w:t>
            </w:r>
          </w:p>
        </w:tc>
        <w:tc>
          <w:tcPr>
            <w:tcW w:w="7357" w:type="dxa"/>
            <w:tcBorders>
              <w:top w:val="nil"/>
              <w:left w:val="nil"/>
              <w:bottom w:val="single" w:sz="8" w:space="0" w:color="auto"/>
              <w:right w:val="single" w:sz="8" w:space="0" w:color="auto"/>
            </w:tcBorders>
            <w:shd w:val="clear" w:color="auto" w:fill="auto"/>
            <w:noWrap/>
            <w:vAlign w:val="center"/>
            <w:hideMark/>
          </w:tcPr>
          <w:p w14:paraId="357BFF8E" w14:textId="77777777" w:rsidR="00590642" w:rsidRPr="00D13F2A" w:rsidRDefault="00590642" w:rsidP="00540789">
            <w:pPr>
              <w:rPr>
                <w:color w:val="000000"/>
              </w:rPr>
            </w:pPr>
            <w:r w:rsidRPr="00D13F2A">
              <w:rPr>
                <w:color w:val="000000"/>
              </w:rPr>
              <w:t>Acetazolamide SR 250mg capsules</w:t>
            </w:r>
          </w:p>
        </w:tc>
      </w:tr>
      <w:tr w:rsidR="00590642" w:rsidRPr="00D13F2A" w14:paraId="6828A74B"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E5B658F" w14:textId="77777777" w:rsidR="00590642" w:rsidRPr="00D13F2A" w:rsidRDefault="00590642" w:rsidP="00540789">
            <w:pPr>
              <w:jc w:val="right"/>
              <w:rPr>
                <w:color w:val="000000"/>
              </w:rPr>
            </w:pPr>
            <w:r w:rsidRPr="00D13F2A">
              <w:rPr>
                <w:color w:val="000000"/>
              </w:rPr>
              <w:t>09/04/2020</w:t>
            </w:r>
          </w:p>
        </w:tc>
        <w:tc>
          <w:tcPr>
            <w:tcW w:w="7357" w:type="dxa"/>
            <w:tcBorders>
              <w:top w:val="nil"/>
              <w:left w:val="nil"/>
              <w:bottom w:val="single" w:sz="8" w:space="0" w:color="auto"/>
              <w:right w:val="single" w:sz="8" w:space="0" w:color="auto"/>
            </w:tcBorders>
            <w:shd w:val="clear" w:color="auto" w:fill="auto"/>
            <w:noWrap/>
            <w:vAlign w:val="center"/>
            <w:hideMark/>
          </w:tcPr>
          <w:p w14:paraId="2353FD49" w14:textId="77777777" w:rsidR="00590642" w:rsidRPr="00D13F2A" w:rsidRDefault="00590642" w:rsidP="00540789">
            <w:pPr>
              <w:rPr>
                <w:color w:val="000000"/>
              </w:rPr>
            </w:pPr>
            <w:proofErr w:type="spellStart"/>
            <w:r w:rsidRPr="00D13F2A">
              <w:rPr>
                <w:color w:val="000000"/>
              </w:rPr>
              <w:t>Phytomenadione</w:t>
            </w:r>
            <w:proofErr w:type="spellEnd"/>
            <w:r w:rsidRPr="00D13F2A">
              <w:rPr>
                <w:color w:val="000000"/>
              </w:rPr>
              <w:t xml:space="preserve"> (</w:t>
            </w:r>
            <w:proofErr w:type="spellStart"/>
            <w:r w:rsidRPr="00D13F2A">
              <w:rPr>
                <w:color w:val="000000"/>
              </w:rPr>
              <w:t>Konakion</w:t>
            </w:r>
            <w:proofErr w:type="spellEnd"/>
            <w:r w:rsidRPr="00D13F2A">
              <w:rPr>
                <w:color w:val="000000"/>
              </w:rPr>
              <w:t xml:space="preserve"> MM Paediatric) 2mg/0.2ml ampoules (</w:t>
            </w:r>
            <w:proofErr w:type="spellStart"/>
            <w:r w:rsidRPr="00D13F2A">
              <w:rPr>
                <w:color w:val="000000"/>
              </w:rPr>
              <w:t>Cheplapharm</w:t>
            </w:r>
            <w:proofErr w:type="spellEnd"/>
            <w:r w:rsidRPr="00D13F2A">
              <w:rPr>
                <w:color w:val="000000"/>
              </w:rPr>
              <w:t>)</w:t>
            </w:r>
          </w:p>
        </w:tc>
      </w:tr>
      <w:tr w:rsidR="00590642" w:rsidRPr="00D13F2A" w14:paraId="3CEE2BC1"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AA6D6E9" w14:textId="77777777" w:rsidR="00590642" w:rsidRPr="00D13F2A" w:rsidRDefault="00590642" w:rsidP="00540789">
            <w:pPr>
              <w:jc w:val="right"/>
              <w:rPr>
                <w:color w:val="000000"/>
              </w:rPr>
            </w:pPr>
            <w:r w:rsidRPr="00D13F2A">
              <w:rPr>
                <w:color w:val="000000"/>
              </w:rPr>
              <w:t>30/03/2020</w:t>
            </w:r>
          </w:p>
        </w:tc>
        <w:tc>
          <w:tcPr>
            <w:tcW w:w="7357" w:type="dxa"/>
            <w:tcBorders>
              <w:top w:val="nil"/>
              <w:left w:val="nil"/>
              <w:bottom w:val="single" w:sz="8" w:space="0" w:color="auto"/>
              <w:right w:val="single" w:sz="8" w:space="0" w:color="auto"/>
            </w:tcBorders>
            <w:shd w:val="clear" w:color="auto" w:fill="auto"/>
            <w:noWrap/>
            <w:vAlign w:val="center"/>
            <w:hideMark/>
          </w:tcPr>
          <w:p w14:paraId="6D8FB3B5" w14:textId="77777777" w:rsidR="00590642" w:rsidRPr="00D13F2A" w:rsidRDefault="00590642" w:rsidP="00540789">
            <w:pPr>
              <w:rPr>
                <w:color w:val="000000"/>
              </w:rPr>
            </w:pPr>
            <w:r w:rsidRPr="00D13F2A">
              <w:rPr>
                <w:color w:val="000000"/>
              </w:rPr>
              <w:t>Penicillamine 125mg and 250mg tablets – Update</w:t>
            </w:r>
          </w:p>
        </w:tc>
      </w:tr>
      <w:tr w:rsidR="00590642" w:rsidRPr="00D13F2A" w14:paraId="6E8CDD40"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8114E7A" w14:textId="77777777" w:rsidR="00590642" w:rsidRPr="00D13F2A" w:rsidRDefault="00590642" w:rsidP="00540789">
            <w:pPr>
              <w:jc w:val="right"/>
              <w:rPr>
                <w:color w:val="000000"/>
              </w:rPr>
            </w:pPr>
            <w:r w:rsidRPr="00D13F2A">
              <w:rPr>
                <w:color w:val="000000"/>
              </w:rPr>
              <w:t>25/03/2020</w:t>
            </w:r>
          </w:p>
        </w:tc>
        <w:tc>
          <w:tcPr>
            <w:tcW w:w="7357" w:type="dxa"/>
            <w:tcBorders>
              <w:top w:val="nil"/>
              <w:left w:val="nil"/>
              <w:bottom w:val="single" w:sz="8" w:space="0" w:color="auto"/>
              <w:right w:val="single" w:sz="8" w:space="0" w:color="auto"/>
            </w:tcBorders>
            <w:shd w:val="clear" w:color="auto" w:fill="auto"/>
            <w:noWrap/>
            <w:vAlign w:val="center"/>
            <w:hideMark/>
          </w:tcPr>
          <w:p w14:paraId="6AFC5D1C" w14:textId="77777777" w:rsidR="00590642" w:rsidRPr="00D13F2A" w:rsidRDefault="00590642" w:rsidP="00540789">
            <w:pPr>
              <w:rPr>
                <w:color w:val="000000"/>
              </w:rPr>
            </w:pPr>
            <w:r w:rsidRPr="00D13F2A">
              <w:rPr>
                <w:color w:val="000000"/>
              </w:rPr>
              <w:t xml:space="preserve">Diamorphine Hydrochloride powder for reconstitution and injection 5mg and 10mg ampoules – update </w:t>
            </w:r>
          </w:p>
        </w:tc>
      </w:tr>
      <w:tr w:rsidR="00590642" w:rsidRPr="00D13F2A" w14:paraId="13E47CBA"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D10D79D" w14:textId="77777777" w:rsidR="00590642" w:rsidRPr="00D13F2A" w:rsidRDefault="00590642" w:rsidP="00540789">
            <w:pPr>
              <w:jc w:val="right"/>
              <w:rPr>
                <w:color w:val="000000"/>
              </w:rPr>
            </w:pPr>
            <w:r w:rsidRPr="00D13F2A">
              <w:rPr>
                <w:color w:val="000000"/>
              </w:rPr>
              <w:t>13/03/2020</w:t>
            </w:r>
          </w:p>
        </w:tc>
        <w:tc>
          <w:tcPr>
            <w:tcW w:w="7357" w:type="dxa"/>
            <w:tcBorders>
              <w:top w:val="nil"/>
              <w:left w:val="nil"/>
              <w:bottom w:val="single" w:sz="8" w:space="0" w:color="auto"/>
              <w:right w:val="single" w:sz="8" w:space="0" w:color="auto"/>
            </w:tcBorders>
            <w:shd w:val="clear" w:color="auto" w:fill="auto"/>
            <w:noWrap/>
            <w:vAlign w:val="center"/>
            <w:hideMark/>
          </w:tcPr>
          <w:p w14:paraId="7A2C6325" w14:textId="77777777" w:rsidR="00590642" w:rsidRPr="00D13F2A" w:rsidRDefault="00590642" w:rsidP="00540789">
            <w:pPr>
              <w:rPr>
                <w:color w:val="000000"/>
              </w:rPr>
            </w:pPr>
            <w:r w:rsidRPr="00D13F2A">
              <w:rPr>
                <w:color w:val="000000"/>
              </w:rPr>
              <w:t>Clonidine 25mcg tablets – Update</w:t>
            </w:r>
          </w:p>
        </w:tc>
      </w:tr>
      <w:tr w:rsidR="00590642" w:rsidRPr="00D13F2A" w14:paraId="2526F0CE"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F91AFD5" w14:textId="77777777" w:rsidR="00590642" w:rsidRPr="00D13F2A" w:rsidRDefault="00590642" w:rsidP="00540789">
            <w:pPr>
              <w:jc w:val="right"/>
              <w:rPr>
                <w:color w:val="000000"/>
              </w:rPr>
            </w:pPr>
            <w:r w:rsidRPr="00D13F2A">
              <w:rPr>
                <w:color w:val="000000"/>
              </w:rPr>
              <w:t>13/03/2020</w:t>
            </w:r>
          </w:p>
        </w:tc>
        <w:tc>
          <w:tcPr>
            <w:tcW w:w="7357" w:type="dxa"/>
            <w:tcBorders>
              <w:top w:val="nil"/>
              <w:left w:val="nil"/>
              <w:bottom w:val="single" w:sz="8" w:space="0" w:color="auto"/>
              <w:right w:val="single" w:sz="8" w:space="0" w:color="auto"/>
            </w:tcBorders>
            <w:shd w:val="clear" w:color="auto" w:fill="auto"/>
            <w:noWrap/>
            <w:vAlign w:val="center"/>
            <w:hideMark/>
          </w:tcPr>
          <w:p w14:paraId="53134410" w14:textId="77777777" w:rsidR="00590642" w:rsidRPr="00D13F2A" w:rsidRDefault="00590642" w:rsidP="00540789">
            <w:pPr>
              <w:rPr>
                <w:color w:val="000000"/>
              </w:rPr>
            </w:pPr>
            <w:r w:rsidRPr="00D13F2A">
              <w:rPr>
                <w:color w:val="000000"/>
              </w:rPr>
              <w:t>Lorazepam (Ativan®) 4mg/ml injection (Pfizer) – Update</w:t>
            </w:r>
          </w:p>
        </w:tc>
      </w:tr>
      <w:tr w:rsidR="00590642" w:rsidRPr="00D13F2A" w14:paraId="279B8E29"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1F0E441" w14:textId="77777777" w:rsidR="00590642" w:rsidRPr="00D13F2A" w:rsidRDefault="00590642" w:rsidP="00540789">
            <w:pPr>
              <w:jc w:val="right"/>
              <w:rPr>
                <w:color w:val="000000"/>
              </w:rPr>
            </w:pPr>
            <w:r w:rsidRPr="00D13F2A">
              <w:rPr>
                <w:color w:val="000000"/>
              </w:rPr>
              <w:t>20/02/2020</w:t>
            </w:r>
          </w:p>
        </w:tc>
        <w:tc>
          <w:tcPr>
            <w:tcW w:w="7357" w:type="dxa"/>
            <w:tcBorders>
              <w:top w:val="nil"/>
              <w:left w:val="nil"/>
              <w:bottom w:val="single" w:sz="8" w:space="0" w:color="auto"/>
              <w:right w:val="single" w:sz="8" w:space="0" w:color="auto"/>
            </w:tcBorders>
            <w:shd w:val="clear" w:color="auto" w:fill="auto"/>
            <w:noWrap/>
            <w:vAlign w:val="center"/>
            <w:hideMark/>
          </w:tcPr>
          <w:p w14:paraId="71716E26" w14:textId="77777777" w:rsidR="00590642" w:rsidRPr="00D13F2A" w:rsidRDefault="00590642" w:rsidP="00540789">
            <w:pPr>
              <w:rPr>
                <w:color w:val="000000"/>
              </w:rPr>
            </w:pPr>
            <w:r w:rsidRPr="00D13F2A">
              <w:rPr>
                <w:color w:val="000000"/>
              </w:rPr>
              <w:t>Seroxat (paroxetine) 20mg/10ml oral solution – Update</w:t>
            </w:r>
          </w:p>
        </w:tc>
      </w:tr>
      <w:tr w:rsidR="00590642" w:rsidRPr="00D13F2A" w14:paraId="33D3D178" w14:textId="77777777" w:rsidTr="005170BF">
        <w:trPr>
          <w:trHeight w:val="315"/>
          <w:jc w:val="center"/>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5A9732B" w14:textId="77777777" w:rsidR="00590642" w:rsidRPr="00D13F2A" w:rsidRDefault="00590642" w:rsidP="00540789">
            <w:pPr>
              <w:jc w:val="right"/>
              <w:rPr>
                <w:color w:val="000000"/>
              </w:rPr>
            </w:pPr>
            <w:r w:rsidRPr="00D13F2A">
              <w:rPr>
                <w:color w:val="000000"/>
              </w:rPr>
              <w:t>12/02/2020</w:t>
            </w:r>
          </w:p>
        </w:tc>
        <w:tc>
          <w:tcPr>
            <w:tcW w:w="7357" w:type="dxa"/>
            <w:tcBorders>
              <w:top w:val="nil"/>
              <w:left w:val="nil"/>
              <w:bottom w:val="single" w:sz="8" w:space="0" w:color="auto"/>
              <w:right w:val="single" w:sz="8" w:space="0" w:color="auto"/>
            </w:tcBorders>
            <w:shd w:val="clear" w:color="auto" w:fill="auto"/>
            <w:noWrap/>
            <w:vAlign w:val="center"/>
            <w:hideMark/>
          </w:tcPr>
          <w:p w14:paraId="20B3FBE9" w14:textId="77777777" w:rsidR="00590642" w:rsidRPr="00D13F2A" w:rsidRDefault="00590642" w:rsidP="00540789">
            <w:pPr>
              <w:rPr>
                <w:color w:val="000000"/>
              </w:rPr>
            </w:pPr>
            <w:r w:rsidRPr="00D13F2A">
              <w:rPr>
                <w:color w:val="000000"/>
              </w:rPr>
              <w:t>Levomepromazine 25mg/1ml solution for injection</w:t>
            </w:r>
          </w:p>
        </w:tc>
      </w:tr>
    </w:tbl>
    <w:p w14:paraId="049C02FC" w14:textId="77777777" w:rsidR="005170BF" w:rsidRDefault="005170BF" w:rsidP="00590642">
      <w:pPr>
        <w:pStyle w:val="NoSpacing"/>
        <w:rPr>
          <w:rFonts w:eastAsiaTheme="minorEastAsia"/>
          <w:b/>
          <w:bCs/>
          <w:color w:val="5B518E"/>
          <w:sz w:val="24"/>
          <w:szCs w:val="24"/>
        </w:rPr>
      </w:pPr>
    </w:p>
    <w:p w14:paraId="6017A86E" w14:textId="5794DAD5" w:rsidR="00590642" w:rsidRPr="00C67D35" w:rsidRDefault="00590642" w:rsidP="00C67D35">
      <w:pPr>
        <w:pStyle w:val="NoSpacing"/>
        <w:ind w:left="284"/>
        <w:rPr>
          <w:rFonts w:eastAsiaTheme="minorEastAsia"/>
          <w:color w:val="31579B"/>
          <w:sz w:val="24"/>
          <w:szCs w:val="24"/>
        </w:rPr>
      </w:pPr>
      <w:r w:rsidRPr="00C67D35">
        <w:rPr>
          <w:rFonts w:eastAsiaTheme="minorEastAsia"/>
          <w:color w:val="31579B"/>
          <w:sz w:val="24"/>
          <w:szCs w:val="24"/>
        </w:rPr>
        <w:br/>
        <w:t xml:space="preserve">Supply Issues with inhalers </w:t>
      </w:r>
    </w:p>
    <w:p w14:paraId="06A57AE0" w14:textId="77777777" w:rsidR="00590642" w:rsidRDefault="00590642" w:rsidP="00C67D35">
      <w:pPr>
        <w:ind w:left="284" w:right="425"/>
        <w:jc w:val="both"/>
        <w:rPr>
          <w:rFonts w:asciiTheme="minorHAnsi" w:hAnsiTheme="minorHAnsi" w:cstheme="minorBidi"/>
        </w:rPr>
      </w:pPr>
      <w:r>
        <w:br/>
      </w:r>
      <w:r w:rsidRPr="76ED4C29">
        <w:rPr>
          <w:rFonts w:asciiTheme="minorHAnsi" w:hAnsiTheme="minorHAnsi" w:cstheme="minorBidi"/>
        </w:rPr>
        <w:t xml:space="preserve">During March and April, DST were made aware of supply issues affecting many commonly dispensed inhalers such as </w:t>
      </w:r>
      <w:proofErr w:type="spellStart"/>
      <w:r w:rsidRPr="76ED4C29">
        <w:rPr>
          <w:rFonts w:asciiTheme="minorHAnsi" w:hAnsiTheme="minorHAnsi" w:cstheme="minorBidi"/>
        </w:rPr>
        <w:t>Clenil</w:t>
      </w:r>
      <w:proofErr w:type="spellEnd"/>
      <w:r w:rsidRPr="76ED4C29">
        <w:rPr>
          <w:rFonts w:asciiTheme="minorHAnsi" w:hAnsiTheme="minorHAnsi" w:cstheme="minorBidi"/>
        </w:rPr>
        <w:t xml:space="preserve"> and </w:t>
      </w:r>
      <w:proofErr w:type="spellStart"/>
      <w:r w:rsidRPr="76ED4C29">
        <w:rPr>
          <w:rFonts w:asciiTheme="minorHAnsi" w:hAnsiTheme="minorHAnsi" w:cstheme="minorBidi"/>
        </w:rPr>
        <w:t>Fostair</w:t>
      </w:r>
      <w:proofErr w:type="spellEnd"/>
      <w:r w:rsidRPr="76ED4C29">
        <w:rPr>
          <w:rFonts w:asciiTheme="minorHAnsi" w:hAnsiTheme="minorHAnsi" w:cstheme="minorBidi"/>
        </w:rPr>
        <w:t xml:space="preserve"> due to a sudden spike in demand. PSNC has been in regular contact with DHSC Medicines Supply team and manufacturers to highlight the concerns that were raised by contractors unable to source stock and to better understand the reasons behind the supply issues and any contingency plans that were in place. The team released updates to reiterate NHSE&amp;I and BTS guidance around managing prescription duration and issuing of </w:t>
      </w:r>
      <w:r w:rsidRPr="76ED4C29">
        <w:rPr>
          <w:color w:val="201F1E"/>
        </w:rPr>
        <w:t xml:space="preserve">monthly repeat prescriptions instead to manage supply issues. </w:t>
      </w:r>
      <w:r w:rsidRPr="76ED4C29">
        <w:rPr>
          <w:rFonts w:asciiTheme="minorHAnsi" w:hAnsiTheme="minorHAnsi" w:cstheme="minorBidi"/>
        </w:rPr>
        <w:t>The team is in regular contact with DHSC to share and receive updates on reported supply issues affecting contractors and their patients.</w:t>
      </w:r>
    </w:p>
    <w:p w14:paraId="1567A0F8" w14:textId="77777777" w:rsidR="00590642" w:rsidRDefault="00590642" w:rsidP="00590642">
      <w:pPr>
        <w:pStyle w:val="NoSpacing"/>
      </w:pPr>
      <w:r>
        <w:br/>
      </w:r>
    </w:p>
    <w:p w14:paraId="43970969" w14:textId="77777777" w:rsidR="00590642" w:rsidRPr="00C67D35" w:rsidRDefault="00590642" w:rsidP="00C67D35">
      <w:pPr>
        <w:ind w:left="284" w:right="425"/>
        <w:rPr>
          <w:rFonts w:asciiTheme="minorHAnsi" w:eastAsiaTheme="minorEastAsia" w:hAnsiTheme="minorHAnsi" w:cstheme="minorBidi"/>
          <w:color w:val="31579B"/>
          <w:sz w:val="24"/>
          <w:szCs w:val="24"/>
        </w:rPr>
      </w:pPr>
      <w:r w:rsidRPr="00C67D35">
        <w:rPr>
          <w:rFonts w:asciiTheme="minorHAnsi" w:eastAsiaTheme="minorEastAsia" w:hAnsiTheme="minorHAnsi" w:cstheme="minorBidi"/>
          <w:color w:val="31579B"/>
          <w:sz w:val="24"/>
          <w:szCs w:val="24"/>
        </w:rPr>
        <w:t>COVID-19 Comms</w:t>
      </w:r>
    </w:p>
    <w:p w14:paraId="1450C748" w14:textId="77777777" w:rsidR="00590642" w:rsidRDefault="00590642" w:rsidP="00C67D35">
      <w:pPr>
        <w:ind w:left="284" w:right="425"/>
        <w:rPr>
          <w:rFonts w:asciiTheme="minorHAnsi" w:eastAsiaTheme="minorEastAsia" w:hAnsiTheme="minorHAnsi" w:cstheme="minorBidi"/>
          <w:b/>
          <w:bCs/>
          <w:color w:val="5B518E"/>
          <w:sz w:val="24"/>
          <w:szCs w:val="24"/>
        </w:rPr>
      </w:pPr>
    </w:p>
    <w:p w14:paraId="79F9C93A" w14:textId="77777777" w:rsidR="00590642" w:rsidRDefault="00590642" w:rsidP="00C67D35">
      <w:pPr>
        <w:pStyle w:val="NoSpacing"/>
        <w:ind w:left="284" w:right="425"/>
        <w:jc w:val="both"/>
      </w:pPr>
      <w:r w:rsidRPr="76ED4C29">
        <w:t xml:space="preserve">DST has issued regular updates via PSNC website, CPN and Twitter reminding contractors of the importance of their end of month submission process, methods and deadlines for claiming any Coivd-19 related payments, and timing of these payments to ensure that contractors do not lose out on these. The payment table below was published to inform contractors how and when certain payments would be made. </w:t>
      </w:r>
    </w:p>
    <w:p w14:paraId="7EA9BF7C" w14:textId="77777777" w:rsidR="00590642" w:rsidRDefault="00590642" w:rsidP="00590642">
      <w:pPr>
        <w:pStyle w:val="NoSpacing"/>
        <w:rPr>
          <w:rFonts w:cstheme="minorHAnsi"/>
        </w:rPr>
      </w:pPr>
    </w:p>
    <w:tbl>
      <w:tblPr>
        <w:tblW w:w="10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9"/>
        <w:gridCol w:w="1609"/>
        <w:gridCol w:w="2256"/>
        <w:gridCol w:w="1884"/>
        <w:gridCol w:w="3075"/>
      </w:tblGrid>
      <w:tr w:rsidR="00590642" w:rsidRPr="00821C44" w14:paraId="7FCF3930" w14:textId="77777777" w:rsidTr="005170BF">
        <w:trPr>
          <w:trHeight w:val="730"/>
        </w:trPr>
        <w:tc>
          <w:tcPr>
            <w:tcW w:w="1829" w:type="dxa"/>
            <w:shd w:val="clear" w:color="auto" w:fill="C3137B"/>
            <w:tcMar>
              <w:top w:w="120" w:type="dxa"/>
              <w:left w:w="120" w:type="dxa"/>
              <w:bottom w:w="120" w:type="dxa"/>
              <w:right w:w="120" w:type="dxa"/>
            </w:tcMar>
            <w:vAlign w:val="center"/>
            <w:hideMark/>
          </w:tcPr>
          <w:p w14:paraId="5123FD58" w14:textId="77777777" w:rsidR="00590642" w:rsidRPr="00821C44" w:rsidRDefault="00590642" w:rsidP="00540789">
            <w:pPr>
              <w:spacing w:before="225" w:after="225"/>
              <w:jc w:val="center"/>
              <w:rPr>
                <w:rFonts w:asciiTheme="minorHAnsi" w:hAnsiTheme="minorHAnsi" w:cstheme="minorHAnsi"/>
                <w:color w:val="444444"/>
                <w:sz w:val="18"/>
                <w:szCs w:val="18"/>
              </w:rPr>
            </w:pPr>
            <w:r w:rsidRPr="00821C44">
              <w:rPr>
                <w:rStyle w:val="Strong"/>
                <w:rFonts w:asciiTheme="minorHAnsi" w:hAnsiTheme="minorHAnsi" w:cstheme="minorHAnsi"/>
                <w:color w:val="FFFFFF"/>
                <w:sz w:val="18"/>
                <w:szCs w:val="18"/>
              </w:rPr>
              <w:t>Payment type</w:t>
            </w:r>
          </w:p>
        </w:tc>
        <w:tc>
          <w:tcPr>
            <w:tcW w:w="1609" w:type="dxa"/>
            <w:shd w:val="clear" w:color="auto" w:fill="C3137B"/>
            <w:tcMar>
              <w:top w:w="120" w:type="dxa"/>
              <w:left w:w="120" w:type="dxa"/>
              <w:bottom w:w="120" w:type="dxa"/>
              <w:right w:w="120" w:type="dxa"/>
            </w:tcMar>
            <w:vAlign w:val="center"/>
            <w:hideMark/>
          </w:tcPr>
          <w:p w14:paraId="6CBAF833" w14:textId="77777777" w:rsidR="00590642" w:rsidRPr="00821C44" w:rsidRDefault="00590642" w:rsidP="00540789">
            <w:pPr>
              <w:spacing w:before="225" w:after="225"/>
              <w:jc w:val="center"/>
              <w:rPr>
                <w:rFonts w:asciiTheme="minorHAnsi" w:hAnsiTheme="minorHAnsi" w:cstheme="minorHAnsi"/>
                <w:color w:val="444444"/>
                <w:sz w:val="18"/>
                <w:szCs w:val="18"/>
              </w:rPr>
            </w:pPr>
            <w:r w:rsidRPr="00821C44">
              <w:rPr>
                <w:rStyle w:val="Strong"/>
                <w:rFonts w:asciiTheme="minorHAnsi" w:hAnsiTheme="minorHAnsi" w:cstheme="minorHAnsi"/>
                <w:color w:val="FFFFFF"/>
                <w:sz w:val="18"/>
                <w:szCs w:val="18"/>
              </w:rPr>
              <w:t>Claim method</w:t>
            </w:r>
          </w:p>
        </w:tc>
        <w:tc>
          <w:tcPr>
            <w:tcW w:w="2256" w:type="dxa"/>
            <w:shd w:val="clear" w:color="auto" w:fill="C3137B"/>
            <w:tcMar>
              <w:top w:w="120" w:type="dxa"/>
              <w:left w:w="120" w:type="dxa"/>
              <w:bottom w:w="120" w:type="dxa"/>
              <w:right w:w="120" w:type="dxa"/>
            </w:tcMar>
            <w:vAlign w:val="center"/>
            <w:hideMark/>
          </w:tcPr>
          <w:p w14:paraId="5BD0B78F" w14:textId="77777777" w:rsidR="00590642" w:rsidRPr="00821C44" w:rsidRDefault="00590642" w:rsidP="00540789">
            <w:pPr>
              <w:spacing w:before="225" w:after="225"/>
              <w:jc w:val="center"/>
              <w:rPr>
                <w:rFonts w:asciiTheme="minorHAnsi" w:hAnsiTheme="minorHAnsi" w:cstheme="minorHAnsi"/>
                <w:color w:val="444444"/>
                <w:sz w:val="18"/>
                <w:szCs w:val="18"/>
              </w:rPr>
            </w:pPr>
            <w:r w:rsidRPr="00821C44">
              <w:rPr>
                <w:rStyle w:val="Strong"/>
                <w:rFonts w:asciiTheme="minorHAnsi" w:hAnsiTheme="minorHAnsi" w:cstheme="minorHAnsi"/>
                <w:color w:val="FFFFFF"/>
                <w:sz w:val="18"/>
                <w:szCs w:val="18"/>
              </w:rPr>
              <w:t>Payment amount </w:t>
            </w:r>
          </w:p>
        </w:tc>
        <w:tc>
          <w:tcPr>
            <w:tcW w:w="1884" w:type="dxa"/>
            <w:shd w:val="clear" w:color="auto" w:fill="C3137B"/>
            <w:tcMar>
              <w:top w:w="120" w:type="dxa"/>
              <w:left w:w="120" w:type="dxa"/>
              <w:bottom w:w="120" w:type="dxa"/>
              <w:right w:w="120" w:type="dxa"/>
            </w:tcMar>
            <w:vAlign w:val="center"/>
            <w:hideMark/>
          </w:tcPr>
          <w:p w14:paraId="711ECCAD" w14:textId="77777777" w:rsidR="00590642" w:rsidRPr="00821C44" w:rsidRDefault="00590642" w:rsidP="00540789">
            <w:pPr>
              <w:spacing w:before="225" w:after="225"/>
              <w:jc w:val="center"/>
              <w:rPr>
                <w:rFonts w:asciiTheme="minorHAnsi" w:hAnsiTheme="minorHAnsi" w:cstheme="minorHAnsi"/>
                <w:color w:val="444444"/>
                <w:sz w:val="18"/>
                <w:szCs w:val="18"/>
              </w:rPr>
            </w:pPr>
            <w:r w:rsidRPr="00821C44">
              <w:rPr>
                <w:rStyle w:val="Strong"/>
                <w:rFonts w:asciiTheme="minorHAnsi" w:hAnsiTheme="minorHAnsi" w:cstheme="minorHAnsi"/>
                <w:color w:val="FFFFFF"/>
                <w:sz w:val="18"/>
                <w:szCs w:val="18"/>
              </w:rPr>
              <w:t>Payment due</w:t>
            </w:r>
          </w:p>
        </w:tc>
        <w:tc>
          <w:tcPr>
            <w:tcW w:w="3075" w:type="dxa"/>
            <w:shd w:val="clear" w:color="auto" w:fill="C3137B"/>
            <w:tcMar>
              <w:top w:w="120" w:type="dxa"/>
              <w:left w:w="120" w:type="dxa"/>
              <w:bottom w:w="120" w:type="dxa"/>
              <w:right w:w="120" w:type="dxa"/>
            </w:tcMar>
            <w:vAlign w:val="center"/>
            <w:hideMark/>
          </w:tcPr>
          <w:p w14:paraId="459EFFFC" w14:textId="77777777" w:rsidR="00590642" w:rsidRPr="00821C44" w:rsidRDefault="00590642" w:rsidP="00540789">
            <w:pPr>
              <w:spacing w:before="225" w:after="225"/>
              <w:jc w:val="center"/>
              <w:rPr>
                <w:rFonts w:asciiTheme="minorHAnsi" w:hAnsiTheme="minorHAnsi" w:cstheme="minorHAnsi"/>
                <w:color w:val="444444"/>
                <w:sz w:val="18"/>
                <w:szCs w:val="18"/>
              </w:rPr>
            </w:pPr>
            <w:r w:rsidRPr="00821C44">
              <w:rPr>
                <w:rStyle w:val="Strong"/>
                <w:rFonts w:asciiTheme="minorHAnsi" w:hAnsiTheme="minorHAnsi" w:cstheme="minorHAnsi"/>
                <w:color w:val="FFFFFF"/>
                <w:sz w:val="18"/>
                <w:szCs w:val="18"/>
              </w:rPr>
              <w:t>How payment will appear on your Schedule of payments </w:t>
            </w:r>
          </w:p>
        </w:tc>
      </w:tr>
      <w:tr w:rsidR="00590642" w:rsidRPr="00821C44" w14:paraId="423AAFB9" w14:textId="77777777" w:rsidTr="005170BF">
        <w:trPr>
          <w:trHeight w:val="1031"/>
        </w:trPr>
        <w:tc>
          <w:tcPr>
            <w:tcW w:w="1829" w:type="dxa"/>
            <w:shd w:val="clear" w:color="auto" w:fill="5185C0"/>
            <w:tcMar>
              <w:top w:w="120" w:type="dxa"/>
              <w:left w:w="120" w:type="dxa"/>
              <w:bottom w:w="120" w:type="dxa"/>
              <w:right w:w="120" w:type="dxa"/>
            </w:tcMar>
            <w:vAlign w:val="center"/>
            <w:hideMark/>
          </w:tcPr>
          <w:p w14:paraId="4BD1F40D" w14:textId="77777777" w:rsidR="00590642" w:rsidRPr="00821C44" w:rsidRDefault="00590642" w:rsidP="00540789">
            <w:pPr>
              <w:spacing w:before="225" w:after="225"/>
              <w:jc w:val="center"/>
              <w:rPr>
                <w:rFonts w:asciiTheme="minorHAnsi" w:hAnsiTheme="minorHAnsi" w:cstheme="minorHAnsi"/>
                <w:color w:val="444444"/>
                <w:sz w:val="18"/>
                <w:szCs w:val="18"/>
              </w:rPr>
            </w:pPr>
            <w:r w:rsidRPr="00821C44">
              <w:rPr>
                <w:rStyle w:val="Strong"/>
                <w:rFonts w:asciiTheme="minorHAnsi" w:hAnsiTheme="minorHAnsi" w:cstheme="minorHAnsi"/>
                <w:color w:val="FFFFFF"/>
                <w:sz w:val="18"/>
                <w:szCs w:val="18"/>
              </w:rPr>
              <w:t xml:space="preserve">Easter Bank Holiday opening hours (Good Friday and Easter </w:t>
            </w:r>
            <w:proofErr w:type="gramStart"/>
            <w:r w:rsidRPr="00821C44">
              <w:rPr>
                <w:rStyle w:val="Strong"/>
                <w:rFonts w:asciiTheme="minorHAnsi" w:hAnsiTheme="minorHAnsi" w:cstheme="minorHAnsi"/>
                <w:color w:val="FFFFFF"/>
                <w:sz w:val="18"/>
                <w:szCs w:val="18"/>
              </w:rPr>
              <w:t>Monday)*</w:t>
            </w:r>
            <w:proofErr w:type="gramEnd"/>
            <w:r w:rsidRPr="00821C44">
              <w:rPr>
                <w:rStyle w:val="Strong"/>
                <w:rFonts w:asciiTheme="minorHAnsi" w:hAnsiTheme="minorHAnsi" w:cstheme="minorHAnsi"/>
                <w:color w:val="FFFFFF"/>
                <w:sz w:val="18"/>
                <w:szCs w:val="18"/>
              </w:rPr>
              <w:t> </w:t>
            </w:r>
          </w:p>
        </w:tc>
        <w:tc>
          <w:tcPr>
            <w:tcW w:w="1609" w:type="dxa"/>
            <w:tcMar>
              <w:top w:w="120" w:type="dxa"/>
              <w:left w:w="120" w:type="dxa"/>
              <w:bottom w:w="120" w:type="dxa"/>
              <w:right w:w="120" w:type="dxa"/>
            </w:tcMar>
            <w:vAlign w:val="center"/>
            <w:hideMark/>
          </w:tcPr>
          <w:p w14:paraId="508C7C40" w14:textId="77777777" w:rsidR="00590642" w:rsidRPr="00821C44" w:rsidRDefault="00904A02" w:rsidP="00540789">
            <w:pPr>
              <w:spacing w:before="225" w:after="225"/>
              <w:jc w:val="center"/>
              <w:rPr>
                <w:rFonts w:asciiTheme="minorHAnsi" w:hAnsiTheme="minorHAnsi" w:cstheme="minorHAnsi"/>
                <w:color w:val="444444"/>
                <w:sz w:val="18"/>
                <w:szCs w:val="18"/>
              </w:rPr>
            </w:pPr>
            <w:hyperlink r:id="rId16" w:history="1">
              <w:r w:rsidR="00590642" w:rsidRPr="00821C44">
                <w:rPr>
                  <w:rStyle w:val="Hyperlink"/>
                  <w:rFonts w:asciiTheme="minorHAnsi" w:eastAsia="Symbol" w:hAnsiTheme="minorHAnsi" w:cstheme="minorHAnsi"/>
                  <w:b/>
                  <w:bCs/>
                  <w:color w:val="4F3388"/>
                  <w:sz w:val="18"/>
                  <w:szCs w:val="18"/>
                </w:rPr>
                <w:t>MYS portal</w:t>
              </w:r>
            </w:hyperlink>
          </w:p>
        </w:tc>
        <w:tc>
          <w:tcPr>
            <w:tcW w:w="2256" w:type="dxa"/>
            <w:tcMar>
              <w:top w:w="120" w:type="dxa"/>
              <w:left w:w="120" w:type="dxa"/>
              <w:bottom w:w="120" w:type="dxa"/>
              <w:right w:w="120" w:type="dxa"/>
            </w:tcMar>
            <w:vAlign w:val="center"/>
            <w:hideMark/>
          </w:tcPr>
          <w:p w14:paraId="388781CF" w14:textId="77777777" w:rsidR="00590642" w:rsidRPr="00821C44" w:rsidRDefault="00590642" w:rsidP="00540789">
            <w:pPr>
              <w:pStyle w:val="NormalWeb"/>
              <w:spacing w:before="240"/>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£250 per hour</w:t>
            </w:r>
          </w:p>
          <w:p w14:paraId="418BC4E1" w14:textId="77777777" w:rsidR="00590642" w:rsidRPr="00821C44" w:rsidRDefault="00590642" w:rsidP="00540789">
            <w:pPr>
              <w:pStyle w:val="NormalWeb"/>
              <w:spacing w:before="240"/>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(maximum £750/day for opening of at least 3 hours per day)</w:t>
            </w:r>
          </w:p>
        </w:tc>
        <w:tc>
          <w:tcPr>
            <w:tcW w:w="1884" w:type="dxa"/>
            <w:tcMar>
              <w:top w:w="120" w:type="dxa"/>
              <w:left w:w="120" w:type="dxa"/>
              <w:bottom w:w="120" w:type="dxa"/>
              <w:right w:w="120" w:type="dxa"/>
            </w:tcMar>
            <w:vAlign w:val="center"/>
            <w:hideMark/>
          </w:tcPr>
          <w:p w14:paraId="2A0CCE0C"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Payment due on </w:t>
            </w:r>
            <w:r w:rsidRPr="00821C44">
              <w:rPr>
                <w:rStyle w:val="Strong"/>
                <w:rFonts w:asciiTheme="minorHAnsi" w:hAnsiTheme="minorHAnsi" w:cstheme="minorHAnsi"/>
                <w:color w:val="444444"/>
                <w:sz w:val="18"/>
                <w:szCs w:val="18"/>
              </w:rPr>
              <w:t>1st June</w:t>
            </w:r>
            <w:r w:rsidRPr="00821C44">
              <w:rPr>
                <w:rFonts w:asciiTheme="minorHAnsi" w:hAnsiTheme="minorHAnsi" w:cstheme="minorHAnsi"/>
                <w:color w:val="444444"/>
                <w:sz w:val="18"/>
                <w:szCs w:val="18"/>
              </w:rPr>
              <w:t> if claimed using MYS by the </w:t>
            </w:r>
            <w:r w:rsidRPr="00821C44">
              <w:rPr>
                <w:rStyle w:val="Strong"/>
                <w:rFonts w:asciiTheme="minorHAnsi" w:hAnsiTheme="minorHAnsi" w:cstheme="minorHAnsi"/>
                <w:color w:val="444444"/>
                <w:sz w:val="18"/>
                <w:szCs w:val="18"/>
              </w:rPr>
              <w:t>5th May</w:t>
            </w:r>
          </w:p>
        </w:tc>
        <w:tc>
          <w:tcPr>
            <w:tcW w:w="3075" w:type="dxa"/>
            <w:tcMar>
              <w:top w:w="120" w:type="dxa"/>
              <w:left w:w="120" w:type="dxa"/>
              <w:bottom w:w="120" w:type="dxa"/>
              <w:right w:w="120" w:type="dxa"/>
            </w:tcMar>
            <w:vAlign w:val="center"/>
            <w:hideMark/>
          </w:tcPr>
          <w:p w14:paraId="484961D3"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This payment will </w:t>
            </w:r>
            <w:r w:rsidRPr="00821C44">
              <w:rPr>
                <w:rStyle w:val="Strong"/>
                <w:rFonts w:asciiTheme="minorHAnsi" w:hAnsiTheme="minorHAnsi" w:cstheme="minorHAnsi"/>
                <w:color w:val="444444"/>
                <w:sz w:val="18"/>
                <w:szCs w:val="18"/>
              </w:rPr>
              <w:t>not</w:t>
            </w:r>
            <w:r w:rsidRPr="00821C44">
              <w:rPr>
                <w:rFonts w:asciiTheme="minorHAnsi" w:hAnsiTheme="minorHAnsi" w:cstheme="minorHAnsi"/>
                <w:color w:val="444444"/>
                <w:sz w:val="18"/>
                <w:szCs w:val="18"/>
              </w:rPr>
              <w:t> appear on the Schedule of Payment. NHSBSA will issue individual letters to contractors who claimed via MYS informing them of payment.</w:t>
            </w:r>
          </w:p>
        </w:tc>
      </w:tr>
      <w:tr w:rsidR="00590642" w:rsidRPr="00821C44" w14:paraId="043D637C" w14:textId="77777777" w:rsidTr="005170BF">
        <w:trPr>
          <w:trHeight w:val="1357"/>
        </w:trPr>
        <w:tc>
          <w:tcPr>
            <w:tcW w:w="1829" w:type="dxa"/>
            <w:shd w:val="clear" w:color="auto" w:fill="5185C0"/>
            <w:tcMar>
              <w:top w:w="120" w:type="dxa"/>
              <w:left w:w="120" w:type="dxa"/>
              <w:bottom w:w="120" w:type="dxa"/>
              <w:right w:w="120" w:type="dxa"/>
            </w:tcMar>
            <w:vAlign w:val="center"/>
            <w:hideMark/>
          </w:tcPr>
          <w:p w14:paraId="60741E67" w14:textId="77777777" w:rsidR="00590642" w:rsidRPr="00821C44" w:rsidRDefault="00590642" w:rsidP="00540789">
            <w:pPr>
              <w:jc w:val="center"/>
              <w:rPr>
                <w:rFonts w:asciiTheme="minorHAnsi" w:hAnsiTheme="minorHAnsi" w:cstheme="minorHAnsi"/>
                <w:color w:val="444444"/>
                <w:sz w:val="18"/>
                <w:szCs w:val="18"/>
              </w:rPr>
            </w:pPr>
            <w:r w:rsidRPr="00821C44">
              <w:rPr>
                <w:rStyle w:val="Strong"/>
                <w:rFonts w:asciiTheme="minorHAnsi" w:hAnsiTheme="minorHAnsi" w:cstheme="minorHAnsi"/>
                <w:color w:val="FFFFFF"/>
                <w:sz w:val="18"/>
                <w:szCs w:val="18"/>
              </w:rPr>
              <w:t xml:space="preserve">Pandemic Delivery Service (Essential </w:t>
            </w:r>
            <w:proofErr w:type="gramStart"/>
            <w:r w:rsidRPr="00821C44">
              <w:rPr>
                <w:rStyle w:val="Strong"/>
                <w:rFonts w:asciiTheme="minorHAnsi" w:hAnsiTheme="minorHAnsi" w:cstheme="minorHAnsi"/>
                <w:color w:val="FFFFFF"/>
                <w:sz w:val="18"/>
                <w:szCs w:val="18"/>
              </w:rPr>
              <w:t>Service)*</w:t>
            </w:r>
            <w:proofErr w:type="gramEnd"/>
            <w:r w:rsidRPr="00821C44">
              <w:rPr>
                <w:rStyle w:val="Strong"/>
                <w:rFonts w:asciiTheme="minorHAnsi" w:hAnsiTheme="minorHAnsi" w:cstheme="minorHAnsi"/>
                <w:color w:val="FFFFFF"/>
                <w:sz w:val="18"/>
                <w:szCs w:val="18"/>
              </w:rPr>
              <w:t>*</w:t>
            </w:r>
          </w:p>
        </w:tc>
        <w:tc>
          <w:tcPr>
            <w:tcW w:w="1609" w:type="dxa"/>
            <w:tcMar>
              <w:top w:w="120" w:type="dxa"/>
              <w:left w:w="120" w:type="dxa"/>
              <w:bottom w:w="120" w:type="dxa"/>
              <w:right w:w="120" w:type="dxa"/>
            </w:tcMar>
            <w:vAlign w:val="center"/>
            <w:hideMark/>
          </w:tcPr>
          <w:p w14:paraId="61BF3939"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Automatic payment by NHSBSA</w:t>
            </w:r>
          </w:p>
        </w:tc>
        <w:tc>
          <w:tcPr>
            <w:tcW w:w="2256" w:type="dxa"/>
            <w:tcMar>
              <w:top w:w="120" w:type="dxa"/>
              <w:left w:w="120" w:type="dxa"/>
              <w:bottom w:w="120" w:type="dxa"/>
              <w:right w:w="120" w:type="dxa"/>
            </w:tcMar>
            <w:vAlign w:val="center"/>
            <w:hideMark/>
          </w:tcPr>
          <w:p w14:paraId="00031774" w14:textId="77777777" w:rsidR="00590642" w:rsidRPr="00821C44" w:rsidRDefault="00590642" w:rsidP="00540789">
            <w:pPr>
              <w:jc w:val="center"/>
              <w:rPr>
                <w:rFonts w:asciiTheme="minorHAnsi" w:hAnsiTheme="minorHAnsi" w:cstheme="minorHAnsi"/>
                <w:color w:val="444444"/>
                <w:sz w:val="18"/>
                <w:szCs w:val="18"/>
              </w:rPr>
            </w:pPr>
            <w:r>
              <w:rPr>
                <w:noProof/>
              </w:rPr>
              <w:drawing>
                <wp:inline distT="0" distB="0" distL="0" distR="0" wp14:anchorId="572266AA" wp14:editId="5DC96DA9">
                  <wp:extent cx="1274611" cy="1483954"/>
                  <wp:effectExtent l="0" t="0" r="1905" b="2540"/>
                  <wp:docPr id="8296204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1274611" cy="1483954"/>
                          </a:xfrm>
                          <a:prstGeom prst="rect">
                            <a:avLst/>
                          </a:prstGeom>
                        </pic:spPr>
                      </pic:pic>
                    </a:graphicData>
                  </a:graphic>
                </wp:inline>
              </w:drawing>
            </w:r>
          </w:p>
        </w:tc>
        <w:tc>
          <w:tcPr>
            <w:tcW w:w="1884" w:type="dxa"/>
            <w:tcMar>
              <w:top w:w="120" w:type="dxa"/>
              <w:left w:w="120" w:type="dxa"/>
              <w:bottom w:w="120" w:type="dxa"/>
              <w:right w:w="120" w:type="dxa"/>
            </w:tcMar>
            <w:vAlign w:val="center"/>
            <w:hideMark/>
          </w:tcPr>
          <w:p w14:paraId="11A76528"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Monthly – with first payment due on </w:t>
            </w:r>
            <w:r w:rsidRPr="00821C44">
              <w:rPr>
                <w:rStyle w:val="Strong"/>
                <w:rFonts w:asciiTheme="minorHAnsi" w:hAnsiTheme="minorHAnsi" w:cstheme="minorHAnsi"/>
                <w:color w:val="444444"/>
                <w:sz w:val="18"/>
                <w:szCs w:val="18"/>
              </w:rPr>
              <w:t>1st July</w:t>
            </w:r>
          </w:p>
        </w:tc>
        <w:tc>
          <w:tcPr>
            <w:tcW w:w="3075" w:type="dxa"/>
            <w:tcMar>
              <w:top w:w="120" w:type="dxa"/>
              <w:left w:w="120" w:type="dxa"/>
              <w:bottom w:w="120" w:type="dxa"/>
              <w:right w:w="120" w:type="dxa"/>
            </w:tcMar>
            <w:vAlign w:val="center"/>
            <w:hideMark/>
          </w:tcPr>
          <w:p w14:paraId="5DE062DB"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Paid under same line as Transitional payment</w:t>
            </w:r>
          </w:p>
        </w:tc>
      </w:tr>
      <w:tr w:rsidR="00590642" w:rsidRPr="00821C44" w14:paraId="616E2EAC" w14:textId="77777777" w:rsidTr="005170BF">
        <w:trPr>
          <w:trHeight w:val="429"/>
        </w:trPr>
        <w:tc>
          <w:tcPr>
            <w:tcW w:w="1829" w:type="dxa"/>
            <w:shd w:val="clear" w:color="auto" w:fill="5185C0"/>
            <w:tcMar>
              <w:top w:w="120" w:type="dxa"/>
              <w:left w:w="120" w:type="dxa"/>
              <w:bottom w:w="120" w:type="dxa"/>
              <w:right w:w="120" w:type="dxa"/>
            </w:tcMar>
            <w:vAlign w:val="center"/>
            <w:hideMark/>
          </w:tcPr>
          <w:p w14:paraId="421E47D7" w14:textId="77777777" w:rsidR="00590642" w:rsidRPr="00821C44" w:rsidRDefault="00590642" w:rsidP="00540789">
            <w:pPr>
              <w:jc w:val="center"/>
              <w:rPr>
                <w:rFonts w:asciiTheme="minorHAnsi" w:hAnsiTheme="minorHAnsi" w:cstheme="minorHAnsi"/>
                <w:color w:val="444444"/>
                <w:sz w:val="18"/>
                <w:szCs w:val="18"/>
              </w:rPr>
            </w:pPr>
            <w:r w:rsidRPr="00821C44">
              <w:rPr>
                <w:rStyle w:val="Strong"/>
                <w:rFonts w:asciiTheme="minorHAnsi" w:hAnsiTheme="minorHAnsi" w:cstheme="minorHAnsi"/>
                <w:color w:val="FFFFFF"/>
                <w:sz w:val="18"/>
                <w:szCs w:val="18"/>
              </w:rPr>
              <w:t>Pandemic Delivery Service</w:t>
            </w:r>
            <w:r w:rsidRPr="00821C44">
              <w:rPr>
                <w:rFonts w:asciiTheme="minorHAnsi" w:hAnsiTheme="minorHAnsi" w:cstheme="minorHAnsi"/>
                <w:color w:val="444444"/>
                <w:sz w:val="18"/>
                <w:szCs w:val="18"/>
              </w:rPr>
              <w:br/>
            </w:r>
            <w:r w:rsidRPr="00821C44">
              <w:rPr>
                <w:rStyle w:val="Strong"/>
                <w:rFonts w:asciiTheme="minorHAnsi" w:hAnsiTheme="minorHAnsi" w:cstheme="minorHAnsi"/>
                <w:color w:val="FFFFFF"/>
                <w:sz w:val="18"/>
                <w:szCs w:val="18"/>
              </w:rPr>
              <w:t xml:space="preserve">(Advanced </w:t>
            </w:r>
            <w:proofErr w:type="gramStart"/>
            <w:r w:rsidRPr="00821C44">
              <w:rPr>
                <w:rStyle w:val="Strong"/>
                <w:rFonts w:asciiTheme="minorHAnsi" w:hAnsiTheme="minorHAnsi" w:cstheme="minorHAnsi"/>
                <w:color w:val="FFFFFF"/>
                <w:sz w:val="18"/>
                <w:szCs w:val="18"/>
              </w:rPr>
              <w:t>Service)*</w:t>
            </w:r>
            <w:proofErr w:type="gramEnd"/>
            <w:r w:rsidRPr="00821C44">
              <w:rPr>
                <w:rStyle w:val="Strong"/>
                <w:rFonts w:asciiTheme="minorHAnsi" w:hAnsiTheme="minorHAnsi" w:cstheme="minorHAnsi"/>
                <w:color w:val="FFFFFF"/>
                <w:sz w:val="18"/>
                <w:szCs w:val="18"/>
              </w:rPr>
              <w:t>*</w:t>
            </w:r>
          </w:p>
        </w:tc>
        <w:tc>
          <w:tcPr>
            <w:tcW w:w="1609" w:type="dxa"/>
            <w:tcMar>
              <w:top w:w="120" w:type="dxa"/>
              <w:left w:w="120" w:type="dxa"/>
              <w:bottom w:w="120" w:type="dxa"/>
              <w:right w:w="120" w:type="dxa"/>
            </w:tcMar>
            <w:vAlign w:val="center"/>
            <w:hideMark/>
          </w:tcPr>
          <w:p w14:paraId="1EB6DB00" w14:textId="77777777" w:rsidR="00590642" w:rsidRPr="00821C44" w:rsidRDefault="00904A02" w:rsidP="00540789">
            <w:pPr>
              <w:jc w:val="center"/>
              <w:rPr>
                <w:rFonts w:asciiTheme="minorHAnsi" w:hAnsiTheme="minorHAnsi" w:cstheme="minorHAnsi"/>
                <w:color w:val="444444"/>
                <w:sz w:val="18"/>
                <w:szCs w:val="18"/>
              </w:rPr>
            </w:pPr>
            <w:hyperlink r:id="rId18" w:history="1">
              <w:r w:rsidR="00590642" w:rsidRPr="00821C44">
                <w:rPr>
                  <w:rStyle w:val="Hyperlink"/>
                  <w:rFonts w:asciiTheme="minorHAnsi" w:eastAsia="Symbol" w:hAnsiTheme="minorHAnsi" w:cstheme="minorHAnsi"/>
                  <w:b/>
                  <w:bCs/>
                  <w:color w:val="4F3388"/>
                  <w:sz w:val="18"/>
                  <w:szCs w:val="18"/>
                </w:rPr>
                <w:t>MYS portal</w:t>
              </w:r>
            </w:hyperlink>
          </w:p>
        </w:tc>
        <w:tc>
          <w:tcPr>
            <w:tcW w:w="2256" w:type="dxa"/>
            <w:tcMar>
              <w:top w:w="120" w:type="dxa"/>
              <w:left w:w="120" w:type="dxa"/>
              <w:bottom w:w="120" w:type="dxa"/>
              <w:right w:w="120" w:type="dxa"/>
            </w:tcMar>
            <w:vAlign w:val="center"/>
            <w:hideMark/>
          </w:tcPr>
          <w:p w14:paraId="67FC44F2"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£6 (including VAT) per delivery</w:t>
            </w:r>
          </w:p>
        </w:tc>
        <w:tc>
          <w:tcPr>
            <w:tcW w:w="1884" w:type="dxa"/>
            <w:tcMar>
              <w:top w:w="120" w:type="dxa"/>
              <w:left w:w="120" w:type="dxa"/>
              <w:bottom w:w="120" w:type="dxa"/>
              <w:right w:w="120" w:type="dxa"/>
            </w:tcMar>
            <w:vAlign w:val="center"/>
            <w:hideMark/>
          </w:tcPr>
          <w:p w14:paraId="53EDEFB9"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Monthly – with first payment due on </w:t>
            </w:r>
            <w:r w:rsidRPr="00821C44">
              <w:rPr>
                <w:rStyle w:val="Strong"/>
                <w:rFonts w:asciiTheme="minorHAnsi" w:hAnsiTheme="minorHAnsi" w:cstheme="minorHAnsi"/>
                <w:color w:val="444444"/>
                <w:sz w:val="18"/>
                <w:szCs w:val="18"/>
              </w:rPr>
              <w:t>1st July</w:t>
            </w:r>
            <w:r w:rsidRPr="00821C44">
              <w:rPr>
                <w:rFonts w:asciiTheme="minorHAnsi" w:hAnsiTheme="minorHAnsi" w:cstheme="minorHAnsi"/>
                <w:color w:val="444444"/>
                <w:sz w:val="18"/>
                <w:szCs w:val="18"/>
              </w:rPr>
              <w:t> for deliveries made in April and claimed using MYS by the </w:t>
            </w:r>
            <w:r w:rsidRPr="00821C44">
              <w:rPr>
                <w:rStyle w:val="Strong"/>
                <w:rFonts w:asciiTheme="minorHAnsi" w:hAnsiTheme="minorHAnsi" w:cstheme="minorHAnsi"/>
                <w:color w:val="444444"/>
                <w:sz w:val="18"/>
                <w:szCs w:val="18"/>
              </w:rPr>
              <w:t>5th May</w:t>
            </w:r>
          </w:p>
        </w:tc>
        <w:tc>
          <w:tcPr>
            <w:tcW w:w="3075" w:type="dxa"/>
            <w:tcMar>
              <w:top w:w="120" w:type="dxa"/>
              <w:left w:w="120" w:type="dxa"/>
              <w:bottom w:w="120" w:type="dxa"/>
              <w:right w:w="120" w:type="dxa"/>
            </w:tcMar>
            <w:vAlign w:val="center"/>
            <w:hideMark/>
          </w:tcPr>
          <w:p w14:paraId="6A12770D"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‘Additional Advance Payment’</w:t>
            </w:r>
          </w:p>
        </w:tc>
      </w:tr>
      <w:tr w:rsidR="00590642" w:rsidRPr="00821C44" w14:paraId="3BD695EF" w14:textId="77777777" w:rsidTr="005170BF">
        <w:trPr>
          <w:trHeight w:val="504"/>
        </w:trPr>
        <w:tc>
          <w:tcPr>
            <w:tcW w:w="1829" w:type="dxa"/>
            <w:shd w:val="clear" w:color="auto" w:fill="5185C0"/>
            <w:tcMar>
              <w:top w:w="120" w:type="dxa"/>
              <w:left w:w="120" w:type="dxa"/>
              <w:bottom w:w="120" w:type="dxa"/>
              <w:right w:w="120" w:type="dxa"/>
            </w:tcMar>
            <w:vAlign w:val="center"/>
            <w:hideMark/>
          </w:tcPr>
          <w:p w14:paraId="5B016D7A" w14:textId="77777777" w:rsidR="00590642" w:rsidRPr="00821C44" w:rsidRDefault="00590642" w:rsidP="00540789">
            <w:pPr>
              <w:jc w:val="center"/>
              <w:rPr>
                <w:rFonts w:asciiTheme="minorHAnsi" w:hAnsiTheme="minorHAnsi" w:cstheme="minorHAnsi"/>
                <w:color w:val="444444"/>
                <w:sz w:val="18"/>
                <w:szCs w:val="18"/>
              </w:rPr>
            </w:pPr>
            <w:r w:rsidRPr="00821C44">
              <w:rPr>
                <w:rStyle w:val="Strong"/>
                <w:rFonts w:asciiTheme="minorHAnsi" w:hAnsiTheme="minorHAnsi" w:cstheme="minorHAnsi"/>
                <w:color w:val="FFFFFF"/>
                <w:sz w:val="18"/>
                <w:szCs w:val="18"/>
              </w:rPr>
              <w:t>Payment for installation of physical barriers e.g. screens**</w:t>
            </w:r>
          </w:p>
        </w:tc>
        <w:tc>
          <w:tcPr>
            <w:tcW w:w="1609" w:type="dxa"/>
            <w:tcMar>
              <w:top w:w="120" w:type="dxa"/>
              <w:left w:w="120" w:type="dxa"/>
              <w:bottom w:w="120" w:type="dxa"/>
              <w:right w:w="120" w:type="dxa"/>
            </w:tcMar>
            <w:vAlign w:val="center"/>
            <w:hideMark/>
          </w:tcPr>
          <w:p w14:paraId="60D1B7DC"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Automatic payment by NHSBSA</w:t>
            </w:r>
          </w:p>
        </w:tc>
        <w:tc>
          <w:tcPr>
            <w:tcW w:w="2256" w:type="dxa"/>
            <w:tcMar>
              <w:top w:w="120" w:type="dxa"/>
              <w:left w:w="120" w:type="dxa"/>
              <w:bottom w:w="120" w:type="dxa"/>
              <w:right w:w="120" w:type="dxa"/>
            </w:tcMar>
            <w:vAlign w:val="center"/>
            <w:hideMark/>
          </w:tcPr>
          <w:p w14:paraId="68876B41"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£300</w:t>
            </w:r>
          </w:p>
        </w:tc>
        <w:tc>
          <w:tcPr>
            <w:tcW w:w="1884" w:type="dxa"/>
            <w:tcMar>
              <w:top w:w="120" w:type="dxa"/>
              <w:left w:w="120" w:type="dxa"/>
              <w:bottom w:w="120" w:type="dxa"/>
              <w:right w:w="120" w:type="dxa"/>
            </w:tcMar>
            <w:vAlign w:val="center"/>
            <w:hideMark/>
          </w:tcPr>
          <w:p w14:paraId="2E2A91E1"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End of April/early May</w:t>
            </w:r>
          </w:p>
        </w:tc>
        <w:tc>
          <w:tcPr>
            <w:tcW w:w="3075" w:type="dxa"/>
            <w:tcMar>
              <w:top w:w="120" w:type="dxa"/>
              <w:left w:w="120" w:type="dxa"/>
              <w:bottom w:w="120" w:type="dxa"/>
              <w:right w:w="120" w:type="dxa"/>
            </w:tcMar>
            <w:vAlign w:val="center"/>
            <w:hideMark/>
          </w:tcPr>
          <w:p w14:paraId="322B227B" w14:textId="77777777" w:rsidR="00590642" w:rsidRPr="00821C44" w:rsidRDefault="00590642" w:rsidP="00540789">
            <w:pPr>
              <w:jc w:val="center"/>
              <w:rPr>
                <w:rFonts w:asciiTheme="minorHAnsi" w:hAnsiTheme="minorHAnsi" w:cstheme="minorHAnsi"/>
                <w:color w:val="444444"/>
                <w:sz w:val="18"/>
                <w:szCs w:val="18"/>
              </w:rPr>
            </w:pPr>
            <w:r w:rsidRPr="00821C44">
              <w:rPr>
                <w:rFonts w:asciiTheme="minorHAnsi" w:hAnsiTheme="minorHAnsi" w:cstheme="minorHAnsi"/>
                <w:color w:val="444444"/>
                <w:sz w:val="18"/>
                <w:szCs w:val="18"/>
              </w:rPr>
              <w:t>This payment will </w:t>
            </w:r>
            <w:r w:rsidRPr="00821C44">
              <w:rPr>
                <w:rStyle w:val="Strong"/>
                <w:rFonts w:asciiTheme="minorHAnsi" w:hAnsiTheme="minorHAnsi" w:cstheme="minorHAnsi"/>
                <w:color w:val="444444"/>
                <w:sz w:val="18"/>
                <w:szCs w:val="18"/>
              </w:rPr>
              <w:t>not</w:t>
            </w:r>
            <w:r w:rsidRPr="00821C44">
              <w:rPr>
                <w:rFonts w:asciiTheme="minorHAnsi" w:hAnsiTheme="minorHAnsi" w:cstheme="minorHAnsi"/>
                <w:color w:val="444444"/>
                <w:sz w:val="18"/>
                <w:szCs w:val="18"/>
              </w:rPr>
              <w:t> appear on the Schedule of Payment. NHSBSA will issue individual letters to contractors informing them of payment.</w:t>
            </w:r>
          </w:p>
        </w:tc>
      </w:tr>
    </w:tbl>
    <w:p w14:paraId="3242D614" w14:textId="77777777" w:rsidR="00590642" w:rsidRPr="00C67D35" w:rsidRDefault="00590642" w:rsidP="00C67D35">
      <w:pPr>
        <w:pStyle w:val="NoSpacing"/>
        <w:ind w:left="284" w:right="425"/>
        <w:rPr>
          <w:rFonts w:eastAsiaTheme="minorEastAsia"/>
          <w:color w:val="31579B"/>
          <w:sz w:val="24"/>
          <w:szCs w:val="24"/>
        </w:rPr>
      </w:pPr>
      <w:r w:rsidRPr="00C67D35">
        <w:rPr>
          <w:color w:val="31579B"/>
        </w:rPr>
        <w:br/>
      </w:r>
      <w:r w:rsidRPr="00C67D35">
        <w:rPr>
          <w:color w:val="31579B"/>
        </w:rPr>
        <w:br/>
      </w:r>
      <w:r w:rsidRPr="00C67D35">
        <w:rPr>
          <w:rFonts w:eastAsiaTheme="minorEastAsia"/>
          <w:color w:val="31579B"/>
          <w:sz w:val="24"/>
          <w:szCs w:val="24"/>
        </w:rPr>
        <w:t>£300 for adjustments to support social distancing within pharmacy premises</w:t>
      </w:r>
    </w:p>
    <w:p w14:paraId="491B9874" w14:textId="77777777" w:rsidR="00590642" w:rsidRDefault="00590642" w:rsidP="00C67D35">
      <w:pPr>
        <w:pStyle w:val="NoSpacing"/>
        <w:ind w:left="284" w:right="425"/>
        <w:rPr>
          <w:rFonts w:eastAsiaTheme="minorEastAsia"/>
          <w:b/>
          <w:bCs/>
          <w:color w:val="5B518E"/>
          <w:sz w:val="24"/>
          <w:szCs w:val="24"/>
        </w:rPr>
      </w:pPr>
    </w:p>
    <w:p w14:paraId="42B47627" w14:textId="77777777" w:rsidR="00590642" w:rsidRDefault="00590642" w:rsidP="00C67D35">
      <w:pPr>
        <w:pStyle w:val="NoSpacing"/>
        <w:ind w:left="284" w:right="425"/>
        <w:jc w:val="both"/>
      </w:pPr>
      <w:r w:rsidRPr="2660D35A">
        <w:t>A change to Part VIA confirms a £300 payment from NHSE&amp;I to help community pharmacy contractors adapt their premises to keep their staff and the public safe. As stated in Chief Pharmaceutical Officer Keith Ridge’s preparedness letter for community pharmacy on 31st March, the money is intended to be a contribution towards the installation of physical barriers and other measures to help encourage social distancing. As distance-selling pharmacies do not provide Essential services face-to-face, they are excluded from this payment.</w:t>
      </w:r>
    </w:p>
    <w:p w14:paraId="2025921B" w14:textId="77777777" w:rsidR="00590642" w:rsidRDefault="00590642" w:rsidP="00C67D35">
      <w:pPr>
        <w:pStyle w:val="NoSpacing"/>
        <w:ind w:left="284" w:right="425"/>
        <w:jc w:val="both"/>
      </w:pPr>
    </w:p>
    <w:p w14:paraId="5C62EAC7" w14:textId="77777777" w:rsidR="00590642" w:rsidRDefault="00590642" w:rsidP="00C67D35">
      <w:pPr>
        <w:pStyle w:val="NoSpacing"/>
        <w:ind w:left="284" w:right="425"/>
        <w:jc w:val="both"/>
      </w:pPr>
      <w:r w:rsidRPr="2660D35A">
        <w:t xml:space="preserve">The majority of contractors will have received this payment on </w:t>
      </w:r>
      <w:r w:rsidRPr="008E0562">
        <w:rPr>
          <w:b/>
          <w:bCs/>
        </w:rPr>
        <w:t>1st May 2020</w:t>
      </w:r>
      <w:r w:rsidRPr="2660D35A">
        <w:t xml:space="preserve">. Whilst it was not itemised on the FP34 Schedule of Payments, the NHSBSA has sent letters to contractors confirming the payment. Any contractors who have temporarily closed their pharmacy for more than two weeks since 31st March 2020 but </w:t>
      </w:r>
      <w:proofErr w:type="gramStart"/>
      <w:r w:rsidRPr="2660D35A">
        <w:t>made adjustments</w:t>
      </w:r>
      <w:proofErr w:type="gramEnd"/>
      <w:r w:rsidRPr="2660D35A">
        <w:t xml:space="preserve"> for social distancing prior to or shortly after the closure, will need to claim the £300 payment by 5th August 2020 using the appropriate NHSBSA claim form.</w:t>
      </w:r>
      <w:r w:rsidRPr="2660D35A">
        <w:rPr>
          <w:rFonts w:eastAsiaTheme="minorEastAsia"/>
          <w:b/>
          <w:bCs/>
          <w:color w:val="5B518E"/>
          <w:sz w:val="24"/>
          <w:szCs w:val="24"/>
        </w:rPr>
        <w:t xml:space="preserve"> </w:t>
      </w:r>
    </w:p>
    <w:p w14:paraId="59D5AD62" w14:textId="77777777" w:rsidR="00590642" w:rsidRDefault="00590642" w:rsidP="00C67D35">
      <w:pPr>
        <w:pStyle w:val="NoSpacing"/>
        <w:ind w:left="284" w:right="425"/>
        <w:jc w:val="both"/>
        <w:rPr>
          <w:rFonts w:eastAsiaTheme="minorEastAsia"/>
        </w:rPr>
      </w:pPr>
      <w:r>
        <w:br/>
      </w:r>
      <w:r w:rsidRPr="2660D35A">
        <w:rPr>
          <w:rFonts w:eastAsiaTheme="minorEastAsia"/>
        </w:rPr>
        <w:t>Although PSNC welcomes the £300 contribution, we are continuing to press NHSE&amp;I to fully recognise the costs of introducing these important protective measures for pharmacy staff and patients.</w:t>
      </w:r>
    </w:p>
    <w:p w14:paraId="75696150" w14:textId="77777777" w:rsidR="00590642" w:rsidRPr="00C67D35" w:rsidRDefault="00590642" w:rsidP="00C67D35">
      <w:pPr>
        <w:pStyle w:val="NoSpacing"/>
        <w:ind w:left="284" w:right="425"/>
        <w:rPr>
          <w:rFonts w:eastAsiaTheme="minorEastAsia"/>
          <w:color w:val="31579B"/>
          <w:sz w:val="24"/>
          <w:szCs w:val="24"/>
        </w:rPr>
      </w:pPr>
      <w:r w:rsidRPr="00C67D35">
        <w:rPr>
          <w:color w:val="31579B"/>
        </w:rPr>
        <w:br/>
      </w:r>
      <w:r w:rsidRPr="00C67D35">
        <w:rPr>
          <w:color w:val="31579B"/>
        </w:rPr>
        <w:br/>
      </w:r>
      <w:r w:rsidRPr="00C67D35">
        <w:rPr>
          <w:rFonts w:eastAsiaTheme="minorEastAsia"/>
          <w:color w:val="31579B"/>
          <w:sz w:val="24"/>
          <w:szCs w:val="24"/>
        </w:rPr>
        <w:t>Submission of COC/COA no longer required</w:t>
      </w:r>
    </w:p>
    <w:p w14:paraId="66C73CA9" w14:textId="77777777" w:rsidR="00590642" w:rsidRDefault="00590642" w:rsidP="00C67D35">
      <w:pPr>
        <w:pStyle w:val="NoSpacing"/>
        <w:ind w:left="284" w:right="425"/>
        <w:rPr>
          <w:rFonts w:eastAsiaTheme="minorEastAsia"/>
          <w:b/>
          <w:bCs/>
          <w:color w:val="5B518E"/>
          <w:sz w:val="24"/>
          <w:szCs w:val="24"/>
        </w:rPr>
      </w:pPr>
    </w:p>
    <w:p w14:paraId="046F1051" w14:textId="77777777" w:rsidR="00590642" w:rsidRDefault="00590642" w:rsidP="00C67D35">
      <w:pPr>
        <w:pStyle w:val="NoSpacing"/>
        <w:ind w:left="284" w:right="425"/>
        <w:jc w:val="both"/>
      </w:pPr>
      <w:r w:rsidRPr="76ED4C29">
        <w:t xml:space="preserve">From May 2020, the Drug Tariff no longer has a requirement for contractors to submit copies of the Certificate of Analysis (COA) or Certificate of Conformity (COC) to the local NHSE&amp;I team of the prescriber after dispensing unlicensed specials or imports not listed in Part VIIIB. As contractors are still required to keep the necessary records of unlicensed specials or </w:t>
      </w:r>
      <w:proofErr w:type="gramStart"/>
      <w:r w:rsidRPr="76ED4C29">
        <w:t>imports</w:t>
      </w:r>
      <w:proofErr w:type="gramEnd"/>
      <w:r w:rsidRPr="76ED4C29">
        <w:t xml:space="preserve"> they dispense for a period of five years, any COAs and COCs obtained can be retained by the pharmacy for this purpose.</w:t>
      </w:r>
    </w:p>
    <w:p w14:paraId="33D19CA3" w14:textId="77777777" w:rsidR="00590642" w:rsidRDefault="00590642" w:rsidP="00590642">
      <w:pPr>
        <w:pStyle w:val="NoSpacing"/>
        <w:jc w:val="both"/>
      </w:pPr>
    </w:p>
    <w:p w14:paraId="0B72EF50" w14:textId="77777777" w:rsidR="00590642" w:rsidRPr="00C67D35" w:rsidRDefault="00590642" w:rsidP="00C67D35">
      <w:pPr>
        <w:pStyle w:val="NoSpacing"/>
        <w:ind w:left="284" w:right="425"/>
        <w:rPr>
          <w:rFonts w:eastAsiaTheme="minorEastAsia"/>
          <w:color w:val="31579B"/>
          <w:sz w:val="24"/>
          <w:szCs w:val="24"/>
        </w:rPr>
      </w:pPr>
      <w:r w:rsidRPr="00C67D35">
        <w:rPr>
          <w:color w:val="31579B"/>
        </w:rPr>
        <w:br/>
      </w:r>
      <w:r w:rsidRPr="00C67D35">
        <w:rPr>
          <w:rFonts w:eastAsiaTheme="minorEastAsia"/>
          <w:color w:val="31579B"/>
          <w:sz w:val="24"/>
          <w:szCs w:val="24"/>
        </w:rPr>
        <w:t>Individual Patient Supply products</w:t>
      </w:r>
    </w:p>
    <w:p w14:paraId="53537839" w14:textId="77777777" w:rsidR="00590642" w:rsidRDefault="00590642" w:rsidP="00C67D35">
      <w:pPr>
        <w:pStyle w:val="NoSpacing"/>
        <w:ind w:left="284" w:right="425"/>
      </w:pPr>
    </w:p>
    <w:p w14:paraId="44380A55" w14:textId="77777777" w:rsidR="00590642" w:rsidRDefault="00590642" w:rsidP="00C67D35">
      <w:pPr>
        <w:pStyle w:val="NoSpacing"/>
        <w:ind w:left="284" w:right="425"/>
        <w:jc w:val="both"/>
      </w:pPr>
      <w:r w:rsidRPr="71678E64">
        <w:t>It has come to our attention</w:t>
      </w:r>
      <w:r>
        <w:t xml:space="preserve"> that </w:t>
      </w:r>
      <w:r w:rsidRPr="71678E64">
        <w:t xml:space="preserve">approximately 30 </w:t>
      </w:r>
      <w:r>
        <w:t xml:space="preserve">products </w:t>
      </w:r>
      <w:r w:rsidRPr="71678E64">
        <w:t>labelled</w:t>
      </w:r>
      <w:r>
        <w:t xml:space="preserve"> as ‘Individual Patient Supply’ on the NHSBSA </w:t>
      </w:r>
      <w:proofErr w:type="spellStart"/>
      <w:r>
        <w:t>dm+d</w:t>
      </w:r>
      <w:proofErr w:type="spellEnd"/>
      <w:r>
        <w:t xml:space="preserve"> browser </w:t>
      </w:r>
      <w:r w:rsidRPr="71678E64">
        <w:t>are</w:t>
      </w:r>
      <w:r>
        <w:t xml:space="preserve"> unlicensed specials</w:t>
      </w:r>
      <w:r w:rsidRPr="71678E64">
        <w:t xml:space="preserve"> but are not being reimbursed accordingly by the NHSBSA. DST has obtained confirmation of the product licensing status from respective manufacturers and suppliers and has submitted a request for the licensing status of these products to be re-determined to allow payment of the £20 ‘SP’ fee where endorsed as a non-Part VIIIB special.</w:t>
      </w:r>
    </w:p>
    <w:p w14:paraId="34F140BC" w14:textId="77777777" w:rsidR="00590642" w:rsidRDefault="00590642" w:rsidP="00590642">
      <w:pPr>
        <w:pStyle w:val="NoSpacing"/>
      </w:pPr>
    </w:p>
    <w:p w14:paraId="264D4EAE" w14:textId="77777777" w:rsidR="00590642" w:rsidRPr="00C67D35" w:rsidRDefault="00590642" w:rsidP="00C67D35">
      <w:pPr>
        <w:pStyle w:val="NoSpacing"/>
        <w:ind w:left="284" w:right="425"/>
        <w:rPr>
          <w:rFonts w:eastAsiaTheme="minorEastAsia"/>
          <w:color w:val="31579B"/>
          <w:sz w:val="24"/>
          <w:szCs w:val="24"/>
        </w:rPr>
      </w:pPr>
      <w:r w:rsidRPr="00C67D35">
        <w:rPr>
          <w:color w:val="31579B"/>
        </w:rPr>
        <w:br/>
      </w:r>
      <w:r w:rsidRPr="00C67D35">
        <w:rPr>
          <w:rFonts w:eastAsiaTheme="minorEastAsia"/>
          <w:color w:val="31579B"/>
          <w:sz w:val="24"/>
          <w:szCs w:val="24"/>
        </w:rPr>
        <w:t>‘Special Order’ Products</w:t>
      </w:r>
    </w:p>
    <w:p w14:paraId="7ED02FA4" w14:textId="77777777" w:rsidR="00590642" w:rsidRDefault="00590642" w:rsidP="00C67D35">
      <w:pPr>
        <w:pStyle w:val="NoSpacing"/>
        <w:ind w:left="284" w:right="425"/>
        <w:rPr>
          <w:rFonts w:eastAsiaTheme="minorEastAsia"/>
          <w:b/>
          <w:bCs/>
          <w:color w:val="5B518E"/>
          <w:sz w:val="24"/>
          <w:szCs w:val="24"/>
        </w:rPr>
      </w:pPr>
    </w:p>
    <w:p w14:paraId="13C09CE5" w14:textId="77777777" w:rsidR="00590642" w:rsidRPr="00C60B6B" w:rsidRDefault="00590642" w:rsidP="00C67D35">
      <w:pPr>
        <w:ind w:left="284" w:right="425"/>
        <w:jc w:val="both"/>
        <w:rPr>
          <w:rFonts w:asciiTheme="minorHAnsi" w:eastAsiaTheme="minorEastAsia" w:hAnsiTheme="minorHAnsi" w:cstheme="minorBidi"/>
          <w:color w:val="201F1E"/>
        </w:rPr>
      </w:pPr>
      <w:r w:rsidRPr="71678E64">
        <w:rPr>
          <w:rFonts w:asciiTheme="minorHAnsi" w:eastAsiaTheme="minorEastAsia" w:hAnsiTheme="minorHAnsi" w:cstheme="minorBidi"/>
        </w:rPr>
        <w:t xml:space="preserve">Products reported to have supply issues are regularly communicated to contractors by DHSC through Supply Disruption Alerts or Medicine Supply Notifications. Often DHSC may recommend prescribers to consider available alternatives which may include unlicensed or imported equivalents. </w:t>
      </w:r>
      <w:r w:rsidRPr="71678E64">
        <w:rPr>
          <w:rFonts w:asciiTheme="minorHAnsi" w:eastAsiaTheme="minorEastAsia" w:hAnsiTheme="minorHAnsi" w:cstheme="minorBidi"/>
          <w:color w:val="444444"/>
        </w:rPr>
        <w:t>Where prescribing of an unlicensed import is considered appropriate by the prescriber, a prescription must be issued with the wording ‘Special Order’ or ‘Drug Tariff Special Order’ or ‘Imported (Country)’ next to the prescribed product to ensure that a pharmacy can dispense and be correctly reimbursed for a special.</w:t>
      </w:r>
      <w:r w:rsidRPr="71678E64">
        <w:rPr>
          <w:rFonts w:asciiTheme="minorHAnsi" w:eastAsiaTheme="minorEastAsia" w:hAnsiTheme="minorHAnsi" w:cstheme="minorBidi"/>
        </w:rPr>
        <w:t xml:space="preserve">  Many of the recommended unlicensed alternatives are not listed on </w:t>
      </w:r>
      <w:proofErr w:type="spellStart"/>
      <w:r w:rsidRPr="71678E64">
        <w:rPr>
          <w:rFonts w:asciiTheme="minorHAnsi" w:eastAsiaTheme="minorEastAsia" w:hAnsiTheme="minorHAnsi" w:cstheme="minorBidi"/>
        </w:rPr>
        <w:t>dm+d</w:t>
      </w:r>
      <w:proofErr w:type="spellEnd"/>
      <w:r w:rsidRPr="71678E64">
        <w:rPr>
          <w:rFonts w:asciiTheme="minorHAnsi" w:eastAsiaTheme="minorEastAsia" w:hAnsiTheme="minorHAnsi" w:cstheme="minorBidi"/>
        </w:rPr>
        <w:t xml:space="preserve"> for prescribers to select electronically</w:t>
      </w:r>
      <w:r w:rsidRPr="71678E64">
        <w:rPr>
          <w:rFonts w:asciiTheme="minorHAnsi" w:eastAsiaTheme="minorEastAsia" w:hAnsiTheme="minorHAnsi" w:cstheme="minorBidi"/>
          <w:color w:val="444444"/>
        </w:rPr>
        <w:t xml:space="preserve"> using their prescribing systems. To ensure contractors are reimbursed correctly, PSNC has been advising contractors to obtain paper prescriptions for these items. DST has raised with both DHSC and NHSBSA that i</w:t>
      </w:r>
      <w:r w:rsidRPr="71678E64">
        <w:rPr>
          <w:rFonts w:asciiTheme="minorHAnsi" w:eastAsiaTheme="minorEastAsia" w:hAnsiTheme="minorHAnsi" w:cstheme="minorBidi"/>
          <w:color w:val="201F1E"/>
        </w:rPr>
        <w:t xml:space="preserve">t would be both impractical and unreasonable for pharmacies to request paper prescriptions for products that do not have a listing on </w:t>
      </w:r>
      <w:proofErr w:type="spellStart"/>
      <w:r w:rsidRPr="71678E64">
        <w:rPr>
          <w:rFonts w:asciiTheme="minorHAnsi" w:eastAsiaTheme="minorEastAsia" w:hAnsiTheme="minorHAnsi" w:cstheme="minorBidi"/>
          <w:color w:val="201F1E"/>
        </w:rPr>
        <w:t>dm+d</w:t>
      </w:r>
      <w:proofErr w:type="spellEnd"/>
      <w:r w:rsidRPr="71678E64">
        <w:rPr>
          <w:rFonts w:asciiTheme="minorHAnsi" w:eastAsiaTheme="minorEastAsia" w:hAnsiTheme="minorHAnsi" w:cstheme="minorBidi"/>
          <w:color w:val="201F1E"/>
        </w:rPr>
        <w:t xml:space="preserve"> as many GPs have moved to EPS fully and have completely stopped issuing paper prescriptions for their patients.</w:t>
      </w:r>
    </w:p>
    <w:p w14:paraId="5F4FA979" w14:textId="77777777" w:rsidR="00590642" w:rsidRPr="00C60B6B" w:rsidRDefault="00590642" w:rsidP="00C67D35">
      <w:pPr>
        <w:ind w:left="284" w:right="425"/>
        <w:jc w:val="both"/>
        <w:rPr>
          <w:rFonts w:asciiTheme="minorHAnsi" w:eastAsiaTheme="minorEastAsia" w:hAnsiTheme="minorHAnsi" w:cstheme="minorBidi"/>
          <w:color w:val="201F1E"/>
        </w:rPr>
      </w:pPr>
      <w:r w:rsidRPr="71678E64">
        <w:rPr>
          <w:rFonts w:asciiTheme="minorHAnsi" w:eastAsiaTheme="minorEastAsia" w:hAnsiTheme="minorHAnsi" w:cstheme="minorBidi"/>
          <w:color w:val="201F1E"/>
        </w:rPr>
        <w:t xml:space="preserve"> </w:t>
      </w:r>
    </w:p>
    <w:p w14:paraId="0E256E36" w14:textId="77777777" w:rsidR="00590642" w:rsidRPr="00FE704A" w:rsidRDefault="00590642" w:rsidP="00C67D35">
      <w:pPr>
        <w:ind w:left="284" w:right="425"/>
        <w:jc w:val="both"/>
        <w:rPr>
          <w:rFonts w:asciiTheme="minorHAnsi" w:eastAsiaTheme="minorEastAsia" w:hAnsiTheme="minorHAnsi" w:cstheme="minorBidi"/>
          <w:color w:val="000000" w:themeColor="text1"/>
        </w:rPr>
      </w:pPr>
      <w:r w:rsidRPr="71678E64">
        <w:rPr>
          <w:rFonts w:asciiTheme="minorHAnsi" w:eastAsiaTheme="minorEastAsia" w:hAnsiTheme="minorHAnsi" w:cstheme="minorBidi"/>
          <w:color w:val="000000" w:themeColor="text1"/>
        </w:rPr>
        <w:t>To avoid pharmacy teams having to request paper prescriptions or refer patients back to their GP for other alternatives, PSNC has</w:t>
      </w:r>
      <w:r w:rsidRPr="71678E64">
        <w:rPr>
          <w:rFonts w:asciiTheme="minorHAnsi" w:eastAsiaTheme="minorEastAsia" w:hAnsiTheme="minorHAnsi" w:cstheme="minorBidi"/>
          <w:color w:val="201F1E"/>
        </w:rPr>
        <w:t xml:space="preserve"> requested that where a drug becomes temporarily unavailable or is discontinued, and DHSC or SPS make a recommendation for prescribers to consider an alternative unlicensed product, these should be reflected in </w:t>
      </w:r>
      <w:proofErr w:type="spellStart"/>
      <w:r w:rsidRPr="71678E64">
        <w:rPr>
          <w:rFonts w:asciiTheme="minorHAnsi" w:eastAsiaTheme="minorEastAsia" w:hAnsiTheme="minorHAnsi" w:cstheme="minorBidi"/>
          <w:color w:val="201F1E"/>
        </w:rPr>
        <w:t>dm+d</w:t>
      </w:r>
      <w:proofErr w:type="spellEnd"/>
      <w:r w:rsidRPr="71678E64">
        <w:rPr>
          <w:rFonts w:asciiTheme="minorHAnsi" w:eastAsiaTheme="minorEastAsia" w:hAnsiTheme="minorHAnsi" w:cstheme="minorBidi"/>
          <w:color w:val="201F1E"/>
        </w:rPr>
        <w:t xml:space="preserve"> at the same time so electronic prescriptions can be promptly issued by prescribers using EPS to avoid delays in getting the correct medication to patients. This would allow prescribers to select the unlicensed version, where appropriate, so that pharmacists can dispense the required product and be reimbursed accordingly. This will allow better resource </w:t>
      </w:r>
      <w:r w:rsidRPr="71678E64">
        <w:rPr>
          <w:rFonts w:asciiTheme="minorHAnsi" w:eastAsiaTheme="minorEastAsia" w:hAnsiTheme="minorHAnsi" w:cstheme="minorBidi"/>
          <w:color w:val="000000" w:themeColor="text1"/>
        </w:rPr>
        <w:t xml:space="preserve">utilisation of GPs and pharmacy teams at a time where they are needed most to support the NHS and its patients through the pandemic. In PSNCs latest request, we have </w:t>
      </w:r>
      <w:proofErr w:type="gramStart"/>
      <w:r w:rsidRPr="71678E64">
        <w:rPr>
          <w:rFonts w:asciiTheme="minorHAnsi" w:eastAsiaTheme="minorEastAsia" w:hAnsiTheme="minorHAnsi" w:cstheme="minorBidi"/>
          <w:color w:val="000000" w:themeColor="text1"/>
        </w:rPr>
        <w:t>submitted an application</w:t>
      </w:r>
      <w:proofErr w:type="gramEnd"/>
      <w:r w:rsidRPr="71678E64">
        <w:rPr>
          <w:rFonts w:asciiTheme="minorHAnsi" w:eastAsiaTheme="minorEastAsia" w:hAnsiTheme="minorHAnsi" w:cstheme="minorBidi"/>
          <w:color w:val="000000" w:themeColor="text1"/>
        </w:rPr>
        <w:t xml:space="preserve"> for over </w:t>
      </w:r>
      <w:r w:rsidRPr="008E0562">
        <w:rPr>
          <w:rFonts w:asciiTheme="minorHAnsi" w:eastAsiaTheme="minorEastAsia" w:hAnsiTheme="minorHAnsi" w:cstheme="minorBidi"/>
          <w:b/>
          <w:bCs/>
          <w:color w:val="000000" w:themeColor="text1"/>
        </w:rPr>
        <w:t>30</w:t>
      </w:r>
      <w:r w:rsidRPr="71678E64">
        <w:rPr>
          <w:rFonts w:asciiTheme="minorHAnsi" w:eastAsiaTheme="minorEastAsia" w:hAnsiTheme="minorHAnsi" w:cstheme="minorBidi"/>
          <w:color w:val="000000" w:themeColor="text1"/>
        </w:rPr>
        <w:t xml:space="preserve"> products to be added to </w:t>
      </w:r>
      <w:proofErr w:type="spellStart"/>
      <w:r w:rsidRPr="71678E64">
        <w:rPr>
          <w:rFonts w:asciiTheme="minorHAnsi" w:eastAsiaTheme="minorEastAsia" w:hAnsiTheme="minorHAnsi" w:cstheme="minorBidi"/>
          <w:color w:val="000000" w:themeColor="text1"/>
        </w:rPr>
        <w:t>dm+d</w:t>
      </w:r>
      <w:proofErr w:type="spellEnd"/>
      <w:r w:rsidRPr="71678E64">
        <w:rPr>
          <w:rFonts w:asciiTheme="minorHAnsi" w:eastAsiaTheme="minorEastAsia" w:hAnsiTheme="minorHAnsi" w:cstheme="minorBidi"/>
          <w:color w:val="000000" w:themeColor="text1"/>
        </w:rPr>
        <w:t xml:space="preserve"> as ‘(Special Order)’ or ‘Imported (Country)’.</w:t>
      </w:r>
    </w:p>
    <w:p w14:paraId="4D01CCA2" w14:textId="77777777" w:rsidR="00590642" w:rsidRDefault="00590642" w:rsidP="00590642">
      <w:pPr>
        <w:pStyle w:val="NoSpacing"/>
      </w:pPr>
    </w:p>
    <w:p w14:paraId="59143379" w14:textId="77777777" w:rsidR="00590642" w:rsidRPr="00C67D35" w:rsidRDefault="00590642" w:rsidP="00C67D35">
      <w:pPr>
        <w:spacing w:after="200" w:line="276" w:lineRule="auto"/>
        <w:ind w:left="284" w:right="425"/>
        <w:rPr>
          <w:rFonts w:asciiTheme="minorHAnsi" w:eastAsiaTheme="minorEastAsia" w:hAnsiTheme="minorHAnsi" w:cstheme="minorBidi"/>
          <w:color w:val="31579B"/>
          <w:sz w:val="24"/>
          <w:szCs w:val="24"/>
        </w:rPr>
      </w:pPr>
      <w:r w:rsidRPr="00C67D35">
        <w:rPr>
          <w:color w:val="31579B"/>
        </w:rPr>
        <w:br/>
      </w:r>
      <w:r w:rsidRPr="00C67D35">
        <w:rPr>
          <w:rFonts w:asciiTheme="minorHAnsi" w:eastAsiaTheme="minorEastAsia" w:hAnsiTheme="minorHAnsi" w:cstheme="minorBidi"/>
          <w:color w:val="31579B"/>
          <w:sz w:val="24"/>
          <w:szCs w:val="24"/>
        </w:rPr>
        <w:t xml:space="preserve">Special Containers </w:t>
      </w:r>
    </w:p>
    <w:p w14:paraId="770793E0" w14:textId="77777777" w:rsidR="00590642" w:rsidRDefault="00590642" w:rsidP="00C67D35">
      <w:pPr>
        <w:ind w:left="284" w:right="425"/>
        <w:jc w:val="both"/>
        <w:rPr>
          <w:rFonts w:asciiTheme="minorHAnsi" w:eastAsiaTheme="minorEastAsia" w:hAnsiTheme="minorHAnsi" w:cstheme="minorBidi"/>
          <w:color w:val="000000" w:themeColor="text1"/>
        </w:rPr>
      </w:pPr>
      <w:r w:rsidRPr="2660D35A">
        <w:rPr>
          <w:rFonts w:asciiTheme="minorHAnsi" w:eastAsiaTheme="minorEastAsia" w:hAnsiTheme="minorHAnsi" w:cstheme="minorBidi"/>
          <w:color w:val="000000" w:themeColor="text1"/>
        </w:rPr>
        <w:t xml:space="preserve">DST has identified hundreds of products on </w:t>
      </w:r>
      <w:proofErr w:type="spellStart"/>
      <w:r w:rsidRPr="2660D35A">
        <w:rPr>
          <w:rFonts w:asciiTheme="minorHAnsi" w:eastAsiaTheme="minorEastAsia" w:hAnsiTheme="minorHAnsi" w:cstheme="minorBidi"/>
          <w:color w:val="000000" w:themeColor="text1"/>
        </w:rPr>
        <w:t>dm+d</w:t>
      </w:r>
      <w:proofErr w:type="spellEnd"/>
      <w:r w:rsidRPr="2660D35A">
        <w:rPr>
          <w:rFonts w:asciiTheme="minorHAnsi" w:eastAsiaTheme="minorEastAsia" w:hAnsiTheme="minorHAnsi" w:cstheme="minorBidi"/>
          <w:color w:val="000000" w:themeColor="text1"/>
        </w:rPr>
        <w:t xml:space="preserve"> which appear to fulfil the special container (SC) criteria but have not been classified as such in the Drug Tariff. Between December 2019 and May 2020, DST has submitted applications to the NHSBSA for nearly </w:t>
      </w:r>
      <w:r w:rsidRPr="008E0562">
        <w:rPr>
          <w:rFonts w:asciiTheme="minorHAnsi" w:eastAsiaTheme="minorEastAsia" w:hAnsiTheme="minorHAnsi" w:cstheme="minorBidi"/>
          <w:b/>
          <w:bCs/>
          <w:color w:val="000000" w:themeColor="text1"/>
        </w:rPr>
        <w:t>400</w:t>
      </w:r>
      <w:r w:rsidRPr="2660D35A">
        <w:rPr>
          <w:rFonts w:asciiTheme="minorHAnsi" w:eastAsiaTheme="minorEastAsia" w:hAnsiTheme="minorHAnsi" w:cstheme="minorBidi"/>
          <w:color w:val="000000" w:themeColor="text1"/>
        </w:rPr>
        <w:t xml:space="preserve"> products for re-evaluation of their SC status. DST is continuing its checks and is submitting new applications on an almost weekly basis for products that are deemed special containers. The table below provides latest information on the number of products that have been checked and submitted to DHSC and NHSBSA for further investigation and the current status of the applications.</w:t>
      </w:r>
    </w:p>
    <w:p w14:paraId="78C1004B" w14:textId="77777777" w:rsidR="00590642" w:rsidRDefault="00590642" w:rsidP="00590642">
      <w:pPr>
        <w:pStyle w:val="ListParagraph"/>
        <w:rPr>
          <w:rFonts w:asciiTheme="minorHAnsi" w:eastAsiaTheme="minorEastAsia" w:hAnsiTheme="minorHAnsi" w:cstheme="minorBidi"/>
          <w:color w:val="000000" w:themeColor="text1"/>
        </w:rPr>
      </w:pPr>
    </w:p>
    <w:tbl>
      <w:tblPr>
        <w:tblW w:w="9634" w:type="dxa"/>
        <w:jc w:val="center"/>
        <w:tblLook w:val="04A0" w:firstRow="1" w:lastRow="0" w:firstColumn="1" w:lastColumn="0" w:noHBand="0" w:noVBand="1"/>
      </w:tblPr>
      <w:tblGrid>
        <w:gridCol w:w="2122"/>
        <w:gridCol w:w="1800"/>
        <w:gridCol w:w="1602"/>
        <w:gridCol w:w="2126"/>
        <w:gridCol w:w="1984"/>
      </w:tblGrid>
      <w:tr w:rsidR="00590642" w:rsidRPr="00E233A5" w14:paraId="72511BA8" w14:textId="77777777" w:rsidTr="00746D8D">
        <w:trPr>
          <w:trHeight w:val="12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52A45" w14:textId="77777777" w:rsidR="00590642" w:rsidRPr="00E233A5" w:rsidRDefault="00590642" w:rsidP="00540789">
            <w:pPr>
              <w:jc w:val="center"/>
              <w:rPr>
                <w:color w:val="000000"/>
              </w:rPr>
            </w:pPr>
            <w:r w:rsidRPr="76ED4C29">
              <w:rPr>
                <w:b/>
                <w:bCs/>
                <w:color w:val="000000" w:themeColor="text1"/>
              </w:rPr>
              <w:t xml:space="preserve">Special container criteria under which application is submitted </w:t>
            </w:r>
            <w:r w:rsidRPr="76ED4C29">
              <w:rPr>
                <w:color w:val="000000" w:themeColor="text1"/>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5A357A1" w14:textId="77777777" w:rsidR="00590642" w:rsidRPr="00E233A5" w:rsidRDefault="00590642" w:rsidP="00540789">
            <w:pPr>
              <w:jc w:val="center"/>
              <w:rPr>
                <w:b/>
                <w:bCs/>
                <w:color w:val="000000"/>
              </w:rPr>
            </w:pPr>
            <w:r w:rsidRPr="76ED4C29">
              <w:rPr>
                <w:b/>
                <w:bCs/>
                <w:color w:val="000000" w:themeColor="text1"/>
              </w:rPr>
              <w:t>Number of products checked by DST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7665AF06" w14:textId="77777777" w:rsidR="00590642" w:rsidRPr="00E233A5" w:rsidRDefault="00590642" w:rsidP="00540789">
            <w:pPr>
              <w:jc w:val="center"/>
              <w:rPr>
                <w:b/>
                <w:bCs/>
                <w:color w:val="000000"/>
              </w:rPr>
            </w:pPr>
            <w:r w:rsidRPr="76ED4C29">
              <w:rPr>
                <w:b/>
                <w:bCs/>
                <w:color w:val="000000" w:themeColor="text1"/>
              </w:rPr>
              <w:t>Number of products applied for SC status (Dec 19 – May 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5F87CD4" w14:textId="77777777" w:rsidR="00590642" w:rsidRPr="00E233A5" w:rsidRDefault="00590642" w:rsidP="00540789">
            <w:pPr>
              <w:jc w:val="center"/>
              <w:rPr>
                <w:b/>
                <w:bCs/>
                <w:color w:val="000000"/>
              </w:rPr>
            </w:pPr>
            <w:r w:rsidRPr="76ED4C29">
              <w:rPr>
                <w:b/>
                <w:bCs/>
                <w:color w:val="000000" w:themeColor="text1"/>
              </w:rPr>
              <w:t xml:space="preserve">Number of products currently under </w:t>
            </w:r>
            <w:r>
              <w:rPr>
                <w:b/>
                <w:bCs/>
                <w:color w:val="000000" w:themeColor="text1"/>
              </w:rPr>
              <w:t xml:space="preserve">active </w:t>
            </w:r>
            <w:r w:rsidRPr="76ED4C29">
              <w:rPr>
                <w:b/>
                <w:bCs/>
                <w:color w:val="000000" w:themeColor="text1"/>
              </w:rPr>
              <w:t>discussion with DHSC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D9B067" w14:textId="77777777" w:rsidR="00590642" w:rsidRPr="00E233A5" w:rsidRDefault="00590642" w:rsidP="00540789">
            <w:pPr>
              <w:jc w:val="center"/>
              <w:rPr>
                <w:b/>
                <w:bCs/>
                <w:color w:val="000000"/>
              </w:rPr>
            </w:pPr>
            <w:r w:rsidRPr="76ED4C29">
              <w:rPr>
                <w:b/>
                <w:bCs/>
                <w:color w:val="000000" w:themeColor="text1"/>
              </w:rPr>
              <w:t>Number of products agreed by DHSC as meeting SC criteria</w:t>
            </w:r>
          </w:p>
        </w:tc>
      </w:tr>
      <w:tr w:rsidR="00590642" w:rsidRPr="00E233A5" w14:paraId="492D9A0D" w14:textId="77777777" w:rsidTr="00746D8D">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C9EFDBC" w14:textId="77777777" w:rsidR="00590642" w:rsidRPr="00E233A5" w:rsidRDefault="00590642" w:rsidP="00540789">
            <w:pPr>
              <w:jc w:val="center"/>
              <w:rPr>
                <w:b/>
                <w:bCs/>
                <w:color w:val="000000"/>
              </w:rPr>
            </w:pPr>
            <w:r w:rsidRPr="76ED4C29">
              <w:rPr>
                <w:b/>
                <w:bCs/>
                <w:color w:val="000000" w:themeColor="text1"/>
              </w:rPr>
              <w:t>Effervescent or hygroscopic</w:t>
            </w:r>
          </w:p>
        </w:tc>
        <w:tc>
          <w:tcPr>
            <w:tcW w:w="1800" w:type="dxa"/>
            <w:tcBorders>
              <w:top w:val="nil"/>
              <w:left w:val="nil"/>
              <w:bottom w:val="single" w:sz="4" w:space="0" w:color="auto"/>
              <w:right w:val="single" w:sz="4" w:space="0" w:color="auto"/>
            </w:tcBorders>
            <w:shd w:val="clear" w:color="auto" w:fill="auto"/>
            <w:vAlign w:val="bottom"/>
            <w:hideMark/>
          </w:tcPr>
          <w:p w14:paraId="6A78D8F4" w14:textId="77777777" w:rsidR="00590642" w:rsidRPr="00E233A5" w:rsidRDefault="00590642" w:rsidP="00540789">
            <w:pPr>
              <w:jc w:val="center"/>
              <w:rPr>
                <w:color w:val="000000"/>
              </w:rPr>
            </w:pPr>
            <w:r w:rsidRPr="76ED4C29">
              <w:rPr>
                <w:color w:val="000000" w:themeColor="text1"/>
              </w:rPr>
              <w:t>47</w:t>
            </w:r>
          </w:p>
        </w:tc>
        <w:tc>
          <w:tcPr>
            <w:tcW w:w="1602" w:type="dxa"/>
            <w:tcBorders>
              <w:top w:val="nil"/>
              <w:left w:val="nil"/>
              <w:bottom w:val="single" w:sz="4" w:space="0" w:color="auto"/>
              <w:right w:val="single" w:sz="4" w:space="0" w:color="auto"/>
            </w:tcBorders>
            <w:shd w:val="clear" w:color="auto" w:fill="auto"/>
            <w:vAlign w:val="bottom"/>
            <w:hideMark/>
          </w:tcPr>
          <w:p w14:paraId="392809AB" w14:textId="77777777" w:rsidR="00590642" w:rsidRPr="00E233A5" w:rsidRDefault="00590642" w:rsidP="00540789">
            <w:pPr>
              <w:jc w:val="center"/>
              <w:rPr>
                <w:color w:val="000000"/>
              </w:rPr>
            </w:pPr>
            <w:r w:rsidRPr="76ED4C29">
              <w:rPr>
                <w:color w:val="000000" w:themeColor="text1"/>
              </w:rPr>
              <w:t>47</w:t>
            </w:r>
          </w:p>
        </w:tc>
        <w:tc>
          <w:tcPr>
            <w:tcW w:w="2126" w:type="dxa"/>
            <w:tcBorders>
              <w:top w:val="nil"/>
              <w:left w:val="nil"/>
              <w:bottom w:val="single" w:sz="4" w:space="0" w:color="auto"/>
              <w:right w:val="single" w:sz="4" w:space="0" w:color="auto"/>
            </w:tcBorders>
            <w:shd w:val="clear" w:color="auto" w:fill="auto"/>
            <w:vAlign w:val="bottom"/>
            <w:hideMark/>
          </w:tcPr>
          <w:p w14:paraId="5007B6B8" w14:textId="77777777" w:rsidR="00590642" w:rsidRPr="00E233A5" w:rsidRDefault="00590642" w:rsidP="00540789">
            <w:pPr>
              <w:jc w:val="center"/>
              <w:rPr>
                <w:color w:val="000000"/>
              </w:rPr>
            </w:pPr>
            <w:r w:rsidRPr="76ED4C29">
              <w:rPr>
                <w:color w:val="000000" w:themeColor="text1"/>
              </w:rPr>
              <w:t>39</w:t>
            </w:r>
          </w:p>
        </w:tc>
        <w:tc>
          <w:tcPr>
            <w:tcW w:w="1984" w:type="dxa"/>
            <w:tcBorders>
              <w:top w:val="nil"/>
              <w:left w:val="nil"/>
              <w:bottom w:val="single" w:sz="4" w:space="0" w:color="auto"/>
              <w:right w:val="single" w:sz="4" w:space="0" w:color="auto"/>
            </w:tcBorders>
            <w:shd w:val="clear" w:color="auto" w:fill="auto"/>
            <w:vAlign w:val="bottom"/>
            <w:hideMark/>
          </w:tcPr>
          <w:p w14:paraId="52F98344" w14:textId="77777777" w:rsidR="00590642" w:rsidRPr="00E233A5" w:rsidRDefault="00590642" w:rsidP="00540789">
            <w:pPr>
              <w:jc w:val="center"/>
              <w:rPr>
                <w:color w:val="000000"/>
              </w:rPr>
            </w:pPr>
            <w:r w:rsidRPr="76ED4C29">
              <w:rPr>
                <w:color w:val="000000" w:themeColor="text1"/>
              </w:rPr>
              <w:t>12</w:t>
            </w:r>
          </w:p>
        </w:tc>
      </w:tr>
      <w:tr w:rsidR="00590642" w:rsidRPr="00E233A5" w14:paraId="04F0FF95" w14:textId="77777777" w:rsidTr="00746D8D">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57BB019" w14:textId="77777777" w:rsidR="00590642" w:rsidRPr="00E233A5" w:rsidRDefault="00590642" w:rsidP="00540789">
            <w:pPr>
              <w:jc w:val="center"/>
              <w:rPr>
                <w:b/>
                <w:bCs/>
                <w:color w:val="000000"/>
              </w:rPr>
            </w:pPr>
            <w:r w:rsidRPr="76ED4C29">
              <w:rPr>
                <w:b/>
                <w:bCs/>
                <w:color w:val="000000" w:themeColor="text1"/>
              </w:rPr>
              <w:t>Viscous external preparations</w:t>
            </w:r>
          </w:p>
        </w:tc>
        <w:tc>
          <w:tcPr>
            <w:tcW w:w="1800" w:type="dxa"/>
            <w:tcBorders>
              <w:top w:val="nil"/>
              <w:left w:val="nil"/>
              <w:bottom w:val="single" w:sz="4" w:space="0" w:color="auto"/>
              <w:right w:val="single" w:sz="4" w:space="0" w:color="auto"/>
            </w:tcBorders>
            <w:shd w:val="clear" w:color="auto" w:fill="auto"/>
            <w:vAlign w:val="bottom"/>
            <w:hideMark/>
          </w:tcPr>
          <w:p w14:paraId="251FA4F2" w14:textId="77777777" w:rsidR="00590642" w:rsidRPr="00E233A5" w:rsidRDefault="00590642" w:rsidP="00540789">
            <w:pPr>
              <w:jc w:val="center"/>
              <w:rPr>
                <w:color w:val="000000"/>
              </w:rPr>
            </w:pPr>
            <w:r w:rsidRPr="76ED4C29">
              <w:rPr>
                <w:color w:val="000000" w:themeColor="text1"/>
              </w:rPr>
              <w:t>861</w:t>
            </w:r>
          </w:p>
        </w:tc>
        <w:tc>
          <w:tcPr>
            <w:tcW w:w="1602" w:type="dxa"/>
            <w:tcBorders>
              <w:top w:val="nil"/>
              <w:left w:val="nil"/>
              <w:bottom w:val="single" w:sz="4" w:space="0" w:color="auto"/>
              <w:right w:val="single" w:sz="4" w:space="0" w:color="auto"/>
            </w:tcBorders>
            <w:shd w:val="clear" w:color="auto" w:fill="auto"/>
            <w:vAlign w:val="bottom"/>
            <w:hideMark/>
          </w:tcPr>
          <w:p w14:paraId="4A07A71D" w14:textId="77777777" w:rsidR="00590642" w:rsidRPr="00E233A5" w:rsidRDefault="00590642" w:rsidP="00540789">
            <w:pPr>
              <w:jc w:val="center"/>
              <w:rPr>
                <w:color w:val="000000"/>
              </w:rPr>
            </w:pPr>
            <w:r w:rsidRPr="76ED4C29">
              <w:rPr>
                <w:color w:val="000000" w:themeColor="text1"/>
              </w:rPr>
              <w:t>78</w:t>
            </w:r>
          </w:p>
        </w:tc>
        <w:tc>
          <w:tcPr>
            <w:tcW w:w="2126" w:type="dxa"/>
            <w:tcBorders>
              <w:top w:val="nil"/>
              <w:left w:val="nil"/>
              <w:bottom w:val="single" w:sz="4" w:space="0" w:color="auto"/>
              <w:right w:val="single" w:sz="4" w:space="0" w:color="auto"/>
            </w:tcBorders>
            <w:shd w:val="clear" w:color="auto" w:fill="auto"/>
            <w:vAlign w:val="bottom"/>
            <w:hideMark/>
          </w:tcPr>
          <w:p w14:paraId="22A2DD27" w14:textId="77777777" w:rsidR="00590642" w:rsidRPr="00E233A5" w:rsidRDefault="00590642" w:rsidP="00540789">
            <w:pPr>
              <w:jc w:val="center"/>
              <w:rPr>
                <w:color w:val="000000"/>
              </w:rPr>
            </w:pPr>
            <w:r w:rsidRPr="76ED4C29">
              <w:rPr>
                <w:color w:val="000000" w:themeColor="text1"/>
              </w:rPr>
              <w:t>x</w:t>
            </w:r>
          </w:p>
        </w:tc>
        <w:tc>
          <w:tcPr>
            <w:tcW w:w="1984" w:type="dxa"/>
            <w:tcBorders>
              <w:top w:val="nil"/>
              <w:left w:val="nil"/>
              <w:bottom w:val="single" w:sz="4" w:space="0" w:color="auto"/>
              <w:right w:val="single" w:sz="4" w:space="0" w:color="auto"/>
            </w:tcBorders>
            <w:shd w:val="clear" w:color="auto" w:fill="auto"/>
            <w:vAlign w:val="bottom"/>
            <w:hideMark/>
          </w:tcPr>
          <w:p w14:paraId="5D0ADDEF" w14:textId="77777777" w:rsidR="00590642" w:rsidRPr="00E233A5" w:rsidRDefault="00590642" w:rsidP="00540789">
            <w:pPr>
              <w:jc w:val="center"/>
              <w:rPr>
                <w:color w:val="000000"/>
              </w:rPr>
            </w:pPr>
            <w:r w:rsidRPr="76ED4C29">
              <w:rPr>
                <w:color w:val="000000" w:themeColor="text1"/>
              </w:rPr>
              <w:t>x</w:t>
            </w:r>
          </w:p>
        </w:tc>
      </w:tr>
      <w:tr w:rsidR="00590642" w:rsidRPr="00E233A5" w14:paraId="6E8A4C7A" w14:textId="77777777" w:rsidTr="00746D8D">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C899DDE" w14:textId="77777777" w:rsidR="00590642" w:rsidRPr="00E233A5" w:rsidRDefault="00590642" w:rsidP="00540789">
            <w:pPr>
              <w:jc w:val="center"/>
              <w:rPr>
                <w:b/>
                <w:bCs/>
                <w:color w:val="000000"/>
              </w:rPr>
            </w:pPr>
            <w:r w:rsidRPr="76ED4C29">
              <w:rPr>
                <w:b/>
                <w:bCs/>
                <w:color w:val="000000" w:themeColor="text1"/>
              </w:rPr>
              <w:t>Impractical to dispense exact quantity due to packaging</w:t>
            </w:r>
          </w:p>
        </w:tc>
        <w:tc>
          <w:tcPr>
            <w:tcW w:w="1800" w:type="dxa"/>
            <w:tcBorders>
              <w:top w:val="nil"/>
              <w:left w:val="nil"/>
              <w:bottom w:val="single" w:sz="4" w:space="0" w:color="auto"/>
              <w:right w:val="single" w:sz="4" w:space="0" w:color="auto"/>
            </w:tcBorders>
            <w:shd w:val="clear" w:color="auto" w:fill="auto"/>
            <w:vAlign w:val="bottom"/>
            <w:hideMark/>
          </w:tcPr>
          <w:p w14:paraId="367A23F7" w14:textId="77777777" w:rsidR="00590642" w:rsidRPr="00E233A5" w:rsidRDefault="00590642" w:rsidP="00540789">
            <w:pPr>
              <w:jc w:val="center"/>
              <w:rPr>
                <w:color w:val="000000"/>
              </w:rPr>
            </w:pPr>
            <w:r w:rsidRPr="76ED4C29">
              <w:rPr>
                <w:color w:val="000000" w:themeColor="text1"/>
              </w:rPr>
              <w:t>2654</w:t>
            </w:r>
          </w:p>
        </w:tc>
        <w:tc>
          <w:tcPr>
            <w:tcW w:w="1602" w:type="dxa"/>
            <w:tcBorders>
              <w:top w:val="nil"/>
              <w:left w:val="nil"/>
              <w:bottom w:val="single" w:sz="4" w:space="0" w:color="auto"/>
              <w:right w:val="single" w:sz="4" w:space="0" w:color="auto"/>
            </w:tcBorders>
            <w:shd w:val="clear" w:color="auto" w:fill="auto"/>
            <w:vAlign w:val="bottom"/>
            <w:hideMark/>
          </w:tcPr>
          <w:p w14:paraId="06C29E2A" w14:textId="77777777" w:rsidR="00590642" w:rsidRPr="00E233A5" w:rsidRDefault="00590642" w:rsidP="00540789">
            <w:pPr>
              <w:jc w:val="center"/>
              <w:rPr>
                <w:color w:val="000000"/>
              </w:rPr>
            </w:pPr>
            <w:r w:rsidRPr="76ED4C29">
              <w:rPr>
                <w:color w:val="000000" w:themeColor="text1"/>
              </w:rPr>
              <w:t>245</w:t>
            </w:r>
          </w:p>
        </w:tc>
        <w:tc>
          <w:tcPr>
            <w:tcW w:w="2126" w:type="dxa"/>
            <w:tcBorders>
              <w:top w:val="nil"/>
              <w:left w:val="nil"/>
              <w:bottom w:val="single" w:sz="4" w:space="0" w:color="auto"/>
              <w:right w:val="single" w:sz="4" w:space="0" w:color="auto"/>
            </w:tcBorders>
            <w:shd w:val="clear" w:color="auto" w:fill="auto"/>
            <w:vAlign w:val="bottom"/>
            <w:hideMark/>
          </w:tcPr>
          <w:p w14:paraId="733A6628" w14:textId="77777777" w:rsidR="00590642" w:rsidRPr="00E233A5" w:rsidRDefault="00590642" w:rsidP="00540789">
            <w:pPr>
              <w:jc w:val="center"/>
              <w:rPr>
                <w:color w:val="000000"/>
              </w:rPr>
            </w:pPr>
            <w:r w:rsidRPr="76ED4C29">
              <w:rPr>
                <w:color w:val="000000" w:themeColor="text1"/>
              </w:rPr>
              <w:t>7</w:t>
            </w:r>
          </w:p>
        </w:tc>
        <w:tc>
          <w:tcPr>
            <w:tcW w:w="1984" w:type="dxa"/>
            <w:tcBorders>
              <w:top w:val="nil"/>
              <w:left w:val="nil"/>
              <w:bottom w:val="single" w:sz="4" w:space="0" w:color="auto"/>
              <w:right w:val="single" w:sz="4" w:space="0" w:color="auto"/>
            </w:tcBorders>
            <w:shd w:val="clear" w:color="auto" w:fill="auto"/>
            <w:vAlign w:val="bottom"/>
            <w:hideMark/>
          </w:tcPr>
          <w:p w14:paraId="226DEF83" w14:textId="77777777" w:rsidR="00590642" w:rsidRPr="00E233A5" w:rsidRDefault="00590642" w:rsidP="00540789">
            <w:pPr>
              <w:jc w:val="center"/>
              <w:rPr>
                <w:color w:val="000000"/>
              </w:rPr>
            </w:pPr>
            <w:r w:rsidRPr="76ED4C29">
              <w:rPr>
                <w:color w:val="000000" w:themeColor="text1"/>
              </w:rPr>
              <w:t>6</w:t>
            </w:r>
          </w:p>
        </w:tc>
      </w:tr>
    </w:tbl>
    <w:p w14:paraId="4AA4E6FF" w14:textId="77777777" w:rsidR="00590642" w:rsidRDefault="00590642" w:rsidP="00590642"/>
    <w:p w14:paraId="333E9616" w14:textId="77777777" w:rsidR="00590642" w:rsidRPr="00C67D35" w:rsidRDefault="00590642" w:rsidP="00C67D35">
      <w:pPr>
        <w:pStyle w:val="NoSpacing"/>
        <w:ind w:left="284" w:right="425"/>
        <w:rPr>
          <w:rFonts w:eastAsiaTheme="minorEastAsia"/>
          <w:color w:val="31579B"/>
          <w:sz w:val="24"/>
          <w:szCs w:val="24"/>
        </w:rPr>
      </w:pPr>
      <w:r w:rsidRPr="00C67D35">
        <w:rPr>
          <w:color w:val="31579B"/>
        </w:rPr>
        <w:br/>
      </w:r>
      <w:r w:rsidRPr="00C67D35">
        <w:rPr>
          <w:rFonts w:eastAsiaTheme="minorEastAsia"/>
          <w:color w:val="31579B"/>
          <w:sz w:val="24"/>
          <w:szCs w:val="24"/>
        </w:rPr>
        <w:t>Addition of DND products</w:t>
      </w:r>
    </w:p>
    <w:p w14:paraId="03108E7B" w14:textId="77777777" w:rsidR="00590642" w:rsidRDefault="00590642" w:rsidP="00C67D35">
      <w:pPr>
        <w:pStyle w:val="NoSpacing"/>
        <w:ind w:left="284" w:right="425"/>
        <w:jc w:val="both"/>
        <w:rPr>
          <w:rFonts w:eastAsiaTheme="minorEastAsia"/>
          <w:b/>
          <w:bCs/>
          <w:color w:val="5B518E"/>
          <w:sz w:val="24"/>
          <w:szCs w:val="24"/>
        </w:rPr>
      </w:pPr>
    </w:p>
    <w:p w14:paraId="2D36B8E9" w14:textId="33DF6B20" w:rsidR="00590642" w:rsidRDefault="00590642" w:rsidP="00C67D35">
      <w:pPr>
        <w:ind w:left="284" w:right="425"/>
        <w:jc w:val="both"/>
        <w:rPr>
          <w:rFonts w:asciiTheme="minorHAnsi" w:hAnsiTheme="minorHAnsi" w:cstheme="minorBidi"/>
          <w:color w:val="000000" w:themeColor="text1"/>
        </w:rPr>
      </w:pPr>
      <w:r w:rsidRPr="2660D35A">
        <w:rPr>
          <w:rFonts w:asciiTheme="minorHAnsi" w:hAnsiTheme="minorHAnsi" w:cstheme="minorBidi"/>
          <w:color w:val="000000" w:themeColor="text1"/>
        </w:rPr>
        <w:t xml:space="preserve">DST has identified a number of products that meet the Discount Not Deducted criteria for eligibility and has submitted applications for </w:t>
      </w:r>
      <w:r w:rsidRPr="008E0562">
        <w:rPr>
          <w:rFonts w:asciiTheme="minorHAnsi" w:hAnsiTheme="minorHAnsi" w:cstheme="minorBidi"/>
          <w:b/>
          <w:bCs/>
          <w:color w:val="000000" w:themeColor="text1"/>
        </w:rPr>
        <w:t>32</w:t>
      </w:r>
      <w:r w:rsidRPr="2660D35A">
        <w:rPr>
          <w:rFonts w:asciiTheme="minorHAnsi" w:hAnsiTheme="minorHAnsi" w:cstheme="minorBidi"/>
          <w:color w:val="000000" w:themeColor="text1"/>
        </w:rPr>
        <w:t xml:space="preserve"> products between February 2020 and May 2020. </w:t>
      </w:r>
      <w:r w:rsidRPr="00095504">
        <w:rPr>
          <w:rFonts w:asciiTheme="minorHAnsi" w:hAnsiTheme="minorHAnsi" w:cstheme="minorBidi"/>
          <w:b/>
          <w:bCs/>
          <w:color w:val="000000" w:themeColor="text1"/>
        </w:rPr>
        <w:t>18</w:t>
      </w:r>
      <w:r w:rsidRPr="00095504">
        <w:rPr>
          <w:rFonts w:asciiTheme="minorHAnsi" w:hAnsiTheme="minorHAnsi" w:cstheme="minorBidi"/>
          <w:color w:val="000000" w:themeColor="text1"/>
        </w:rPr>
        <w:t xml:space="preserve"> products have been added (or will be added) to the Drug Tariff and </w:t>
      </w:r>
      <w:r w:rsidR="00095504" w:rsidRPr="00095504">
        <w:rPr>
          <w:rFonts w:asciiTheme="minorHAnsi" w:hAnsiTheme="minorHAnsi" w:cstheme="minorBidi"/>
          <w:b/>
          <w:bCs/>
          <w:color w:val="000000" w:themeColor="text1"/>
        </w:rPr>
        <w:t>14</w:t>
      </w:r>
      <w:r w:rsidRPr="00095504">
        <w:rPr>
          <w:rFonts w:asciiTheme="minorHAnsi" w:hAnsiTheme="minorHAnsi" w:cstheme="minorBidi"/>
          <w:color w:val="000000" w:themeColor="text1"/>
        </w:rPr>
        <w:t xml:space="preserve"> are still under discussion.</w:t>
      </w:r>
    </w:p>
    <w:p w14:paraId="27608D47" w14:textId="77777777" w:rsidR="00590642" w:rsidRDefault="00590642" w:rsidP="00C67D35">
      <w:pPr>
        <w:pStyle w:val="NoSpacing"/>
        <w:ind w:left="284" w:right="425"/>
      </w:pPr>
    </w:p>
    <w:p w14:paraId="5BF53844" w14:textId="77777777" w:rsidR="00C67D35" w:rsidRDefault="00C67D35" w:rsidP="00C67D35">
      <w:pPr>
        <w:ind w:left="284" w:right="425"/>
        <w:rPr>
          <w:color w:val="31579B"/>
        </w:rPr>
      </w:pPr>
    </w:p>
    <w:p w14:paraId="67E531BD" w14:textId="77777777" w:rsidR="00C67D35" w:rsidRDefault="00C67D35" w:rsidP="00C67D35">
      <w:pPr>
        <w:ind w:left="284" w:right="425"/>
        <w:rPr>
          <w:color w:val="31579B"/>
        </w:rPr>
      </w:pPr>
    </w:p>
    <w:p w14:paraId="6F2D391B" w14:textId="77777777" w:rsidR="00C67D35" w:rsidRDefault="00C67D35" w:rsidP="00C67D35">
      <w:pPr>
        <w:ind w:left="284" w:right="425"/>
        <w:rPr>
          <w:color w:val="31579B"/>
        </w:rPr>
      </w:pPr>
    </w:p>
    <w:p w14:paraId="3E18A3FA" w14:textId="5EB209C2" w:rsidR="00590642" w:rsidRPr="00C67D35" w:rsidRDefault="00590642" w:rsidP="00C67D35">
      <w:pPr>
        <w:ind w:left="284" w:right="425"/>
        <w:rPr>
          <w:rFonts w:asciiTheme="minorHAnsi" w:eastAsiaTheme="minorEastAsia" w:hAnsiTheme="minorHAnsi" w:cstheme="minorBidi"/>
          <w:color w:val="31579B"/>
          <w:sz w:val="24"/>
          <w:szCs w:val="24"/>
        </w:rPr>
      </w:pPr>
      <w:r w:rsidRPr="00C67D35">
        <w:rPr>
          <w:color w:val="31579B"/>
        </w:rPr>
        <w:br/>
      </w:r>
      <w:r w:rsidRPr="00C67D35">
        <w:rPr>
          <w:rFonts w:asciiTheme="minorHAnsi" w:eastAsiaTheme="minorEastAsia" w:hAnsiTheme="minorHAnsi" w:cstheme="minorBidi"/>
          <w:color w:val="31579B"/>
          <w:sz w:val="24"/>
          <w:szCs w:val="24"/>
        </w:rPr>
        <w:t>Retrospective price adjustment for Omeprazole 10mg/5ml and 20mg/5ml oral suspension SF and Melatonin 1mg/ml oral solution AF</w:t>
      </w:r>
    </w:p>
    <w:p w14:paraId="525776BA" w14:textId="77777777" w:rsidR="00590642" w:rsidRDefault="00590642" w:rsidP="00C67D35">
      <w:pPr>
        <w:ind w:left="284" w:right="425"/>
        <w:rPr>
          <w:rFonts w:asciiTheme="minorHAnsi" w:eastAsiaTheme="minorEastAsia" w:hAnsiTheme="minorHAnsi" w:cstheme="minorBidi"/>
          <w:b/>
          <w:bCs/>
          <w:color w:val="5B518E"/>
          <w:sz w:val="24"/>
          <w:szCs w:val="24"/>
        </w:rPr>
      </w:pPr>
    </w:p>
    <w:p w14:paraId="00728D4C" w14:textId="77777777" w:rsidR="00590642" w:rsidRDefault="00590642" w:rsidP="00C67D35">
      <w:pPr>
        <w:ind w:left="284" w:right="425"/>
        <w:rPr>
          <w:rFonts w:asciiTheme="minorHAnsi" w:eastAsiaTheme="minorEastAsia" w:hAnsiTheme="minorHAnsi" w:cstheme="minorBidi"/>
          <w:i/>
          <w:iCs/>
          <w:color w:val="000000" w:themeColor="text1"/>
        </w:rPr>
      </w:pPr>
      <w:r>
        <w:rPr>
          <w:rFonts w:asciiTheme="minorHAnsi" w:eastAsiaTheme="minorEastAsia" w:hAnsiTheme="minorHAnsi" w:cstheme="minorBidi"/>
          <w:i/>
          <w:iCs/>
          <w:color w:val="000000" w:themeColor="text1"/>
        </w:rPr>
        <w:t xml:space="preserve">Omeprazole </w:t>
      </w:r>
    </w:p>
    <w:p w14:paraId="45A35A46" w14:textId="77777777" w:rsidR="00590642" w:rsidRDefault="00590642" w:rsidP="00C67D35">
      <w:pPr>
        <w:ind w:left="284" w:right="425"/>
        <w:rPr>
          <w:color w:val="000000" w:themeColor="text1"/>
        </w:rPr>
      </w:pPr>
    </w:p>
    <w:p w14:paraId="26CB1C14" w14:textId="77777777" w:rsidR="00590642" w:rsidRPr="00533763" w:rsidRDefault="00590642" w:rsidP="009D7023">
      <w:pPr>
        <w:ind w:left="284" w:right="425"/>
        <w:jc w:val="both"/>
        <w:rPr>
          <w:rFonts w:asciiTheme="minorHAnsi" w:hAnsiTheme="minorHAnsi" w:cstheme="minorHAnsi"/>
          <w:color w:val="000000" w:themeColor="text1"/>
        </w:rPr>
      </w:pPr>
      <w:r w:rsidRPr="00533763">
        <w:rPr>
          <w:rFonts w:asciiTheme="minorHAnsi" w:hAnsiTheme="minorHAnsi" w:cstheme="minorHAnsi"/>
          <w:color w:val="000000" w:themeColor="text1"/>
        </w:rPr>
        <w:t>Two Omeprazole licensed liquid preparations became available on the market in March 2020. Following representations from PSNC to account for the licensed products now on market, Department of Health and Social Care (DHSC) and the National Assembly of Wales have retrospectively determined from March 2020:</w:t>
      </w:r>
    </w:p>
    <w:p w14:paraId="5900F8BE" w14:textId="77777777" w:rsidR="00590642" w:rsidRPr="00533763" w:rsidRDefault="00590642" w:rsidP="00C67D35">
      <w:pPr>
        <w:ind w:left="284" w:right="425"/>
        <w:rPr>
          <w:rFonts w:asciiTheme="minorHAnsi" w:hAnsiTheme="minorHAnsi" w:cstheme="minorHAnsi"/>
          <w:color w:val="000000" w:themeColor="text1"/>
        </w:rPr>
      </w:pPr>
    </w:p>
    <w:p w14:paraId="155363D2" w14:textId="77777777" w:rsidR="00590642" w:rsidRPr="00533763" w:rsidRDefault="00590642" w:rsidP="00C67D35">
      <w:pPr>
        <w:ind w:left="284" w:right="425"/>
        <w:rPr>
          <w:rFonts w:asciiTheme="minorHAnsi" w:hAnsiTheme="minorHAnsi" w:cstheme="minorHAnsi"/>
          <w:color w:val="000000" w:themeColor="text1"/>
        </w:rPr>
      </w:pPr>
      <w:r w:rsidRPr="00533763">
        <w:rPr>
          <w:rFonts w:asciiTheme="minorHAnsi" w:hAnsiTheme="minorHAnsi" w:cstheme="minorHAnsi"/>
          <w:color w:val="000000" w:themeColor="text1"/>
        </w:rPr>
        <w:t>The addition of (with special container status applied):</w:t>
      </w:r>
    </w:p>
    <w:p w14:paraId="3B293E1D" w14:textId="77777777" w:rsidR="00590642" w:rsidRPr="00533763" w:rsidRDefault="00590642" w:rsidP="00C67D35">
      <w:pPr>
        <w:ind w:left="284" w:right="425"/>
        <w:rPr>
          <w:rFonts w:asciiTheme="minorHAnsi" w:hAnsiTheme="minorHAnsi" w:cstheme="minorHAnsi"/>
          <w:color w:val="000000" w:themeColor="text1"/>
        </w:rPr>
      </w:pPr>
    </w:p>
    <w:p w14:paraId="3840BBAC" w14:textId="77777777" w:rsidR="00590642" w:rsidRPr="00533763" w:rsidRDefault="00590642" w:rsidP="00C67D35">
      <w:pPr>
        <w:pStyle w:val="ListParagraph"/>
        <w:widowControl/>
        <w:numPr>
          <w:ilvl w:val="0"/>
          <w:numId w:val="16"/>
        </w:numPr>
        <w:autoSpaceDE/>
        <w:autoSpaceDN/>
        <w:ind w:left="284" w:right="425" w:firstLine="0"/>
        <w:contextualSpacing/>
        <w:rPr>
          <w:rFonts w:asciiTheme="minorHAnsi" w:hAnsiTheme="minorHAnsi" w:cstheme="minorHAnsi"/>
          <w:color w:val="000000" w:themeColor="text1"/>
        </w:rPr>
      </w:pPr>
      <w:r w:rsidRPr="00533763">
        <w:rPr>
          <w:rFonts w:asciiTheme="minorHAnsi" w:hAnsiTheme="minorHAnsi" w:cstheme="minorHAnsi"/>
          <w:color w:val="000000" w:themeColor="text1"/>
        </w:rPr>
        <w:t>Omeprazole 10mg/5ml oral suspension sugar free (75ml) to Category C based on Rosemont Pharmaceuticals Ltd, and</w:t>
      </w:r>
    </w:p>
    <w:p w14:paraId="266C86DC" w14:textId="77777777" w:rsidR="00590642" w:rsidRPr="00533763" w:rsidRDefault="00590642" w:rsidP="00C67D35">
      <w:pPr>
        <w:pStyle w:val="ListParagraph"/>
        <w:widowControl/>
        <w:numPr>
          <w:ilvl w:val="0"/>
          <w:numId w:val="16"/>
        </w:numPr>
        <w:autoSpaceDE/>
        <w:autoSpaceDN/>
        <w:ind w:left="284" w:right="425" w:firstLine="0"/>
        <w:contextualSpacing/>
        <w:rPr>
          <w:rFonts w:asciiTheme="minorHAnsi" w:hAnsiTheme="minorHAnsi" w:cstheme="minorHAnsi"/>
          <w:color w:val="000000" w:themeColor="text1"/>
        </w:rPr>
      </w:pPr>
      <w:r w:rsidRPr="00533763">
        <w:rPr>
          <w:rFonts w:asciiTheme="minorHAnsi" w:hAnsiTheme="minorHAnsi" w:cstheme="minorHAnsi"/>
          <w:color w:val="000000" w:themeColor="text1"/>
        </w:rPr>
        <w:t xml:space="preserve">Omeprazole 20mg/5ml oral suspension sugar free (75ml) to Category C based on Rosemont Pharmaceuticals </w:t>
      </w:r>
      <w:proofErr w:type="gramStart"/>
      <w:r w:rsidRPr="00533763">
        <w:rPr>
          <w:rFonts w:asciiTheme="minorHAnsi" w:hAnsiTheme="minorHAnsi" w:cstheme="minorHAnsi"/>
          <w:color w:val="000000" w:themeColor="text1"/>
        </w:rPr>
        <w:t>Ltd;</w:t>
      </w:r>
      <w:proofErr w:type="gramEnd"/>
    </w:p>
    <w:p w14:paraId="2C7E6371" w14:textId="77777777" w:rsidR="00590642" w:rsidRPr="00533763" w:rsidRDefault="00590642" w:rsidP="00C67D35">
      <w:pPr>
        <w:ind w:left="284" w:right="425"/>
        <w:rPr>
          <w:rFonts w:asciiTheme="minorHAnsi" w:hAnsiTheme="minorHAnsi" w:cstheme="minorHAnsi"/>
          <w:color w:val="000000" w:themeColor="text1"/>
        </w:rPr>
      </w:pPr>
    </w:p>
    <w:p w14:paraId="07B99E67" w14:textId="77777777" w:rsidR="00590642" w:rsidRPr="00533763" w:rsidRDefault="00590642" w:rsidP="00C67D35">
      <w:pPr>
        <w:ind w:left="284" w:right="425"/>
        <w:rPr>
          <w:rFonts w:asciiTheme="minorHAnsi" w:hAnsiTheme="minorHAnsi" w:cstheme="minorHAnsi"/>
          <w:color w:val="000000" w:themeColor="text1"/>
        </w:rPr>
      </w:pPr>
      <w:r w:rsidRPr="00533763">
        <w:rPr>
          <w:rFonts w:asciiTheme="minorHAnsi" w:hAnsiTheme="minorHAnsi" w:cstheme="minorHAnsi"/>
          <w:color w:val="000000" w:themeColor="text1"/>
        </w:rPr>
        <w:t>the deletion from Part VIIIB of:</w:t>
      </w:r>
    </w:p>
    <w:p w14:paraId="76FE794E" w14:textId="77777777" w:rsidR="00590642" w:rsidRPr="00533763" w:rsidRDefault="00590642" w:rsidP="00C67D35">
      <w:pPr>
        <w:ind w:left="284" w:right="425"/>
        <w:rPr>
          <w:rFonts w:asciiTheme="minorHAnsi" w:hAnsiTheme="minorHAnsi" w:cstheme="minorHAnsi"/>
          <w:color w:val="000000" w:themeColor="text1"/>
        </w:rPr>
      </w:pPr>
    </w:p>
    <w:p w14:paraId="1B80A5C4" w14:textId="77777777" w:rsidR="00590642" w:rsidRPr="00533763" w:rsidRDefault="00590642" w:rsidP="00C67D35">
      <w:pPr>
        <w:pStyle w:val="ListParagraph"/>
        <w:widowControl/>
        <w:numPr>
          <w:ilvl w:val="0"/>
          <w:numId w:val="17"/>
        </w:numPr>
        <w:autoSpaceDE/>
        <w:autoSpaceDN/>
        <w:ind w:left="284" w:right="425" w:firstLine="0"/>
        <w:contextualSpacing/>
        <w:rPr>
          <w:rFonts w:asciiTheme="minorHAnsi" w:hAnsiTheme="minorHAnsi" w:cstheme="minorHAnsi"/>
          <w:color w:val="000000" w:themeColor="text1"/>
        </w:rPr>
      </w:pPr>
      <w:r w:rsidRPr="00533763">
        <w:rPr>
          <w:rFonts w:asciiTheme="minorHAnsi" w:hAnsiTheme="minorHAnsi" w:cstheme="minorHAnsi"/>
          <w:color w:val="000000" w:themeColor="text1"/>
        </w:rPr>
        <w:t>Omeprazole 10mg/5ml oral suspension (STD, SF, LF, CF, NSF, FF, AF, BP)</w:t>
      </w:r>
    </w:p>
    <w:p w14:paraId="31641091" w14:textId="77777777" w:rsidR="00590642" w:rsidRPr="00533763" w:rsidRDefault="00590642" w:rsidP="00C67D35">
      <w:pPr>
        <w:pStyle w:val="ListParagraph"/>
        <w:widowControl/>
        <w:numPr>
          <w:ilvl w:val="0"/>
          <w:numId w:val="17"/>
        </w:numPr>
        <w:autoSpaceDE/>
        <w:autoSpaceDN/>
        <w:ind w:left="284" w:right="425" w:firstLine="0"/>
        <w:contextualSpacing/>
        <w:rPr>
          <w:rFonts w:asciiTheme="minorHAnsi" w:hAnsiTheme="minorHAnsi" w:cstheme="minorHAnsi"/>
          <w:color w:val="000000" w:themeColor="text1"/>
        </w:rPr>
      </w:pPr>
      <w:r w:rsidRPr="00533763">
        <w:rPr>
          <w:rFonts w:asciiTheme="minorHAnsi" w:hAnsiTheme="minorHAnsi" w:cstheme="minorHAnsi"/>
          <w:color w:val="000000" w:themeColor="text1"/>
        </w:rPr>
        <w:t>Omeprazole 20mg/5ml oral suspension (STD, SF, LF, CF, NSF, FF, AF, BP)</w:t>
      </w:r>
    </w:p>
    <w:p w14:paraId="66DC65A3" w14:textId="77777777" w:rsidR="00590642" w:rsidRDefault="00590642" w:rsidP="009D7023">
      <w:pPr>
        <w:ind w:left="284" w:right="425"/>
        <w:jc w:val="both"/>
        <w:rPr>
          <w:rFonts w:asciiTheme="minorHAnsi" w:hAnsiTheme="minorHAnsi" w:cstheme="minorHAnsi"/>
          <w:color w:val="000000" w:themeColor="text1"/>
        </w:rPr>
      </w:pPr>
      <w:r w:rsidRPr="00533763">
        <w:rPr>
          <w:rFonts w:asciiTheme="minorHAnsi" w:hAnsiTheme="minorHAnsi" w:cstheme="minorHAnsi"/>
          <w:color w:val="000000" w:themeColor="text1"/>
        </w:rPr>
        <w:br/>
        <w:t>Payment for March and April’s prescriptions will reflect the above retrospective determination and hence will not be as per the published Drug Tariff prices for March and April, respectively. Payments for Omeprazole 10mg/5ml oral suspension and Omeprazole 20mg/5ml oral suspension will be based on the licensed Omeprazole 10mg/5ml oral suspension sugar free (Rosemont Pharmaceuticals Ltd) and Omeprazole 20mg/5ml oral suspension sugar free (Rosemont Pharmaceuticals Ltd), respectively.</w:t>
      </w:r>
    </w:p>
    <w:p w14:paraId="30340BB0" w14:textId="77777777" w:rsidR="00590642" w:rsidRDefault="00590642" w:rsidP="00C67D35">
      <w:pPr>
        <w:ind w:left="284" w:right="425"/>
        <w:rPr>
          <w:rFonts w:asciiTheme="minorHAnsi" w:hAnsiTheme="minorHAnsi" w:cstheme="minorHAnsi"/>
          <w:color w:val="000000" w:themeColor="text1"/>
        </w:rPr>
      </w:pPr>
    </w:p>
    <w:p w14:paraId="57B120E0" w14:textId="77777777" w:rsidR="00590642" w:rsidRPr="00FE025A" w:rsidRDefault="00590642" w:rsidP="00C67D35">
      <w:pPr>
        <w:pStyle w:val="NoSpacing"/>
        <w:ind w:left="284" w:right="425"/>
        <w:rPr>
          <w:rFonts w:cstheme="minorHAnsi"/>
          <w:i/>
          <w:iCs/>
        </w:rPr>
      </w:pPr>
      <w:r w:rsidRPr="00FE025A">
        <w:rPr>
          <w:rFonts w:cstheme="minorHAnsi"/>
          <w:i/>
          <w:iCs/>
        </w:rPr>
        <w:t>Melatonin</w:t>
      </w:r>
    </w:p>
    <w:p w14:paraId="41470538" w14:textId="77777777" w:rsidR="00590642" w:rsidRPr="00FE025A" w:rsidRDefault="00590642" w:rsidP="00C67D35">
      <w:pPr>
        <w:pStyle w:val="NoSpacing"/>
        <w:ind w:left="284" w:right="425"/>
      </w:pPr>
      <w:r>
        <w:br/>
      </w:r>
      <w:r w:rsidRPr="1E2D12B4">
        <w:t xml:space="preserve">In March 2020, </w:t>
      </w:r>
      <w:proofErr w:type="spellStart"/>
      <w:r w:rsidRPr="1E2D12B4">
        <w:t>Colonis</w:t>
      </w:r>
      <w:proofErr w:type="spellEnd"/>
      <w:r w:rsidRPr="1E2D12B4">
        <w:t xml:space="preserve"> Pharma relaunched Melatonin 1mg/ml oral solution sugar free (currently listed in Part VIIIA of the Drug Tariff) as an alcohol-free formulation.</w:t>
      </w:r>
    </w:p>
    <w:p w14:paraId="5CA018FF" w14:textId="77777777" w:rsidR="00590642" w:rsidRPr="00FE025A" w:rsidRDefault="00590642" w:rsidP="00C67D35">
      <w:pPr>
        <w:pStyle w:val="NoSpacing"/>
        <w:ind w:left="284" w:right="425"/>
        <w:rPr>
          <w:rFonts w:cstheme="minorHAnsi"/>
        </w:rPr>
      </w:pPr>
      <w:r w:rsidRPr="00FE025A">
        <w:rPr>
          <w:rFonts w:cstheme="minorHAnsi"/>
        </w:rPr>
        <w:t>Following representation from PSNC to account for the reformulated product now on market, DHSC and the National Assembly of Wales have retrospectively determined from March 2020:</w:t>
      </w:r>
    </w:p>
    <w:p w14:paraId="04EBDECF" w14:textId="77777777" w:rsidR="00590642" w:rsidRPr="00FE025A" w:rsidRDefault="00590642" w:rsidP="00C67D35">
      <w:pPr>
        <w:pStyle w:val="NoSpacing"/>
        <w:ind w:left="284" w:right="425"/>
        <w:rPr>
          <w:rFonts w:cstheme="minorHAnsi"/>
        </w:rPr>
      </w:pPr>
      <w:r w:rsidRPr="00FE025A">
        <w:rPr>
          <w:rFonts w:cstheme="minorHAnsi"/>
        </w:rPr>
        <w:t>the deletion from Part VIIIB of:</w:t>
      </w:r>
    </w:p>
    <w:p w14:paraId="67CF5B73" w14:textId="77777777" w:rsidR="00590642" w:rsidRPr="00FE025A" w:rsidRDefault="00590642" w:rsidP="00C67D35">
      <w:pPr>
        <w:pStyle w:val="NoSpacing"/>
        <w:numPr>
          <w:ilvl w:val="0"/>
          <w:numId w:val="18"/>
        </w:numPr>
        <w:ind w:left="284" w:right="425" w:firstLine="0"/>
        <w:rPr>
          <w:rFonts w:cstheme="minorHAnsi"/>
        </w:rPr>
      </w:pPr>
      <w:r w:rsidRPr="00FE025A">
        <w:rPr>
          <w:rFonts w:cstheme="minorHAnsi"/>
        </w:rPr>
        <w:t>Melatonin 5mg/5ml oral solution alcohol free</w:t>
      </w:r>
    </w:p>
    <w:p w14:paraId="18F44A15" w14:textId="77777777" w:rsidR="00590642" w:rsidRPr="00FE025A" w:rsidRDefault="00590642" w:rsidP="00C67D35">
      <w:pPr>
        <w:pStyle w:val="NoSpacing"/>
        <w:numPr>
          <w:ilvl w:val="0"/>
          <w:numId w:val="18"/>
        </w:numPr>
        <w:ind w:left="284" w:right="425" w:firstLine="0"/>
        <w:rPr>
          <w:rFonts w:cstheme="minorHAnsi"/>
        </w:rPr>
      </w:pPr>
      <w:r w:rsidRPr="00FE025A">
        <w:rPr>
          <w:rFonts w:cstheme="minorHAnsi"/>
        </w:rPr>
        <w:t>Melatonin 5mg/5ml oral suspension alcohol free</w:t>
      </w:r>
    </w:p>
    <w:p w14:paraId="6ECAD268" w14:textId="77777777" w:rsidR="00590642" w:rsidRPr="00FE025A" w:rsidRDefault="00590642" w:rsidP="009D7023">
      <w:pPr>
        <w:pStyle w:val="NoSpacing"/>
        <w:ind w:left="284" w:right="425"/>
        <w:jc w:val="both"/>
        <w:rPr>
          <w:rFonts w:cstheme="minorHAnsi"/>
        </w:rPr>
      </w:pPr>
      <w:r w:rsidRPr="00FE025A">
        <w:rPr>
          <w:rFonts w:cstheme="minorHAnsi"/>
        </w:rPr>
        <w:t xml:space="preserve">Payment for March and April’s prescriptions will reflect the above retrospective determination and hence will not be as per the published Drug Tariff prices for March and April, respectively. Payments for Melatonin 5mg/5ml oral solution alcohol free will be based on Melatonin 1mg/ml oral solution sugar free as listed in Part VIIIA of the Drug Tariff. </w:t>
      </w:r>
    </w:p>
    <w:p w14:paraId="75F6C442" w14:textId="77777777" w:rsidR="00590642" w:rsidRDefault="00590642" w:rsidP="00C67D35">
      <w:pPr>
        <w:pStyle w:val="NoSpacing"/>
        <w:ind w:left="284" w:right="425"/>
        <w:rPr>
          <w:rFonts w:eastAsiaTheme="minorEastAsia"/>
          <w:b/>
          <w:bCs/>
          <w:color w:val="5B518E"/>
          <w:sz w:val="24"/>
          <w:szCs w:val="24"/>
        </w:rPr>
      </w:pPr>
    </w:p>
    <w:p w14:paraId="16D40826" w14:textId="77777777" w:rsidR="00590642" w:rsidRPr="00C60B6B" w:rsidRDefault="00590642" w:rsidP="00590642">
      <w:pPr>
        <w:jc w:val="both"/>
        <w:rPr>
          <w:rFonts w:asciiTheme="minorHAnsi" w:eastAsiaTheme="minorEastAsia" w:hAnsiTheme="minorHAnsi" w:cstheme="minorBidi"/>
          <w:color w:val="444444"/>
        </w:rPr>
      </w:pPr>
    </w:p>
    <w:p w14:paraId="5F494A22" w14:textId="77777777" w:rsidR="00590642" w:rsidRPr="00C60B6B" w:rsidRDefault="00590642" w:rsidP="00590642">
      <w:pPr>
        <w:pStyle w:val="NoSpacing"/>
        <w:jc w:val="both"/>
        <w:rPr>
          <w:rFonts w:ascii="Calibri" w:eastAsia="Calibri" w:hAnsi="Calibri" w:cs="Calibri"/>
          <w:color w:val="201F1E"/>
        </w:rPr>
      </w:pPr>
    </w:p>
    <w:p w14:paraId="1302ECF1" w14:textId="77777777" w:rsidR="00D01891" w:rsidRPr="00907E6A" w:rsidRDefault="00D01891" w:rsidP="00387F43">
      <w:pPr>
        <w:jc w:val="both"/>
        <w:sectPr w:rsidR="00D01891" w:rsidRPr="00907E6A" w:rsidSect="00F72BB2">
          <w:pgSz w:w="11910" w:h="16840"/>
          <w:pgMar w:top="993" w:right="711" w:bottom="993" w:left="709" w:header="0" w:footer="606" w:gutter="0"/>
          <w:cols w:space="720"/>
        </w:sectPr>
      </w:pPr>
    </w:p>
    <w:p w14:paraId="6423598A" w14:textId="73D191BF" w:rsidR="00D01891" w:rsidRPr="00907E6A" w:rsidRDefault="00D57E60" w:rsidP="00822FAE">
      <w:pPr>
        <w:jc w:val="right"/>
        <w:rPr>
          <w:b/>
        </w:rPr>
      </w:pPr>
      <w:bookmarkStart w:id="6" w:name="FCS14"/>
      <w:r w:rsidRPr="00907E6A">
        <w:rPr>
          <w:b/>
          <w:color w:val="5B518E"/>
        </w:rPr>
        <w:t xml:space="preserve">Appendix FCS </w:t>
      </w:r>
      <w:r w:rsidR="00822FAE">
        <w:rPr>
          <w:b/>
          <w:color w:val="5B518E"/>
        </w:rPr>
        <w:t>1</w:t>
      </w:r>
      <w:r w:rsidR="00971820">
        <w:rPr>
          <w:b/>
          <w:color w:val="5B518E"/>
        </w:rPr>
        <w:t>4</w:t>
      </w:r>
      <w:r w:rsidRPr="00907E6A">
        <w:rPr>
          <w:b/>
          <w:color w:val="5B518E"/>
        </w:rPr>
        <w:t>/</w:t>
      </w:r>
      <w:r w:rsidR="00903EFC" w:rsidRPr="00907E6A">
        <w:rPr>
          <w:b/>
          <w:color w:val="5B518E"/>
        </w:rPr>
        <w:t>0</w:t>
      </w:r>
      <w:r w:rsidR="0081235A">
        <w:rPr>
          <w:b/>
          <w:color w:val="5B518E"/>
        </w:rPr>
        <w:t>5</w:t>
      </w:r>
      <w:r w:rsidRPr="00907E6A">
        <w:rPr>
          <w:b/>
          <w:color w:val="5B518E"/>
        </w:rPr>
        <w:t>/</w:t>
      </w:r>
      <w:r w:rsidR="00903EFC" w:rsidRPr="00907E6A">
        <w:rPr>
          <w:b/>
          <w:color w:val="5B518E"/>
        </w:rPr>
        <w:t>20</w:t>
      </w:r>
    </w:p>
    <w:bookmarkEnd w:id="6"/>
    <w:p w14:paraId="3B2F0057" w14:textId="77777777" w:rsidR="00D01891" w:rsidRPr="00907E6A" w:rsidRDefault="00D01891" w:rsidP="00387F43">
      <w:pPr>
        <w:pStyle w:val="BodyText"/>
        <w:jc w:val="both"/>
        <w:rPr>
          <w:b/>
        </w:rPr>
      </w:pPr>
    </w:p>
    <w:p w14:paraId="152CD117" w14:textId="77777777" w:rsidR="00D01891" w:rsidRPr="00907E6A" w:rsidRDefault="00D01891" w:rsidP="00387F43">
      <w:pPr>
        <w:pStyle w:val="BodyText"/>
        <w:spacing w:before="10" w:after="1"/>
        <w:jc w:val="both"/>
        <w:rPr>
          <w:b/>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D01891" w:rsidRPr="00907E6A" w14:paraId="2E93156A" w14:textId="77777777">
        <w:trPr>
          <w:trHeight w:val="805"/>
        </w:trPr>
        <w:tc>
          <w:tcPr>
            <w:tcW w:w="4508" w:type="dxa"/>
          </w:tcPr>
          <w:p w14:paraId="735E1DC5" w14:textId="77777777" w:rsidR="00D01891" w:rsidRPr="00907E6A" w:rsidRDefault="00D01891" w:rsidP="00387F43">
            <w:pPr>
              <w:pStyle w:val="TableParagraph"/>
              <w:spacing w:before="11"/>
              <w:jc w:val="both"/>
              <w:rPr>
                <w:b/>
              </w:rPr>
            </w:pPr>
          </w:p>
          <w:p w14:paraId="7CA8F42A" w14:textId="77777777" w:rsidR="00D01891" w:rsidRPr="00907E6A" w:rsidRDefault="00D57E60" w:rsidP="00387F43">
            <w:pPr>
              <w:pStyle w:val="TableParagraph"/>
              <w:ind w:left="107"/>
              <w:jc w:val="both"/>
            </w:pPr>
            <w:r w:rsidRPr="00907E6A">
              <w:t>Subject</w:t>
            </w:r>
          </w:p>
        </w:tc>
        <w:tc>
          <w:tcPr>
            <w:tcW w:w="4510" w:type="dxa"/>
          </w:tcPr>
          <w:p w14:paraId="78ABFB25" w14:textId="77777777" w:rsidR="00D01891" w:rsidRPr="00907E6A" w:rsidRDefault="00D01891" w:rsidP="00387F43">
            <w:pPr>
              <w:pStyle w:val="TableParagraph"/>
              <w:spacing w:before="11"/>
              <w:jc w:val="both"/>
              <w:rPr>
                <w:b/>
              </w:rPr>
            </w:pPr>
          </w:p>
          <w:p w14:paraId="78CEBF70" w14:textId="77777777" w:rsidR="00D01891" w:rsidRPr="00907E6A" w:rsidRDefault="00D57E60" w:rsidP="00387F43">
            <w:pPr>
              <w:pStyle w:val="TableParagraph"/>
              <w:ind w:left="107"/>
              <w:jc w:val="both"/>
            </w:pPr>
            <w:r w:rsidRPr="00907E6A">
              <w:t>Statistics</w:t>
            </w:r>
          </w:p>
        </w:tc>
      </w:tr>
      <w:tr w:rsidR="00D01891" w:rsidRPr="00907E6A" w14:paraId="77997684" w14:textId="77777777">
        <w:trPr>
          <w:trHeight w:val="806"/>
        </w:trPr>
        <w:tc>
          <w:tcPr>
            <w:tcW w:w="4508" w:type="dxa"/>
          </w:tcPr>
          <w:p w14:paraId="5BA9425F" w14:textId="77777777" w:rsidR="00D01891" w:rsidRPr="00907E6A" w:rsidRDefault="00D01891" w:rsidP="00387F43">
            <w:pPr>
              <w:pStyle w:val="TableParagraph"/>
              <w:spacing w:before="11"/>
              <w:jc w:val="both"/>
              <w:rPr>
                <w:b/>
              </w:rPr>
            </w:pPr>
          </w:p>
          <w:p w14:paraId="07641F91" w14:textId="77777777" w:rsidR="00D01891" w:rsidRPr="00907E6A" w:rsidRDefault="00D57E60" w:rsidP="00387F43">
            <w:pPr>
              <w:pStyle w:val="TableParagraph"/>
              <w:ind w:left="107"/>
              <w:jc w:val="both"/>
            </w:pPr>
            <w:r w:rsidRPr="00907E6A">
              <w:t>Date of meeting</w:t>
            </w:r>
          </w:p>
        </w:tc>
        <w:tc>
          <w:tcPr>
            <w:tcW w:w="4510" w:type="dxa"/>
          </w:tcPr>
          <w:p w14:paraId="271BA41E" w14:textId="77777777" w:rsidR="00D01891" w:rsidRPr="00907E6A" w:rsidRDefault="00D01891" w:rsidP="00387F43">
            <w:pPr>
              <w:pStyle w:val="TableParagraph"/>
              <w:spacing w:before="11"/>
              <w:jc w:val="both"/>
              <w:rPr>
                <w:b/>
              </w:rPr>
            </w:pPr>
          </w:p>
          <w:p w14:paraId="6A73CD57" w14:textId="5B918C90" w:rsidR="00D01891" w:rsidRPr="00907E6A" w:rsidRDefault="00822FAE" w:rsidP="00387F43">
            <w:pPr>
              <w:pStyle w:val="TableParagraph"/>
              <w:ind w:left="107"/>
              <w:jc w:val="both"/>
            </w:pPr>
            <w:r>
              <w:t>20</w:t>
            </w:r>
            <w:r w:rsidR="00D57E60" w:rsidRPr="00907E6A">
              <w:rPr>
                <w:vertAlign w:val="superscript"/>
              </w:rPr>
              <w:t>th</w:t>
            </w:r>
            <w:r w:rsidR="00D57E60" w:rsidRPr="00907E6A">
              <w:t xml:space="preserve"> </w:t>
            </w:r>
            <w:r>
              <w:t xml:space="preserve">May </w:t>
            </w:r>
            <w:r w:rsidR="00D57E60" w:rsidRPr="00907E6A">
              <w:t>20</w:t>
            </w:r>
            <w:r w:rsidR="00470FAE" w:rsidRPr="00907E6A">
              <w:t>20</w:t>
            </w:r>
          </w:p>
        </w:tc>
      </w:tr>
      <w:tr w:rsidR="00D01891" w:rsidRPr="00907E6A" w14:paraId="6F51D664" w14:textId="77777777">
        <w:trPr>
          <w:trHeight w:val="805"/>
        </w:trPr>
        <w:tc>
          <w:tcPr>
            <w:tcW w:w="4508" w:type="dxa"/>
          </w:tcPr>
          <w:p w14:paraId="5564A614" w14:textId="77777777" w:rsidR="00D01891" w:rsidRPr="00907E6A" w:rsidRDefault="00D01891" w:rsidP="00387F43">
            <w:pPr>
              <w:pStyle w:val="TableParagraph"/>
              <w:spacing w:before="11"/>
              <w:jc w:val="both"/>
              <w:rPr>
                <w:b/>
              </w:rPr>
            </w:pPr>
          </w:p>
          <w:p w14:paraId="11443E7C" w14:textId="77777777" w:rsidR="00D01891" w:rsidRPr="00907E6A" w:rsidRDefault="00D57E60" w:rsidP="00387F43">
            <w:pPr>
              <w:pStyle w:val="TableParagraph"/>
              <w:ind w:left="107"/>
              <w:jc w:val="both"/>
            </w:pPr>
            <w:r w:rsidRPr="00907E6A">
              <w:t>Committee/Subcommittee</w:t>
            </w:r>
          </w:p>
        </w:tc>
        <w:tc>
          <w:tcPr>
            <w:tcW w:w="4510" w:type="dxa"/>
          </w:tcPr>
          <w:p w14:paraId="021DE023" w14:textId="77777777" w:rsidR="00D01891" w:rsidRPr="00907E6A" w:rsidRDefault="00D01891" w:rsidP="00387F43">
            <w:pPr>
              <w:pStyle w:val="TableParagraph"/>
              <w:spacing w:before="11"/>
              <w:jc w:val="both"/>
              <w:rPr>
                <w:b/>
              </w:rPr>
            </w:pPr>
          </w:p>
          <w:p w14:paraId="4F2C3DF6" w14:textId="77777777" w:rsidR="00D01891" w:rsidRPr="00907E6A" w:rsidRDefault="00D57E60" w:rsidP="00387F43">
            <w:pPr>
              <w:pStyle w:val="TableParagraph"/>
              <w:ind w:left="107"/>
              <w:jc w:val="both"/>
            </w:pPr>
            <w:r w:rsidRPr="00907E6A">
              <w:t>FunCon</w:t>
            </w:r>
          </w:p>
        </w:tc>
      </w:tr>
      <w:tr w:rsidR="00D01891" w:rsidRPr="00907E6A" w14:paraId="52FC1C04" w14:textId="77777777">
        <w:trPr>
          <w:trHeight w:val="806"/>
        </w:trPr>
        <w:tc>
          <w:tcPr>
            <w:tcW w:w="4508" w:type="dxa"/>
          </w:tcPr>
          <w:p w14:paraId="319AAADF" w14:textId="77777777" w:rsidR="00D01891" w:rsidRPr="00907E6A" w:rsidRDefault="00D01891" w:rsidP="00387F43">
            <w:pPr>
              <w:pStyle w:val="TableParagraph"/>
              <w:spacing w:before="12"/>
              <w:jc w:val="both"/>
              <w:rPr>
                <w:b/>
              </w:rPr>
            </w:pPr>
          </w:p>
          <w:p w14:paraId="159A0043" w14:textId="77777777" w:rsidR="00D01891" w:rsidRPr="00907E6A" w:rsidRDefault="00D57E60" w:rsidP="00387F43">
            <w:pPr>
              <w:pStyle w:val="TableParagraph"/>
              <w:ind w:left="107"/>
              <w:jc w:val="both"/>
            </w:pPr>
            <w:r w:rsidRPr="00907E6A">
              <w:t>Status</w:t>
            </w:r>
          </w:p>
        </w:tc>
        <w:tc>
          <w:tcPr>
            <w:tcW w:w="4510" w:type="dxa"/>
          </w:tcPr>
          <w:p w14:paraId="5008B63F" w14:textId="77777777" w:rsidR="00D01891" w:rsidRPr="00907E6A" w:rsidRDefault="00D01891" w:rsidP="00387F43">
            <w:pPr>
              <w:pStyle w:val="TableParagraph"/>
              <w:spacing w:before="12"/>
              <w:jc w:val="both"/>
              <w:rPr>
                <w:b/>
              </w:rPr>
            </w:pPr>
          </w:p>
          <w:p w14:paraId="794479A8" w14:textId="77777777" w:rsidR="00D01891" w:rsidRPr="00907E6A" w:rsidRDefault="00D57E60" w:rsidP="00387F43">
            <w:pPr>
              <w:pStyle w:val="TableParagraph"/>
              <w:ind w:left="107"/>
              <w:jc w:val="both"/>
            </w:pPr>
            <w:r w:rsidRPr="00907E6A">
              <w:t>Not confidential</w:t>
            </w:r>
          </w:p>
        </w:tc>
      </w:tr>
      <w:tr w:rsidR="00D01891" w:rsidRPr="00907E6A" w14:paraId="618C0551" w14:textId="77777777">
        <w:trPr>
          <w:trHeight w:val="805"/>
        </w:trPr>
        <w:tc>
          <w:tcPr>
            <w:tcW w:w="4508" w:type="dxa"/>
          </w:tcPr>
          <w:p w14:paraId="2CCB9434" w14:textId="77777777" w:rsidR="00D01891" w:rsidRPr="00907E6A" w:rsidRDefault="00D01891" w:rsidP="00387F43">
            <w:pPr>
              <w:pStyle w:val="TableParagraph"/>
              <w:spacing w:before="11"/>
              <w:jc w:val="both"/>
              <w:rPr>
                <w:b/>
              </w:rPr>
            </w:pPr>
          </w:p>
          <w:p w14:paraId="19016510" w14:textId="77777777" w:rsidR="00D01891" w:rsidRPr="00907E6A" w:rsidRDefault="00D57E60" w:rsidP="00387F43">
            <w:pPr>
              <w:pStyle w:val="TableParagraph"/>
              <w:ind w:left="107"/>
              <w:jc w:val="both"/>
            </w:pPr>
            <w:r w:rsidRPr="00907E6A">
              <w:t>Overview</w:t>
            </w:r>
          </w:p>
        </w:tc>
        <w:tc>
          <w:tcPr>
            <w:tcW w:w="4510" w:type="dxa"/>
          </w:tcPr>
          <w:p w14:paraId="658EC5F1" w14:textId="77777777" w:rsidR="00D01891" w:rsidRPr="00907E6A" w:rsidRDefault="00D01891" w:rsidP="00387F43">
            <w:pPr>
              <w:pStyle w:val="TableParagraph"/>
              <w:spacing w:before="11"/>
              <w:jc w:val="both"/>
              <w:rPr>
                <w:b/>
              </w:rPr>
            </w:pPr>
          </w:p>
          <w:p w14:paraId="314C920F" w14:textId="77777777" w:rsidR="00D01891" w:rsidRPr="00907E6A" w:rsidRDefault="00D57E60" w:rsidP="00387F43">
            <w:pPr>
              <w:pStyle w:val="TableParagraph"/>
              <w:ind w:left="107"/>
              <w:jc w:val="both"/>
            </w:pPr>
            <w:r w:rsidRPr="00907E6A">
              <w:t>Latest statistics for information</w:t>
            </w:r>
          </w:p>
        </w:tc>
      </w:tr>
      <w:tr w:rsidR="00D01891" w:rsidRPr="00907E6A" w14:paraId="3C866DF0" w14:textId="77777777">
        <w:trPr>
          <w:trHeight w:val="806"/>
        </w:trPr>
        <w:tc>
          <w:tcPr>
            <w:tcW w:w="4508" w:type="dxa"/>
          </w:tcPr>
          <w:p w14:paraId="53B4D349" w14:textId="77777777" w:rsidR="00D01891" w:rsidRPr="00907E6A" w:rsidRDefault="00D01891" w:rsidP="00387F43">
            <w:pPr>
              <w:pStyle w:val="TableParagraph"/>
              <w:spacing w:before="11"/>
              <w:jc w:val="both"/>
              <w:rPr>
                <w:b/>
              </w:rPr>
            </w:pPr>
          </w:p>
          <w:p w14:paraId="5B1A6FB5" w14:textId="77777777" w:rsidR="00D01891" w:rsidRPr="00907E6A" w:rsidRDefault="00D57E60" w:rsidP="00387F43">
            <w:pPr>
              <w:pStyle w:val="TableParagraph"/>
              <w:ind w:left="107"/>
              <w:jc w:val="both"/>
            </w:pPr>
            <w:r w:rsidRPr="00907E6A">
              <w:t>Proposed action(s)</w:t>
            </w:r>
          </w:p>
        </w:tc>
        <w:tc>
          <w:tcPr>
            <w:tcW w:w="4510" w:type="dxa"/>
          </w:tcPr>
          <w:p w14:paraId="203C6AF1" w14:textId="77777777" w:rsidR="00D01891" w:rsidRPr="00907E6A" w:rsidRDefault="00D01891" w:rsidP="00387F43">
            <w:pPr>
              <w:pStyle w:val="TableParagraph"/>
              <w:spacing w:before="11"/>
              <w:jc w:val="both"/>
              <w:rPr>
                <w:b/>
              </w:rPr>
            </w:pPr>
          </w:p>
          <w:p w14:paraId="48DF6083" w14:textId="77777777" w:rsidR="00D01891" w:rsidRPr="00907E6A" w:rsidRDefault="00D57E60" w:rsidP="00387F43">
            <w:pPr>
              <w:pStyle w:val="TableParagraph"/>
              <w:ind w:left="107"/>
              <w:jc w:val="both"/>
            </w:pPr>
            <w:r w:rsidRPr="00907E6A">
              <w:t>No action required</w:t>
            </w:r>
          </w:p>
        </w:tc>
      </w:tr>
      <w:tr w:rsidR="00D01891" w:rsidRPr="00907E6A" w14:paraId="7E51EFBA" w14:textId="77777777">
        <w:trPr>
          <w:trHeight w:val="806"/>
        </w:trPr>
        <w:tc>
          <w:tcPr>
            <w:tcW w:w="4508" w:type="dxa"/>
          </w:tcPr>
          <w:p w14:paraId="0C345CB1" w14:textId="77777777" w:rsidR="00D01891" w:rsidRPr="00907E6A" w:rsidRDefault="00D01891" w:rsidP="00387F43">
            <w:pPr>
              <w:pStyle w:val="TableParagraph"/>
              <w:spacing w:before="11"/>
              <w:jc w:val="both"/>
              <w:rPr>
                <w:b/>
              </w:rPr>
            </w:pPr>
          </w:p>
          <w:p w14:paraId="4FD4B73C" w14:textId="77777777" w:rsidR="00D01891" w:rsidRPr="00907E6A" w:rsidRDefault="00D57E60" w:rsidP="00387F43">
            <w:pPr>
              <w:pStyle w:val="TableParagraph"/>
              <w:ind w:left="107"/>
              <w:jc w:val="both"/>
            </w:pPr>
            <w:r w:rsidRPr="00907E6A">
              <w:t>Author(s) of the paper</w:t>
            </w:r>
          </w:p>
        </w:tc>
        <w:tc>
          <w:tcPr>
            <w:tcW w:w="4510" w:type="dxa"/>
          </w:tcPr>
          <w:p w14:paraId="2E8656D5" w14:textId="77777777" w:rsidR="00D01891" w:rsidRPr="00907E6A" w:rsidRDefault="00D01891" w:rsidP="00387F43">
            <w:pPr>
              <w:pStyle w:val="TableParagraph"/>
              <w:spacing w:before="11"/>
              <w:jc w:val="both"/>
              <w:rPr>
                <w:b/>
              </w:rPr>
            </w:pPr>
          </w:p>
          <w:p w14:paraId="72BE01A4" w14:textId="77777777" w:rsidR="00D01891" w:rsidRPr="00907E6A" w:rsidRDefault="00D57E60" w:rsidP="00387F43">
            <w:pPr>
              <w:pStyle w:val="TableParagraph"/>
              <w:ind w:left="107"/>
              <w:jc w:val="both"/>
            </w:pPr>
            <w:r w:rsidRPr="00907E6A">
              <w:t>PSNC Pharmacy Funding Team</w:t>
            </w:r>
          </w:p>
        </w:tc>
      </w:tr>
    </w:tbl>
    <w:p w14:paraId="2866BC37" w14:textId="77777777" w:rsidR="00D01891" w:rsidRPr="00907E6A" w:rsidRDefault="00D01891" w:rsidP="00387F43">
      <w:pPr>
        <w:jc w:val="both"/>
        <w:sectPr w:rsidR="00D01891" w:rsidRPr="00907E6A" w:rsidSect="003D188B">
          <w:pgSz w:w="11910" w:h="16840"/>
          <w:pgMar w:top="720" w:right="720" w:bottom="720" w:left="720" w:header="0" w:footer="606" w:gutter="0"/>
          <w:cols w:space="720"/>
        </w:sectPr>
      </w:pPr>
    </w:p>
    <w:p w14:paraId="4795C57F" w14:textId="77777777" w:rsidR="00A61E6C" w:rsidRPr="00144898" w:rsidRDefault="00A61E6C" w:rsidP="00A61E6C">
      <w:pPr>
        <w:spacing w:before="1"/>
        <w:jc w:val="center"/>
        <w:rPr>
          <w:bCs/>
          <w:color w:val="31579B"/>
          <w:sz w:val="28"/>
          <w:szCs w:val="28"/>
        </w:rPr>
      </w:pPr>
      <w:r w:rsidRPr="00144898">
        <w:rPr>
          <w:bCs/>
          <w:color w:val="31579B"/>
          <w:sz w:val="28"/>
          <w:szCs w:val="28"/>
        </w:rPr>
        <w:t>Statistics</w:t>
      </w:r>
    </w:p>
    <w:p w14:paraId="57C66D5B" w14:textId="77777777" w:rsidR="00A61E6C" w:rsidRPr="00907E6A" w:rsidRDefault="00A61E6C" w:rsidP="00A61E6C">
      <w:pPr>
        <w:spacing w:before="1"/>
        <w:jc w:val="center"/>
        <w:rPr>
          <w:b/>
        </w:rPr>
      </w:pPr>
    </w:p>
    <w:p w14:paraId="725E1C30" w14:textId="77777777" w:rsidR="00A61E6C" w:rsidRDefault="00A61E6C" w:rsidP="00A61E6C">
      <w:pPr>
        <w:tabs>
          <w:tab w:val="left" w:pos="6887"/>
        </w:tabs>
        <w:ind w:left="567"/>
        <w:jc w:val="both"/>
      </w:pPr>
      <w:r w:rsidRPr="00282292">
        <w:rPr>
          <w:noProof/>
        </w:rPr>
        <w:drawing>
          <wp:inline distT="0" distB="0" distL="0" distR="0" wp14:anchorId="02B2ACA5" wp14:editId="7DFD2E3C">
            <wp:extent cx="6028099" cy="2225040"/>
            <wp:effectExtent l="19050" t="19050" r="10795" b="228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1198" cy="2248331"/>
                    </a:xfrm>
                    <a:prstGeom prst="rect">
                      <a:avLst/>
                    </a:prstGeom>
                    <a:ln>
                      <a:solidFill>
                        <a:schemeClr val="bg1">
                          <a:lumMod val="75000"/>
                        </a:schemeClr>
                      </a:solidFill>
                    </a:ln>
                  </pic:spPr>
                </pic:pic>
              </a:graphicData>
            </a:graphic>
          </wp:inline>
        </w:drawing>
      </w:r>
    </w:p>
    <w:p w14:paraId="1F6C5F5E" w14:textId="77777777" w:rsidR="00A61E6C" w:rsidRDefault="00A61E6C" w:rsidP="00A61E6C">
      <w:pPr>
        <w:tabs>
          <w:tab w:val="left" w:pos="6887"/>
        </w:tabs>
        <w:ind w:left="567"/>
        <w:jc w:val="both"/>
      </w:pPr>
    </w:p>
    <w:p w14:paraId="6705B78E" w14:textId="77777777" w:rsidR="00A61E6C" w:rsidRDefault="00A61E6C" w:rsidP="00A61E6C">
      <w:pPr>
        <w:tabs>
          <w:tab w:val="left" w:pos="6887"/>
        </w:tabs>
        <w:ind w:left="567"/>
        <w:jc w:val="both"/>
      </w:pPr>
    </w:p>
    <w:p w14:paraId="615FA74A" w14:textId="77777777" w:rsidR="00A61E6C" w:rsidRDefault="00A61E6C" w:rsidP="00A61E6C">
      <w:pPr>
        <w:tabs>
          <w:tab w:val="left" w:pos="6887"/>
        </w:tabs>
        <w:ind w:left="567"/>
        <w:jc w:val="both"/>
      </w:pPr>
      <w:r w:rsidRPr="00653038">
        <w:rPr>
          <w:noProof/>
        </w:rPr>
        <w:drawing>
          <wp:inline distT="0" distB="0" distL="0" distR="0" wp14:anchorId="632268C8" wp14:editId="13BC003A">
            <wp:extent cx="6038850" cy="2446613"/>
            <wp:effectExtent l="19050" t="19050" r="19050" b="114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31627" cy="2484201"/>
                    </a:xfrm>
                    <a:prstGeom prst="rect">
                      <a:avLst/>
                    </a:prstGeom>
                    <a:ln>
                      <a:solidFill>
                        <a:schemeClr val="bg1">
                          <a:lumMod val="75000"/>
                        </a:schemeClr>
                      </a:solidFill>
                    </a:ln>
                  </pic:spPr>
                </pic:pic>
              </a:graphicData>
            </a:graphic>
          </wp:inline>
        </w:drawing>
      </w:r>
    </w:p>
    <w:p w14:paraId="2DA1A085" w14:textId="77777777" w:rsidR="00A61E6C" w:rsidRDefault="00A61E6C" w:rsidP="00A61E6C">
      <w:pPr>
        <w:tabs>
          <w:tab w:val="left" w:pos="6887"/>
        </w:tabs>
        <w:ind w:left="567"/>
        <w:jc w:val="both"/>
      </w:pPr>
    </w:p>
    <w:p w14:paraId="2C97D19B" w14:textId="77777777" w:rsidR="00A61E6C" w:rsidRDefault="00A61E6C" w:rsidP="00A61E6C">
      <w:pPr>
        <w:tabs>
          <w:tab w:val="left" w:pos="6887"/>
        </w:tabs>
        <w:ind w:left="567"/>
        <w:jc w:val="both"/>
      </w:pPr>
    </w:p>
    <w:p w14:paraId="5750DF21" w14:textId="77777777" w:rsidR="00A61E6C" w:rsidRDefault="00A61E6C" w:rsidP="00A61E6C">
      <w:pPr>
        <w:ind w:left="567"/>
      </w:pPr>
      <w:r w:rsidRPr="000B5B69">
        <w:rPr>
          <w:noProof/>
        </w:rPr>
        <w:drawing>
          <wp:inline distT="0" distB="0" distL="0" distR="0" wp14:anchorId="2D90FEAD" wp14:editId="6B63691F">
            <wp:extent cx="6036373" cy="2553335"/>
            <wp:effectExtent l="19050" t="19050" r="21590" b="184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67442" cy="2566477"/>
                    </a:xfrm>
                    <a:prstGeom prst="rect">
                      <a:avLst/>
                    </a:prstGeom>
                    <a:ln>
                      <a:solidFill>
                        <a:schemeClr val="bg1">
                          <a:lumMod val="75000"/>
                        </a:schemeClr>
                      </a:solidFill>
                    </a:ln>
                  </pic:spPr>
                </pic:pic>
              </a:graphicData>
            </a:graphic>
          </wp:inline>
        </w:drawing>
      </w:r>
    </w:p>
    <w:p w14:paraId="548CDB31" w14:textId="77777777" w:rsidR="00A61E6C" w:rsidRPr="00BF77E0" w:rsidRDefault="00A61E6C" w:rsidP="00A61E6C">
      <w:pPr>
        <w:ind w:left="567"/>
      </w:pPr>
    </w:p>
    <w:p w14:paraId="3AC1B759" w14:textId="77777777" w:rsidR="00A61E6C" w:rsidRDefault="00A61E6C" w:rsidP="00A61E6C">
      <w:pPr>
        <w:rPr>
          <w:noProof/>
        </w:rPr>
      </w:pPr>
    </w:p>
    <w:p w14:paraId="34A3B54A" w14:textId="77777777" w:rsidR="00A61E6C" w:rsidRDefault="00A61E6C" w:rsidP="00A61E6C">
      <w:pPr>
        <w:tabs>
          <w:tab w:val="left" w:pos="9754"/>
        </w:tabs>
      </w:pPr>
      <w:r>
        <w:tab/>
      </w:r>
    </w:p>
    <w:p w14:paraId="076E9733" w14:textId="77777777" w:rsidR="00A61E6C" w:rsidRDefault="00A61E6C" w:rsidP="00A61E6C">
      <w:pPr>
        <w:tabs>
          <w:tab w:val="left" w:pos="9754"/>
        </w:tabs>
      </w:pPr>
    </w:p>
    <w:p w14:paraId="38AB45A9" w14:textId="77777777" w:rsidR="00A61E6C" w:rsidRDefault="00A61E6C" w:rsidP="00A61E6C">
      <w:pPr>
        <w:tabs>
          <w:tab w:val="left" w:pos="9754"/>
        </w:tabs>
      </w:pPr>
    </w:p>
    <w:p w14:paraId="1D9C3ED6" w14:textId="77777777" w:rsidR="00A61E6C" w:rsidRDefault="00A61E6C" w:rsidP="00A61E6C">
      <w:pPr>
        <w:tabs>
          <w:tab w:val="left" w:pos="9754"/>
        </w:tabs>
      </w:pPr>
    </w:p>
    <w:p w14:paraId="0E235470" w14:textId="77777777" w:rsidR="00A61E6C" w:rsidRPr="00907E6A" w:rsidRDefault="00A61E6C" w:rsidP="00A61E6C">
      <w:pPr>
        <w:jc w:val="both"/>
      </w:pPr>
    </w:p>
    <w:p w14:paraId="7C6B051B" w14:textId="48F25365" w:rsidR="00A61E6C" w:rsidRDefault="00A61E6C" w:rsidP="00A61E6C">
      <w:pPr>
        <w:tabs>
          <w:tab w:val="left" w:pos="7426"/>
        </w:tabs>
        <w:ind w:left="567"/>
        <w:jc w:val="both"/>
        <w:rPr>
          <w:noProof/>
        </w:rPr>
      </w:pPr>
      <w:r w:rsidRPr="00653038">
        <w:rPr>
          <w:noProof/>
        </w:rPr>
        <w:drawing>
          <wp:inline distT="0" distB="0" distL="0" distR="0" wp14:anchorId="0B1BCEDA" wp14:editId="569FBBBE">
            <wp:extent cx="5983605" cy="2714392"/>
            <wp:effectExtent l="19050" t="19050" r="17145"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41314" cy="2740571"/>
                    </a:xfrm>
                    <a:prstGeom prst="rect">
                      <a:avLst/>
                    </a:prstGeom>
                    <a:ln>
                      <a:solidFill>
                        <a:schemeClr val="bg1">
                          <a:lumMod val="75000"/>
                        </a:schemeClr>
                      </a:solidFill>
                    </a:ln>
                  </pic:spPr>
                </pic:pic>
              </a:graphicData>
            </a:graphic>
          </wp:inline>
        </w:drawing>
      </w:r>
    </w:p>
    <w:p w14:paraId="13762EB3" w14:textId="77777777" w:rsidR="00144898" w:rsidRDefault="00144898" w:rsidP="00A61E6C">
      <w:pPr>
        <w:tabs>
          <w:tab w:val="left" w:pos="7426"/>
        </w:tabs>
        <w:ind w:left="567"/>
        <w:jc w:val="both"/>
        <w:rPr>
          <w:noProof/>
        </w:rPr>
      </w:pPr>
    </w:p>
    <w:p w14:paraId="30AFD465" w14:textId="77777777" w:rsidR="00A61E6C" w:rsidRDefault="00A61E6C" w:rsidP="00A61E6C">
      <w:pPr>
        <w:tabs>
          <w:tab w:val="left" w:pos="7426"/>
        </w:tabs>
        <w:ind w:left="284"/>
        <w:jc w:val="both"/>
        <w:rPr>
          <w:noProof/>
        </w:rPr>
      </w:pPr>
    </w:p>
    <w:p w14:paraId="6473FCA2" w14:textId="77F2F49F" w:rsidR="00A61E6C" w:rsidRDefault="00A61E6C" w:rsidP="00A61E6C">
      <w:pPr>
        <w:tabs>
          <w:tab w:val="left" w:pos="7426"/>
        </w:tabs>
        <w:ind w:left="567"/>
        <w:jc w:val="both"/>
        <w:rPr>
          <w:noProof/>
        </w:rPr>
      </w:pPr>
      <w:r w:rsidRPr="00653038">
        <w:rPr>
          <w:noProof/>
        </w:rPr>
        <w:drawing>
          <wp:inline distT="0" distB="0" distL="0" distR="0" wp14:anchorId="262D76EE" wp14:editId="435EFC76">
            <wp:extent cx="5984186" cy="2846070"/>
            <wp:effectExtent l="19050" t="19050" r="17145" b="114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50366" cy="2877545"/>
                    </a:xfrm>
                    <a:prstGeom prst="rect">
                      <a:avLst/>
                    </a:prstGeom>
                    <a:ln>
                      <a:solidFill>
                        <a:schemeClr val="bg1">
                          <a:lumMod val="75000"/>
                        </a:schemeClr>
                      </a:solidFill>
                    </a:ln>
                  </pic:spPr>
                </pic:pic>
              </a:graphicData>
            </a:graphic>
          </wp:inline>
        </w:drawing>
      </w:r>
    </w:p>
    <w:p w14:paraId="3E9F6E73" w14:textId="77777777" w:rsidR="00144898" w:rsidRDefault="00144898" w:rsidP="00A61E6C">
      <w:pPr>
        <w:tabs>
          <w:tab w:val="left" w:pos="7426"/>
        </w:tabs>
        <w:ind w:left="567"/>
        <w:jc w:val="both"/>
        <w:rPr>
          <w:noProof/>
        </w:rPr>
      </w:pPr>
    </w:p>
    <w:p w14:paraId="50AFB9CD" w14:textId="77777777" w:rsidR="00A61E6C" w:rsidRDefault="00A61E6C" w:rsidP="00A61E6C">
      <w:pPr>
        <w:tabs>
          <w:tab w:val="left" w:pos="7426"/>
        </w:tabs>
        <w:ind w:left="284"/>
        <w:jc w:val="both"/>
        <w:rPr>
          <w:noProof/>
        </w:rPr>
      </w:pPr>
    </w:p>
    <w:p w14:paraId="0077DD58" w14:textId="77777777" w:rsidR="00A61E6C" w:rsidRDefault="00A61E6C" w:rsidP="00A61E6C">
      <w:pPr>
        <w:tabs>
          <w:tab w:val="left" w:pos="7426"/>
        </w:tabs>
        <w:ind w:left="567"/>
        <w:jc w:val="both"/>
        <w:rPr>
          <w:noProof/>
        </w:rPr>
      </w:pPr>
      <w:r w:rsidRPr="00653038">
        <w:rPr>
          <w:noProof/>
        </w:rPr>
        <w:drawing>
          <wp:inline distT="0" distB="0" distL="0" distR="0" wp14:anchorId="3EAAC8FD" wp14:editId="4A0D368F">
            <wp:extent cx="5983605" cy="3023994"/>
            <wp:effectExtent l="19050" t="19050" r="17145" b="241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41926" cy="3053468"/>
                    </a:xfrm>
                    <a:prstGeom prst="rect">
                      <a:avLst/>
                    </a:prstGeom>
                    <a:ln>
                      <a:solidFill>
                        <a:schemeClr val="bg1">
                          <a:lumMod val="75000"/>
                        </a:schemeClr>
                      </a:solidFill>
                    </a:ln>
                  </pic:spPr>
                </pic:pic>
              </a:graphicData>
            </a:graphic>
          </wp:inline>
        </w:drawing>
      </w:r>
    </w:p>
    <w:p w14:paraId="117333B7" w14:textId="77777777" w:rsidR="00A61E6C" w:rsidRDefault="00A61E6C" w:rsidP="00A61E6C">
      <w:pPr>
        <w:tabs>
          <w:tab w:val="left" w:pos="7426"/>
        </w:tabs>
        <w:ind w:left="284"/>
        <w:jc w:val="both"/>
        <w:rPr>
          <w:noProof/>
        </w:rPr>
      </w:pPr>
    </w:p>
    <w:p w14:paraId="0B93B68C" w14:textId="4090C971" w:rsidR="00A61E6C" w:rsidRDefault="00A61E6C" w:rsidP="00A61E6C">
      <w:pPr>
        <w:tabs>
          <w:tab w:val="left" w:pos="7426"/>
        </w:tabs>
        <w:ind w:left="567"/>
        <w:jc w:val="both"/>
        <w:rPr>
          <w:noProof/>
        </w:rPr>
      </w:pPr>
      <w:r w:rsidRPr="00653038">
        <w:rPr>
          <w:noProof/>
        </w:rPr>
        <w:drawing>
          <wp:inline distT="0" distB="0" distL="0" distR="0" wp14:anchorId="0531EE9C" wp14:editId="11FA64AD">
            <wp:extent cx="5695950" cy="2748442"/>
            <wp:effectExtent l="19050" t="19050" r="19050" b="139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71055" cy="2784682"/>
                    </a:xfrm>
                    <a:prstGeom prst="rect">
                      <a:avLst/>
                    </a:prstGeom>
                    <a:ln>
                      <a:solidFill>
                        <a:schemeClr val="bg1">
                          <a:lumMod val="75000"/>
                        </a:schemeClr>
                      </a:solidFill>
                    </a:ln>
                  </pic:spPr>
                </pic:pic>
              </a:graphicData>
            </a:graphic>
          </wp:inline>
        </w:drawing>
      </w:r>
    </w:p>
    <w:p w14:paraId="0D8CD683" w14:textId="77777777" w:rsidR="00144898" w:rsidRDefault="00144898" w:rsidP="00A61E6C">
      <w:pPr>
        <w:tabs>
          <w:tab w:val="left" w:pos="7426"/>
        </w:tabs>
        <w:ind w:left="567"/>
        <w:jc w:val="both"/>
        <w:rPr>
          <w:noProof/>
        </w:rPr>
      </w:pPr>
    </w:p>
    <w:p w14:paraId="3CCEC747" w14:textId="77777777" w:rsidR="00A61E6C" w:rsidRDefault="00A61E6C" w:rsidP="00A61E6C">
      <w:pPr>
        <w:tabs>
          <w:tab w:val="left" w:pos="7426"/>
        </w:tabs>
        <w:ind w:left="284"/>
        <w:jc w:val="both"/>
        <w:rPr>
          <w:noProof/>
        </w:rPr>
      </w:pPr>
    </w:p>
    <w:p w14:paraId="34F7D790" w14:textId="7E0B0F62" w:rsidR="00144898" w:rsidRDefault="00A61E6C" w:rsidP="00144898">
      <w:pPr>
        <w:tabs>
          <w:tab w:val="left" w:pos="1418"/>
          <w:tab w:val="left" w:pos="7426"/>
        </w:tabs>
        <w:ind w:left="567"/>
        <w:jc w:val="both"/>
        <w:rPr>
          <w:noProof/>
        </w:rPr>
      </w:pPr>
      <w:r w:rsidRPr="00653038">
        <w:rPr>
          <w:noProof/>
        </w:rPr>
        <w:drawing>
          <wp:inline distT="0" distB="0" distL="0" distR="0" wp14:anchorId="557FC06F" wp14:editId="788AC095">
            <wp:extent cx="5715000" cy="2834604"/>
            <wp:effectExtent l="19050" t="19050" r="19050" b="234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18622" cy="2886000"/>
                    </a:xfrm>
                    <a:prstGeom prst="rect">
                      <a:avLst/>
                    </a:prstGeom>
                    <a:ln>
                      <a:solidFill>
                        <a:schemeClr val="bg1">
                          <a:lumMod val="75000"/>
                        </a:schemeClr>
                      </a:solidFill>
                    </a:ln>
                  </pic:spPr>
                </pic:pic>
              </a:graphicData>
            </a:graphic>
          </wp:inline>
        </w:drawing>
      </w:r>
    </w:p>
    <w:p w14:paraId="095A1B2A" w14:textId="76E21B71" w:rsidR="00144898" w:rsidRDefault="00144898" w:rsidP="00144898">
      <w:pPr>
        <w:tabs>
          <w:tab w:val="left" w:pos="1418"/>
          <w:tab w:val="left" w:pos="7426"/>
        </w:tabs>
        <w:ind w:left="567"/>
        <w:jc w:val="both"/>
        <w:rPr>
          <w:noProof/>
        </w:rPr>
      </w:pPr>
    </w:p>
    <w:p w14:paraId="5B43A4A0" w14:textId="77777777" w:rsidR="00144898" w:rsidRDefault="00144898" w:rsidP="00144898">
      <w:pPr>
        <w:tabs>
          <w:tab w:val="left" w:pos="1418"/>
          <w:tab w:val="left" w:pos="7426"/>
        </w:tabs>
        <w:ind w:left="567"/>
        <w:jc w:val="both"/>
        <w:rPr>
          <w:noProof/>
        </w:rPr>
      </w:pPr>
    </w:p>
    <w:p w14:paraId="63BFC9A4" w14:textId="352A5B28" w:rsidR="00A61E6C" w:rsidRDefault="00A61E6C" w:rsidP="00144898">
      <w:pPr>
        <w:tabs>
          <w:tab w:val="left" w:pos="1418"/>
          <w:tab w:val="left" w:pos="7426"/>
        </w:tabs>
        <w:ind w:left="567"/>
        <w:jc w:val="both"/>
        <w:rPr>
          <w:noProof/>
        </w:rPr>
      </w:pPr>
      <w:r w:rsidRPr="00653038">
        <w:rPr>
          <w:noProof/>
        </w:rPr>
        <w:drawing>
          <wp:inline distT="0" distB="0" distL="0" distR="0" wp14:anchorId="0616D641" wp14:editId="4C3B3C45">
            <wp:extent cx="5334000" cy="3067175"/>
            <wp:effectExtent l="19050" t="19050" r="19050" b="19050"/>
            <wp:docPr id="599868704" name="Picture 59986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97381" cy="3103620"/>
                    </a:xfrm>
                    <a:prstGeom prst="rect">
                      <a:avLst/>
                    </a:prstGeom>
                    <a:ln>
                      <a:solidFill>
                        <a:schemeClr val="bg1">
                          <a:lumMod val="75000"/>
                        </a:schemeClr>
                      </a:solidFill>
                    </a:ln>
                  </pic:spPr>
                </pic:pic>
              </a:graphicData>
            </a:graphic>
          </wp:inline>
        </w:drawing>
      </w:r>
    </w:p>
    <w:p w14:paraId="4FA78ED0" w14:textId="11DE1569" w:rsidR="00A61E6C" w:rsidRDefault="00A61E6C" w:rsidP="00A61E6C">
      <w:pPr>
        <w:tabs>
          <w:tab w:val="left" w:pos="7426"/>
        </w:tabs>
        <w:ind w:left="284"/>
        <w:jc w:val="both"/>
        <w:rPr>
          <w:noProof/>
        </w:rPr>
      </w:pPr>
      <w:r w:rsidRPr="00653038">
        <w:rPr>
          <w:noProof/>
        </w:rPr>
        <w:drawing>
          <wp:inline distT="0" distB="0" distL="0" distR="0" wp14:anchorId="1536F38A" wp14:editId="70C2E214">
            <wp:extent cx="6208899" cy="2828925"/>
            <wp:effectExtent l="19050" t="19050" r="20955" b="9525"/>
            <wp:docPr id="599868705" name="Picture 59986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15603" cy="2877542"/>
                    </a:xfrm>
                    <a:prstGeom prst="rect">
                      <a:avLst/>
                    </a:prstGeom>
                    <a:ln>
                      <a:solidFill>
                        <a:schemeClr val="bg1">
                          <a:lumMod val="75000"/>
                        </a:schemeClr>
                      </a:solidFill>
                    </a:ln>
                  </pic:spPr>
                </pic:pic>
              </a:graphicData>
            </a:graphic>
          </wp:inline>
        </w:drawing>
      </w:r>
    </w:p>
    <w:p w14:paraId="0FE82142" w14:textId="77777777" w:rsidR="00144898" w:rsidRDefault="00144898" w:rsidP="00A61E6C">
      <w:pPr>
        <w:tabs>
          <w:tab w:val="left" w:pos="7426"/>
        </w:tabs>
        <w:ind w:left="284"/>
        <w:jc w:val="both"/>
        <w:rPr>
          <w:noProof/>
        </w:rPr>
      </w:pPr>
    </w:p>
    <w:p w14:paraId="6A1EB387" w14:textId="77777777" w:rsidR="00A61E6C" w:rsidRDefault="00A61E6C" w:rsidP="00A61E6C">
      <w:pPr>
        <w:tabs>
          <w:tab w:val="left" w:pos="7426"/>
        </w:tabs>
        <w:ind w:left="284"/>
        <w:jc w:val="both"/>
        <w:rPr>
          <w:noProof/>
        </w:rPr>
      </w:pPr>
    </w:p>
    <w:p w14:paraId="36DA2673" w14:textId="5B66DE6B" w:rsidR="00A61E6C" w:rsidRDefault="00A61E6C" w:rsidP="00144898">
      <w:pPr>
        <w:tabs>
          <w:tab w:val="left" w:pos="7426"/>
        </w:tabs>
        <w:ind w:left="284"/>
        <w:jc w:val="both"/>
        <w:rPr>
          <w:noProof/>
        </w:rPr>
      </w:pPr>
      <w:r w:rsidRPr="00653038">
        <w:rPr>
          <w:noProof/>
        </w:rPr>
        <w:drawing>
          <wp:inline distT="0" distB="0" distL="0" distR="0" wp14:anchorId="71B79485" wp14:editId="0DC730FA">
            <wp:extent cx="6248400" cy="2847434"/>
            <wp:effectExtent l="19050" t="19050" r="19050" b="10160"/>
            <wp:docPr id="599868706" name="Picture 59986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66925" cy="2901447"/>
                    </a:xfrm>
                    <a:prstGeom prst="rect">
                      <a:avLst/>
                    </a:prstGeom>
                    <a:ln>
                      <a:solidFill>
                        <a:schemeClr val="bg1">
                          <a:lumMod val="75000"/>
                        </a:schemeClr>
                      </a:solidFill>
                    </a:ln>
                  </pic:spPr>
                </pic:pic>
              </a:graphicData>
            </a:graphic>
          </wp:inline>
        </w:drawing>
      </w:r>
    </w:p>
    <w:p w14:paraId="146FA316" w14:textId="77777777" w:rsidR="00144898" w:rsidRDefault="00144898" w:rsidP="00144898">
      <w:pPr>
        <w:tabs>
          <w:tab w:val="left" w:pos="7426"/>
        </w:tabs>
        <w:ind w:left="284"/>
        <w:jc w:val="both"/>
        <w:rPr>
          <w:noProof/>
        </w:rPr>
      </w:pPr>
    </w:p>
    <w:p w14:paraId="6A01CC89" w14:textId="77777777" w:rsidR="00A61E6C" w:rsidRDefault="00A61E6C" w:rsidP="00A61E6C">
      <w:pPr>
        <w:tabs>
          <w:tab w:val="left" w:pos="7426"/>
        </w:tabs>
        <w:ind w:left="284"/>
        <w:jc w:val="both"/>
        <w:rPr>
          <w:noProof/>
        </w:rPr>
      </w:pPr>
    </w:p>
    <w:p w14:paraId="62109DE7" w14:textId="77777777" w:rsidR="00A61E6C" w:rsidRDefault="00A61E6C" w:rsidP="00144898">
      <w:pPr>
        <w:tabs>
          <w:tab w:val="left" w:pos="7426"/>
        </w:tabs>
        <w:ind w:left="1134" w:hanging="850"/>
        <w:rPr>
          <w:noProof/>
        </w:rPr>
      </w:pPr>
      <w:r w:rsidRPr="00653038">
        <w:rPr>
          <w:noProof/>
        </w:rPr>
        <w:drawing>
          <wp:inline distT="0" distB="0" distL="0" distR="0" wp14:anchorId="17B85FB8" wp14:editId="5AF94AB1">
            <wp:extent cx="5927276" cy="2714625"/>
            <wp:effectExtent l="19050" t="19050" r="16510" b="9525"/>
            <wp:docPr id="599868707" name="Picture 59986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3866"/>
                    <a:stretch/>
                  </pic:blipFill>
                  <pic:spPr bwMode="auto">
                    <a:xfrm>
                      <a:off x="0" y="0"/>
                      <a:ext cx="5987212" cy="2742075"/>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286839B" w14:textId="77777777" w:rsidR="00A61E6C" w:rsidRDefault="00A61E6C" w:rsidP="00144898">
      <w:pPr>
        <w:tabs>
          <w:tab w:val="left" w:pos="7426"/>
        </w:tabs>
        <w:ind w:left="851" w:hanging="567"/>
        <w:jc w:val="both"/>
        <w:rPr>
          <w:noProof/>
        </w:rPr>
      </w:pPr>
      <w:r w:rsidRPr="00653038">
        <w:rPr>
          <w:noProof/>
        </w:rPr>
        <w:drawing>
          <wp:inline distT="0" distB="0" distL="0" distR="0" wp14:anchorId="15541A50" wp14:editId="67F0DB49">
            <wp:extent cx="5727035" cy="2685999"/>
            <wp:effectExtent l="19050" t="19050" r="26670" b="19685"/>
            <wp:docPr id="599868708" name="Picture 599868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90144" cy="2715597"/>
                    </a:xfrm>
                    <a:prstGeom prst="rect">
                      <a:avLst/>
                    </a:prstGeom>
                    <a:ln>
                      <a:solidFill>
                        <a:sysClr val="window" lastClr="FFFFFF">
                          <a:lumMod val="75000"/>
                        </a:sysClr>
                      </a:solidFill>
                    </a:ln>
                  </pic:spPr>
                </pic:pic>
              </a:graphicData>
            </a:graphic>
          </wp:inline>
        </w:drawing>
      </w:r>
    </w:p>
    <w:p w14:paraId="6D739F3B" w14:textId="77777777" w:rsidR="00A61E6C" w:rsidRPr="00907E6A" w:rsidRDefault="00A61E6C" w:rsidP="00A61E6C">
      <w:pPr>
        <w:tabs>
          <w:tab w:val="left" w:pos="7426"/>
        </w:tabs>
        <w:ind w:left="284"/>
        <w:jc w:val="both"/>
        <w:rPr>
          <w:noProof/>
        </w:rPr>
      </w:pPr>
    </w:p>
    <w:p w14:paraId="5096C497" w14:textId="29C1018D" w:rsidR="00444D0B" w:rsidRPr="00444D0B" w:rsidRDefault="00444D0B" w:rsidP="00444D0B">
      <w:pPr>
        <w:pStyle w:val="Heading2"/>
        <w:ind w:right="1134"/>
      </w:pPr>
      <w:r>
        <w:tab/>
      </w:r>
    </w:p>
    <w:p w14:paraId="24EC9DD9" w14:textId="77777777" w:rsidR="00B106F3" w:rsidRDefault="00B106F3" w:rsidP="00144898">
      <w:pPr>
        <w:pStyle w:val="BodyText"/>
        <w:tabs>
          <w:tab w:val="left" w:pos="10773"/>
        </w:tabs>
        <w:spacing w:before="8"/>
        <w:ind w:left="1134" w:right="1134" w:hanging="850"/>
        <w:rPr>
          <w:b/>
        </w:rPr>
      </w:pPr>
      <w:r>
        <w:rPr>
          <w:noProof/>
        </w:rPr>
        <w:drawing>
          <wp:inline distT="0" distB="0" distL="0" distR="0" wp14:anchorId="1096300E" wp14:editId="317229AE">
            <wp:extent cx="5925954" cy="2783205"/>
            <wp:effectExtent l="19050" t="19050" r="17780" b="17145"/>
            <wp:docPr id="29965278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2">
                      <a:extLst>
                        <a:ext uri="{28A0092B-C50C-407E-A947-70E740481C1C}">
                          <a14:useLocalDpi xmlns:a14="http://schemas.microsoft.com/office/drawing/2010/main" val="0"/>
                        </a:ext>
                      </a:extLst>
                    </a:blip>
                    <a:stretch>
                      <a:fillRect/>
                    </a:stretch>
                  </pic:blipFill>
                  <pic:spPr>
                    <a:xfrm>
                      <a:off x="0" y="0"/>
                      <a:ext cx="5931827" cy="2785963"/>
                    </a:xfrm>
                    <a:prstGeom prst="rect">
                      <a:avLst/>
                    </a:prstGeom>
                    <a:ln>
                      <a:solidFill>
                        <a:sysClr val="window" lastClr="FFFFFF">
                          <a:lumMod val="75000"/>
                        </a:sysClr>
                      </a:solidFill>
                    </a:ln>
                  </pic:spPr>
                </pic:pic>
              </a:graphicData>
            </a:graphic>
          </wp:inline>
        </w:drawing>
      </w:r>
    </w:p>
    <w:p w14:paraId="02359D7C" w14:textId="77777777" w:rsidR="00B106F3" w:rsidRDefault="00B106F3" w:rsidP="00444D0B">
      <w:pPr>
        <w:pStyle w:val="BodyText"/>
        <w:spacing w:before="8"/>
        <w:ind w:left="567" w:right="1134"/>
        <w:rPr>
          <w:b/>
        </w:rPr>
      </w:pPr>
    </w:p>
    <w:p w14:paraId="28BC3FB3" w14:textId="77777777" w:rsidR="00881263" w:rsidRDefault="00881263" w:rsidP="00444D0B">
      <w:pPr>
        <w:pStyle w:val="BodyText"/>
        <w:spacing w:before="8"/>
        <w:ind w:left="567" w:right="1134"/>
        <w:rPr>
          <w:b/>
        </w:rPr>
      </w:pPr>
    </w:p>
    <w:p w14:paraId="6F7296E2" w14:textId="247045E1" w:rsidR="002E5557" w:rsidRDefault="00905EA5" w:rsidP="00144898">
      <w:pPr>
        <w:pStyle w:val="BodyText"/>
        <w:spacing w:before="8"/>
        <w:ind w:left="1134" w:right="1134" w:hanging="850"/>
        <w:rPr>
          <w:b/>
        </w:rPr>
      </w:pPr>
      <w:r>
        <w:rPr>
          <w:noProof/>
        </w:rPr>
        <w:drawing>
          <wp:inline distT="0" distB="0" distL="0" distR="0" wp14:anchorId="505B6D28" wp14:editId="24BAB511">
            <wp:extent cx="5885137" cy="2500630"/>
            <wp:effectExtent l="19050" t="19050" r="20955" b="13970"/>
            <wp:docPr id="19105379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3">
                      <a:extLst>
                        <a:ext uri="{28A0092B-C50C-407E-A947-70E740481C1C}">
                          <a14:useLocalDpi xmlns:a14="http://schemas.microsoft.com/office/drawing/2010/main" val="0"/>
                        </a:ext>
                      </a:extLst>
                    </a:blip>
                    <a:stretch>
                      <a:fillRect/>
                    </a:stretch>
                  </pic:blipFill>
                  <pic:spPr>
                    <a:xfrm>
                      <a:off x="0" y="0"/>
                      <a:ext cx="5894432" cy="2504579"/>
                    </a:xfrm>
                    <a:prstGeom prst="rect">
                      <a:avLst/>
                    </a:prstGeom>
                    <a:ln>
                      <a:solidFill>
                        <a:sysClr val="window" lastClr="FFFFFF">
                          <a:lumMod val="75000"/>
                        </a:sysClr>
                      </a:solidFill>
                    </a:ln>
                  </pic:spPr>
                </pic:pic>
              </a:graphicData>
            </a:graphic>
          </wp:inline>
        </w:drawing>
      </w:r>
    </w:p>
    <w:p w14:paraId="273400FB" w14:textId="77777777" w:rsidR="00B106F3" w:rsidRPr="00907E6A" w:rsidRDefault="00B106F3" w:rsidP="00905EA5">
      <w:pPr>
        <w:pStyle w:val="BodyText"/>
        <w:spacing w:before="8"/>
        <w:ind w:left="567" w:right="717"/>
        <w:jc w:val="both"/>
        <w:rPr>
          <w:b/>
        </w:rPr>
      </w:pPr>
    </w:p>
    <w:sectPr w:rsidR="00B106F3" w:rsidRPr="00907E6A" w:rsidSect="003D188B">
      <w:pgSz w:w="11910" w:h="16840"/>
      <w:pgMar w:top="720" w:right="720" w:bottom="720" w:left="72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2826" w14:textId="77777777" w:rsidR="00904A02" w:rsidRDefault="00904A02">
      <w:r>
        <w:separator/>
      </w:r>
    </w:p>
  </w:endnote>
  <w:endnote w:type="continuationSeparator" w:id="0">
    <w:p w14:paraId="0666174A" w14:textId="77777777" w:rsidR="00904A02" w:rsidRDefault="00904A02">
      <w:r>
        <w:continuationSeparator/>
      </w:r>
    </w:p>
  </w:endnote>
  <w:endnote w:type="continuationNotice" w:id="1">
    <w:p w14:paraId="0B311154" w14:textId="77777777" w:rsidR="00904A02" w:rsidRDefault="00904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B221" w14:textId="05C3A7D8" w:rsidR="002719F3" w:rsidRDefault="002719F3">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31EF0029" wp14:editId="3E0AAB56">
              <wp:simplePos x="0" y="0"/>
              <wp:positionH relativeFrom="margin">
                <wp:align>center</wp:align>
              </wp:positionH>
              <wp:positionV relativeFrom="page">
                <wp:posOffset>10262870</wp:posOffset>
              </wp:positionV>
              <wp:extent cx="725170" cy="152400"/>
              <wp:effectExtent l="0" t="0" r="177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C822" w14:textId="516229F4" w:rsidR="002719F3" w:rsidRDefault="002719F3">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71</w:t>
                          </w:r>
                        </w:p>
                        <w:p w14:paraId="7C3A8A25" w14:textId="26168E75" w:rsidR="002719F3" w:rsidRDefault="002719F3">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0029" id="_x0000_t202" coordsize="21600,21600" o:spt="202" path="m,l,21600r21600,l21600,xe">
              <v:stroke joinstyle="miter"/>
              <v:path gradientshapeok="t" o:connecttype="rect"/>
            </v:shapetype>
            <v:shape id="Text Box 2" o:spid="_x0000_s1026" type="#_x0000_t202" style="position:absolute;margin-left:0;margin-top:808.1pt;width:57.1pt;height:1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" filled="f" stroked="f">
              <v:textbox inset="0,0,0,0">
                <w:txbxContent>
                  <w:p w14:paraId="733FC822" w14:textId="516229F4" w:rsidR="002719F3" w:rsidRDefault="002719F3">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71</w:t>
                    </w:r>
                  </w:p>
                  <w:p w14:paraId="7C3A8A25" w14:textId="26168E75" w:rsidR="002719F3" w:rsidRDefault="002719F3">
                    <w:pPr>
                      <w:spacing w:line="223" w:lineRule="exact"/>
                      <w:ind w:left="20"/>
                      <w:rPr>
                        <w:sz w:val="20"/>
                      </w:rPr>
                    </w:pPr>
                  </w:p>
                </w:txbxContent>
              </v:textbox>
              <w10:wrap anchorx="margin" anchory="page"/>
            </v:shape>
          </w:pict>
        </mc:Fallback>
      </mc:AlternateContent>
    </w:r>
    <w:r>
      <w:rPr>
        <w:noProof/>
      </w:rPr>
      <mc:AlternateContent>
        <mc:Choice Requires="wps">
          <w:drawing>
            <wp:anchor distT="0" distB="0" distL="114300" distR="114300" simplePos="0" relativeHeight="251669504" behindDoc="1" locked="0" layoutInCell="1" allowOverlap="1" wp14:anchorId="38E60434" wp14:editId="7AB221C7">
              <wp:simplePos x="0" y="0"/>
              <wp:positionH relativeFrom="page">
                <wp:posOffset>485775</wp:posOffset>
              </wp:positionH>
              <wp:positionV relativeFrom="page">
                <wp:posOffset>10233660</wp:posOffset>
              </wp:positionV>
              <wp:extent cx="856615"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9F48" w14:textId="77777777" w:rsidR="002719F3" w:rsidRDefault="002719F3">
                          <w:pPr>
                            <w:spacing w:line="223" w:lineRule="exact"/>
                            <w:ind w:left="20"/>
                            <w:rPr>
                              <w:sz w:val="20"/>
                            </w:rPr>
                          </w:pPr>
                          <w:r>
                            <w:rPr>
                              <w:color w:val="5B518E"/>
                              <w:sz w:val="20"/>
                            </w:rPr>
                            <w:t>FunCon</w:t>
                          </w:r>
                          <w:r>
                            <w:rPr>
                              <w:color w:val="5B518E"/>
                              <w:spacing w:val="-9"/>
                              <w:sz w:val="20"/>
                            </w:rPr>
                            <w:t xml:space="preserve"> </w:t>
                          </w:r>
                          <w:r>
                            <w:rPr>
                              <w:color w:val="5B518E"/>
                              <w:sz w:val="20"/>
                            </w:rPr>
                            <w:t>Agenda</w:t>
                          </w:r>
                        </w:p>
                        <w:p w14:paraId="26F76B58" w14:textId="23E8C412" w:rsidR="002719F3" w:rsidRDefault="002719F3">
                          <w:pPr>
                            <w:ind w:left="20"/>
                            <w:rPr>
                              <w:sz w:val="20"/>
                            </w:rPr>
                          </w:pPr>
                          <w:r>
                            <w:rPr>
                              <w:color w:val="5B518E"/>
                              <w:sz w:val="20"/>
                            </w:rPr>
                            <w:t>May</w:t>
                          </w:r>
                          <w:r>
                            <w:rPr>
                              <w:color w:val="5B518E"/>
                              <w:spacing w:val="-8"/>
                              <w:sz w:val="20"/>
                            </w:rPr>
                            <w:t xml:space="preserve"> </w:t>
                          </w:r>
                          <w:r>
                            <w:rPr>
                              <w:color w:val="5B518E"/>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0434" id="Text Box 1" o:spid="_x0000_s1027" type="#_x0000_t202" style="position:absolute;margin-left:38.25pt;margin-top:805.8pt;width:67.45pt;height:24.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1M6gEAALwDAAAOAAAAZHJzL2Uyb0RvYy54bWysU1Fv0zAQfkfiP1h+p2k7Vqa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" filled="f" stroked="f">
              <v:textbox inset="0,0,0,0">
                <w:txbxContent>
                  <w:p w14:paraId="6B7C9F48" w14:textId="77777777" w:rsidR="002719F3" w:rsidRDefault="002719F3">
                    <w:pPr>
                      <w:spacing w:line="223" w:lineRule="exact"/>
                      <w:ind w:left="20"/>
                      <w:rPr>
                        <w:sz w:val="20"/>
                      </w:rPr>
                    </w:pPr>
                    <w:r>
                      <w:rPr>
                        <w:color w:val="5B518E"/>
                        <w:sz w:val="20"/>
                      </w:rPr>
                      <w:t>FunCon</w:t>
                    </w:r>
                    <w:r>
                      <w:rPr>
                        <w:color w:val="5B518E"/>
                        <w:spacing w:val="-9"/>
                        <w:sz w:val="20"/>
                      </w:rPr>
                      <w:t xml:space="preserve"> </w:t>
                    </w:r>
                    <w:r>
                      <w:rPr>
                        <w:color w:val="5B518E"/>
                        <w:sz w:val="20"/>
                      </w:rPr>
                      <w:t>Agenda</w:t>
                    </w:r>
                  </w:p>
                  <w:p w14:paraId="26F76B58" w14:textId="23E8C412" w:rsidR="002719F3" w:rsidRDefault="002719F3">
                    <w:pPr>
                      <w:ind w:left="20"/>
                      <w:rPr>
                        <w:sz w:val="20"/>
                      </w:rPr>
                    </w:pPr>
                    <w:r>
                      <w:rPr>
                        <w:color w:val="5B518E"/>
                        <w:sz w:val="20"/>
                      </w:rPr>
                      <w:t>May</w:t>
                    </w:r>
                    <w:r>
                      <w:rPr>
                        <w:color w:val="5B518E"/>
                        <w:spacing w:val="-8"/>
                        <w:sz w:val="20"/>
                      </w:rPr>
                      <w:t xml:space="preserve"> </w:t>
                    </w:r>
                    <w:r>
                      <w:rPr>
                        <w:color w:val="5B518E"/>
                        <w:sz w:val="20"/>
                      </w:rPr>
                      <w:t>2020</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566C060" wp14:editId="19C81F8D">
              <wp:simplePos x="0" y="0"/>
              <wp:positionH relativeFrom="page">
                <wp:posOffset>496570</wp:posOffset>
              </wp:positionH>
              <wp:positionV relativeFrom="page">
                <wp:posOffset>10130155</wp:posOffset>
              </wp:positionV>
              <wp:extent cx="655193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EF90" id="Rectangle 3" o:spid="_x0000_s1026" style="position:absolute;margin-left:39.1pt;margin-top:797.65pt;width:515.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" fillcolor="black" stroked="f">
              <w10:wrap anchorx="page" anchory="page"/>
            </v:rect>
          </w:pict>
        </mc:Fallback>
      </mc:AlternateContent>
    </w:r>
    <w:r>
      <w:rPr>
        <w:noProof/>
      </w:rPr>
      <w:drawing>
        <wp:anchor distT="0" distB="0" distL="0" distR="0" simplePos="0" relativeHeight="251651072" behindDoc="1" locked="0" layoutInCell="1" allowOverlap="1" wp14:anchorId="04BE6956" wp14:editId="1117D605">
          <wp:simplePos x="0" y="0"/>
          <wp:positionH relativeFrom="page">
            <wp:posOffset>6601459</wp:posOffset>
          </wp:positionH>
          <wp:positionV relativeFrom="page">
            <wp:posOffset>10181005</wp:posOffset>
          </wp:positionV>
          <wp:extent cx="462594" cy="333375"/>
          <wp:effectExtent l="0" t="0" r="0" b="0"/>
          <wp:wrapNone/>
          <wp:docPr id="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2594" cy="333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B2922" w14:textId="77777777" w:rsidR="00904A02" w:rsidRDefault="00904A02">
      <w:r>
        <w:separator/>
      </w:r>
    </w:p>
  </w:footnote>
  <w:footnote w:type="continuationSeparator" w:id="0">
    <w:p w14:paraId="0A34C426" w14:textId="77777777" w:rsidR="00904A02" w:rsidRDefault="00904A02">
      <w:r>
        <w:continuationSeparator/>
      </w:r>
    </w:p>
  </w:footnote>
  <w:footnote w:type="continuationNotice" w:id="1">
    <w:p w14:paraId="5E06266D" w14:textId="77777777" w:rsidR="00904A02" w:rsidRDefault="00904A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352"/>
    <w:multiLevelType w:val="hybridMultilevel"/>
    <w:tmpl w:val="58B2FF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3D6E3C"/>
    <w:multiLevelType w:val="hybridMultilevel"/>
    <w:tmpl w:val="D5466BF4"/>
    <w:lvl w:ilvl="0" w:tplc="E8300F74">
      <w:start w:val="1"/>
      <w:numFmt w:val="decimal"/>
      <w:lvlText w:val="%1."/>
      <w:lvlJc w:val="left"/>
      <w:pPr>
        <w:ind w:left="720" w:hanging="360"/>
      </w:pPr>
      <w:rPr>
        <w:sz w:val="32"/>
        <w:szCs w:val="3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364B1"/>
    <w:multiLevelType w:val="hybridMultilevel"/>
    <w:tmpl w:val="664626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ED00CF"/>
    <w:multiLevelType w:val="hybridMultilevel"/>
    <w:tmpl w:val="8374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03D8C"/>
    <w:multiLevelType w:val="hybridMultilevel"/>
    <w:tmpl w:val="BA002A26"/>
    <w:lvl w:ilvl="0" w:tplc="D2BE4924">
      <w:numFmt w:val="bullet"/>
      <w:lvlText w:val="-"/>
      <w:lvlJc w:val="left"/>
      <w:pPr>
        <w:ind w:left="1440" w:hanging="360"/>
      </w:pPr>
      <w:rPr>
        <w:rFonts w:ascii="Calibri" w:eastAsia="Calibri" w:hAnsi="Calibri" w:cs="Calibr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31DDB"/>
    <w:multiLevelType w:val="hybridMultilevel"/>
    <w:tmpl w:val="47026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ED1265"/>
    <w:multiLevelType w:val="hybridMultilevel"/>
    <w:tmpl w:val="D980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137FC"/>
    <w:multiLevelType w:val="hybridMultilevel"/>
    <w:tmpl w:val="FAAE7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35781"/>
    <w:multiLevelType w:val="hybridMultilevel"/>
    <w:tmpl w:val="5DD66B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F902D0"/>
    <w:multiLevelType w:val="hybridMultilevel"/>
    <w:tmpl w:val="4660299A"/>
    <w:lvl w:ilvl="0" w:tplc="C3808C56">
      <w:start w:val="1"/>
      <w:numFmt w:val="decimal"/>
      <w:lvlText w:val="%1."/>
      <w:lvlJc w:val="left"/>
      <w:pPr>
        <w:ind w:left="1494" w:hanging="360"/>
      </w:pPr>
      <w:rPr>
        <w:rFonts w:ascii="Calibri" w:eastAsia="Calibri" w:hAnsi="Calibri" w:cs="Calibri" w:hint="default"/>
        <w:b w:val="0"/>
        <w:bCs/>
        <w:spacing w:val="-4"/>
        <w:w w:val="100"/>
        <w:sz w:val="24"/>
        <w:szCs w:val="24"/>
        <w:lang w:val="en-US" w:eastAsia="en-US" w:bidi="en-US"/>
      </w:rPr>
    </w:lvl>
    <w:lvl w:ilvl="1" w:tplc="809433D8">
      <w:start w:val="1"/>
      <w:numFmt w:val="lowerLetter"/>
      <w:lvlText w:val="%2."/>
      <w:lvlJc w:val="left"/>
      <w:pPr>
        <w:ind w:left="2214" w:hanging="360"/>
      </w:pPr>
      <w:rPr>
        <w:rFonts w:ascii="Calibri" w:eastAsia="Calibri" w:hAnsi="Calibri" w:cs="Calibri" w:hint="default"/>
        <w:b w:val="0"/>
        <w:bCs/>
        <w:spacing w:val="-5"/>
        <w:w w:val="100"/>
        <w:sz w:val="24"/>
        <w:szCs w:val="24"/>
        <w:lang w:val="en-US" w:eastAsia="en-US" w:bidi="en-US"/>
      </w:rPr>
    </w:lvl>
    <w:lvl w:ilvl="2" w:tplc="1290A676">
      <w:numFmt w:val="bullet"/>
      <w:lvlText w:val="•"/>
      <w:lvlJc w:val="left"/>
      <w:pPr>
        <w:ind w:left="3236" w:hanging="360"/>
      </w:pPr>
      <w:rPr>
        <w:rFonts w:hint="default"/>
        <w:lang w:val="en-US" w:eastAsia="en-US" w:bidi="en-US"/>
      </w:rPr>
    </w:lvl>
    <w:lvl w:ilvl="3" w:tplc="66BE0D52">
      <w:numFmt w:val="bullet"/>
      <w:lvlText w:val="•"/>
      <w:lvlJc w:val="left"/>
      <w:pPr>
        <w:ind w:left="4257" w:hanging="360"/>
      </w:pPr>
      <w:rPr>
        <w:rFonts w:hint="default"/>
        <w:lang w:val="en-US" w:eastAsia="en-US" w:bidi="en-US"/>
      </w:rPr>
    </w:lvl>
    <w:lvl w:ilvl="4" w:tplc="4D0E73B4">
      <w:numFmt w:val="bullet"/>
      <w:lvlText w:val="•"/>
      <w:lvlJc w:val="left"/>
      <w:pPr>
        <w:ind w:left="5278" w:hanging="360"/>
      </w:pPr>
      <w:rPr>
        <w:rFonts w:hint="default"/>
        <w:lang w:val="en-US" w:eastAsia="en-US" w:bidi="en-US"/>
      </w:rPr>
    </w:lvl>
    <w:lvl w:ilvl="5" w:tplc="53B26788">
      <w:numFmt w:val="bullet"/>
      <w:lvlText w:val="•"/>
      <w:lvlJc w:val="left"/>
      <w:pPr>
        <w:ind w:left="6298" w:hanging="360"/>
      </w:pPr>
      <w:rPr>
        <w:rFonts w:hint="default"/>
        <w:lang w:val="en-US" w:eastAsia="en-US" w:bidi="en-US"/>
      </w:rPr>
    </w:lvl>
    <w:lvl w:ilvl="6" w:tplc="293413C2">
      <w:numFmt w:val="bullet"/>
      <w:lvlText w:val="•"/>
      <w:lvlJc w:val="left"/>
      <w:pPr>
        <w:ind w:left="7319" w:hanging="360"/>
      </w:pPr>
      <w:rPr>
        <w:rFonts w:hint="default"/>
        <w:lang w:val="en-US" w:eastAsia="en-US" w:bidi="en-US"/>
      </w:rPr>
    </w:lvl>
    <w:lvl w:ilvl="7" w:tplc="5DE0C578">
      <w:numFmt w:val="bullet"/>
      <w:lvlText w:val="•"/>
      <w:lvlJc w:val="left"/>
      <w:pPr>
        <w:ind w:left="8340" w:hanging="360"/>
      </w:pPr>
      <w:rPr>
        <w:rFonts w:hint="default"/>
        <w:lang w:val="en-US" w:eastAsia="en-US" w:bidi="en-US"/>
      </w:rPr>
    </w:lvl>
    <w:lvl w:ilvl="8" w:tplc="FFDE9576">
      <w:numFmt w:val="bullet"/>
      <w:lvlText w:val="•"/>
      <w:lvlJc w:val="left"/>
      <w:pPr>
        <w:ind w:left="9360" w:hanging="360"/>
      </w:pPr>
      <w:rPr>
        <w:rFonts w:hint="default"/>
        <w:lang w:val="en-US" w:eastAsia="en-US" w:bidi="en-US"/>
      </w:rPr>
    </w:lvl>
  </w:abstractNum>
  <w:abstractNum w:abstractNumId="10" w15:restartNumberingAfterBreak="0">
    <w:nsid w:val="22670465"/>
    <w:multiLevelType w:val="hybridMultilevel"/>
    <w:tmpl w:val="7DD834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985117"/>
    <w:multiLevelType w:val="hybridMultilevel"/>
    <w:tmpl w:val="70B08E58"/>
    <w:lvl w:ilvl="0" w:tplc="2EE09AE0">
      <w:start w:val="1"/>
      <w:numFmt w:val="upperLetter"/>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60407"/>
    <w:multiLevelType w:val="hybridMultilevel"/>
    <w:tmpl w:val="471E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13E63"/>
    <w:multiLevelType w:val="multilevel"/>
    <w:tmpl w:val="7092E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87BFE"/>
    <w:multiLevelType w:val="hybridMultilevel"/>
    <w:tmpl w:val="60B209B0"/>
    <w:lvl w:ilvl="0" w:tplc="FD3A2178">
      <w:start w:val="1"/>
      <w:numFmt w:val="decimal"/>
      <w:lvlText w:val="%1."/>
      <w:lvlJc w:val="left"/>
      <w:pPr>
        <w:ind w:left="4941" w:hanging="360"/>
      </w:pPr>
      <w:rPr>
        <w:rFonts w:ascii="Calibri" w:eastAsia="Calibri" w:hAnsi="Calibri" w:cs="Times New Roman" w:hint="default"/>
      </w:rPr>
    </w:lvl>
    <w:lvl w:ilvl="1" w:tplc="08090001">
      <w:start w:val="1"/>
      <w:numFmt w:val="bullet"/>
      <w:lvlText w:val=""/>
      <w:lvlJc w:val="left"/>
      <w:pPr>
        <w:ind w:left="5661" w:hanging="360"/>
      </w:pPr>
      <w:rPr>
        <w:rFonts w:ascii="Symbol" w:hAnsi="Symbol" w:hint="default"/>
      </w:rPr>
    </w:lvl>
    <w:lvl w:ilvl="2" w:tplc="0809001B">
      <w:start w:val="1"/>
      <w:numFmt w:val="lowerRoman"/>
      <w:lvlText w:val="%3."/>
      <w:lvlJc w:val="right"/>
      <w:pPr>
        <w:ind w:left="6381" w:hanging="180"/>
      </w:pPr>
    </w:lvl>
    <w:lvl w:ilvl="3" w:tplc="0809000F">
      <w:start w:val="1"/>
      <w:numFmt w:val="decimal"/>
      <w:lvlText w:val="%4."/>
      <w:lvlJc w:val="left"/>
      <w:pPr>
        <w:ind w:left="7101" w:hanging="360"/>
      </w:pPr>
    </w:lvl>
    <w:lvl w:ilvl="4" w:tplc="08090019">
      <w:start w:val="1"/>
      <w:numFmt w:val="lowerLetter"/>
      <w:lvlText w:val="%5."/>
      <w:lvlJc w:val="left"/>
      <w:pPr>
        <w:ind w:left="7821" w:hanging="360"/>
      </w:pPr>
    </w:lvl>
    <w:lvl w:ilvl="5" w:tplc="0809001B">
      <w:start w:val="1"/>
      <w:numFmt w:val="lowerRoman"/>
      <w:lvlText w:val="%6."/>
      <w:lvlJc w:val="right"/>
      <w:pPr>
        <w:ind w:left="8541" w:hanging="180"/>
      </w:pPr>
    </w:lvl>
    <w:lvl w:ilvl="6" w:tplc="0809000F">
      <w:start w:val="1"/>
      <w:numFmt w:val="decimal"/>
      <w:lvlText w:val="%7."/>
      <w:lvlJc w:val="left"/>
      <w:pPr>
        <w:ind w:left="9261" w:hanging="360"/>
      </w:pPr>
    </w:lvl>
    <w:lvl w:ilvl="7" w:tplc="08090019">
      <w:start w:val="1"/>
      <w:numFmt w:val="lowerLetter"/>
      <w:lvlText w:val="%8."/>
      <w:lvlJc w:val="left"/>
      <w:pPr>
        <w:ind w:left="9981" w:hanging="360"/>
      </w:pPr>
    </w:lvl>
    <w:lvl w:ilvl="8" w:tplc="0809001B">
      <w:start w:val="1"/>
      <w:numFmt w:val="lowerRoman"/>
      <w:lvlText w:val="%9."/>
      <w:lvlJc w:val="right"/>
      <w:pPr>
        <w:ind w:left="10701" w:hanging="180"/>
      </w:pPr>
    </w:lvl>
  </w:abstractNum>
  <w:abstractNum w:abstractNumId="15" w15:restartNumberingAfterBreak="0">
    <w:nsid w:val="297932DC"/>
    <w:multiLevelType w:val="hybridMultilevel"/>
    <w:tmpl w:val="DE1ED5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F316EB"/>
    <w:multiLevelType w:val="hybridMultilevel"/>
    <w:tmpl w:val="F99EE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AC51139"/>
    <w:multiLevelType w:val="hybridMultilevel"/>
    <w:tmpl w:val="EEF6D896"/>
    <w:lvl w:ilvl="0" w:tplc="F4FAB7FC">
      <w:start w:val="1"/>
      <w:numFmt w:val="none"/>
      <w:lvlText w:val="6."/>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3479DF"/>
    <w:multiLevelType w:val="hybridMultilevel"/>
    <w:tmpl w:val="7C4AA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AD61EF"/>
    <w:multiLevelType w:val="hybridMultilevel"/>
    <w:tmpl w:val="E9C6D2F6"/>
    <w:lvl w:ilvl="0" w:tplc="08090019">
      <w:start w:val="1"/>
      <w:numFmt w:val="lowerLetter"/>
      <w:lvlText w:val="%1."/>
      <w:lvlJc w:val="left"/>
      <w:pPr>
        <w:ind w:left="1800" w:hanging="360"/>
      </w:pPr>
      <w:rPr>
        <w:rFonts w:hint="default"/>
        <w:b w:val="0"/>
        <w:bCs/>
        <w:spacing w:val="-4"/>
        <w:w w:val="100"/>
        <w:sz w:val="24"/>
        <w:szCs w:val="24"/>
        <w:lang w:val="en-US" w:eastAsia="en-US" w:bidi="en-US"/>
      </w:rPr>
    </w:lvl>
    <w:lvl w:ilvl="1" w:tplc="08090019">
      <w:start w:val="1"/>
      <w:numFmt w:val="lowerLetter"/>
      <w:lvlText w:val="%2."/>
      <w:lvlJc w:val="left"/>
      <w:pPr>
        <w:ind w:left="2520" w:hanging="360"/>
      </w:pPr>
      <w:rPr>
        <w:rFonts w:hint="default"/>
        <w:b w:val="0"/>
        <w:bCs/>
        <w:spacing w:val="-4"/>
        <w:w w:val="100"/>
        <w:sz w:val="24"/>
        <w:szCs w:val="24"/>
        <w:lang w:val="en-US" w:eastAsia="en-US" w:bidi="en-US"/>
      </w:rPr>
    </w:lvl>
    <w:lvl w:ilvl="2" w:tplc="1290A676">
      <w:numFmt w:val="bullet"/>
      <w:lvlText w:val="•"/>
      <w:lvlJc w:val="left"/>
      <w:pPr>
        <w:ind w:left="3542" w:hanging="360"/>
      </w:pPr>
      <w:rPr>
        <w:rFonts w:hint="default"/>
        <w:lang w:val="en-US" w:eastAsia="en-US" w:bidi="en-US"/>
      </w:rPr>
    </w:lvl>
    <w:lvl w:ilvl="3" w:tplc="66BE0D52">
      <w:numFmt w:val="bullet"/>
      <w:lvlText w:val="•"/>
      <w:lvlJc w:val="left"/>
      <w:pPr>
        <w:ind w:left="4563" w:hanging="360"/>
      </w:pPr>
      <w:rPr>
        <w:rFonts w:hint="default"/>
        <w:lang w:val="en-US" w:eastAsia="en-US" w:bidi="en-US"/>
      </w:rPr>
    </w:lvl>
    <w:lvl w:ilvl="4" w:tplc="4D0E73B4">
      <w:numFmt w:val="bullet"/>
      <w:lvlText w:val="•"/>
      <w:lvlJc w:val="left"/>
      <w:pPr>
        <w:ind w:left="5584" w:hanging="360"/>
      </w:pPr>
      <w:rPr>
        <w:rFonts w:hint="default"/>
        <w:lang w:val="en-US" w:eastAsia="en-US" w:bidi="en-US"/>
      </w:rPr>
    </w:lvl>
    <w:lvl w:ilvl="5" w:tplc="53B26788">
      <w:numFmt w:val="bullet"/>
      <w:lvlText w:val="•"/>
      <w:lvlJc w:val="left"/>
      <w:pPr>
        <w:ind w:left="6604" w:hanging="360"/>
      </w:pPr>
      <w:rPr>
        <w:rFonts w:hint="default"/>
        <w:lang w:val="en-US" w:eastAsia="en-US" w:bidi="en-US"/>
      </w:rPr>
    </w:lvl>
    <w:lvl w:ilvl="6" w:tplc="293413C2">
      <w:numFmt w:val="bullet"/>
      <w:lvlText w:val="•"/>
      <w:lvlJc w:val="left"/>
      <w:pPr>
        <w:ind w:left="7625" w:hanging="360"/>
      </w:pPr>
      <w:rPr>
        <w:rFonts w:hint="default"/>
        <w:lang w:val="en-US" w:eastAsia="en-US" w:bidi="en-US"/>
      </w:rPr>
    </w:lvl>
    <w:lvl w:ilvl="7" w:tplc="5DE0C578">
      <w:numFmt w:val="bullet"/>
      <w:lvlText w:val="•"/>
      <w:lvlJc w:val="left"/>
      <w:pPr>
        <w:ind w:left="8646" w:hanging="360"/>
      </w:pPr>
      <w:rPr>
        <w:rFonts w:hint="default"/>
        <w:lang w:val="en-US" w:eastAsia="en-US" w:bidi="en-US"/>
      </w:rPr>
    </w:lvl>
    <w:lvl w:ilvl="8" w:tplc="FFDE9576">
      <w:numFmt w:val="bullet"/>
      <w:lvlText w:val="•"/>
      <w:lvlJc w:val="left"/>
      <w:pPr>
        <w:ind w:left="9666" w:hanging="360"/>
      </w:pPr>
      <w:rPr>
        <w:rFonts w:hint="default"/>
        <w:lang w:val="en-US" w:eastAsia="en-US" w:bidi="en-US"/>
      </w:rPr>
    </w:lvl>
  </w:abstractNum>
  <w:abstractNum w:abstractNumId="20" w15:restartNumberingAfterBreak="0">
    <w:nsid w:val="2ED00D78"/>
    <w:multiLevelType w:val="hybridMultilevel"/>
    <w:tmpl w:val="D4F43C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F3C41E4"/>
    <w:multiLevelType w:val="hybridMultilevel"/>
    <w:tmpl w:val="A68A9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04F7715"/>
    <w:multiLevelType w:val="hybridMultilevel"/>
    <w:tmpl w:val="9E2EE84A"/>
    <w:lvl w:ilvl="0" w:tplc="C3808C56">
      <w:start w:val="1"/>
      <w:numFmt w:val="decimal"/>
      <w:lvlText w:val="%1."/>
      <w:lvlJc w:val="left"/>
      <w:pPr>
        <w:ind w:left="1578" w:hanging="360"/>
      </w:pPr>
      <w:rPr>
        <w:rFonts w:ascii="Calibri" w:eastAsia="Calibri" w:hAnsi="Calibri" w:cs="Calibri" w:hint="default"/>
        <w:b w:val="0"/>
        <w:bCs/>
        <w:spacing w:val="-4"/>
        <w:w w:val="100"/>
        <w:sz w:val="24"/>
        <w:szCs w:val="24"/>
        <w:lang w:val="en-US" w:eastAsia="en-US" w:bidi="en-US"/>
      </w:rPr>
    </w:lvl>
    <w:lvl w:ilvl="1" w:tplc="C3808C56">
      <w:start w:val="1"/>
      <w:numFmt w:val="decimal"/>
      <w:lvlText w:val="%2."/>
      <w:lvlJc w:val="left"/>
      <w:pPr>
        <w:ind w:left="2298" w:hanging="360"/>
      </w:pPr>
      <w:rPr>
        <w:rFonts w:ascii="Calibri" w:eastAsia="Calibri" w:hAnsi="Calibri" w:cs="Calibri" w:hint="default"/>
        <w:b w:val="0"/>
        <w:bCs/>
        <w:spacing w:val="-4"/>
        <w:w w:val="100"/>
        <w:sz w:val="24"/>
        <w:szCs w:val="24"/>
        <w:lang w:val="en-US" w:eastAsia="en-US" w:bidi="en-US"/>
      </w:rPr>
    </w:lvl>
    <w:lvl w:ilvl="2" w:tplc="1290A676">
      <w:numFmt w:val="bullet"/>
      <w:lvlText w:val="•"/>
      <w:lvlJc w:val="left"/>
      <w:pPr>
        <w:ind w:left="3320" w:hanging="360"/>
      </w:pPr>
      <w:rPr>
        <w:rFonts w:hint="default"/>
        <w:lang w:val="en-US" w:eastAsia="en-US" w:bidi="en-US"/>
      </w:rPr>
    </w:lvl>
    <w:lvl w:ilvl="3" w:tplc="66BE0D52">
      <w:numFmt w:val="bullet"/>
      <w:lvlText w:val="•"/>
      <w:lvlJc w:val="left"/>
      <w:pPr>
        <w:ind w:left="4341" w:hanging="360"/>
      </w:pPr>
      <w:rPr>
        <w:rFonts w:hint="default"/>
        <w:lang w:val="en-US" w:eastAsia="en-US" w:bidi="en-US"/>
      </w:rPr>
    </w:lvl>
    <w:lvl w:ilvl="4" w:tplc="4D0E73B4">
      <w:numFmt w:val="bullet"/>
      <w:lvlText w:val="•"/>
      <w:lvlJc w:val="left"/>
      <w:pPr>
        <w:ind w:left="5362" w:hanging="360"/>
      </w:pPr>
      <w:rPr>
        <w:rFonts w:hint="default"/>
        <w:lang w:val="en-US" w:eastAsia="en-US" w:bidi="en-US"/>
      </w:rPr>
    </w:lvl>
    <w:lvl w:ilvl="5" w:tplc="53B26788">
      <w:numFmt w:val="bullet"/>
      <w:lvlText w:val="•"/>
      <w:lvlJc w:val="left"/>
      <w:pPr>
        <w:ind w:left="6382" w:hanging="360"/>
      </w:pPr>
      <w:rPr>
        <w:rFonts w:hint="default"/>
        <w:lang w:val="en-US" w:eastAsia="en-US" w:bidi="en-US"/>
      </w:rPr>
    </w:lvl>
    <w:lvl w:ilvl="6" w:tplc="293413C2">
      <w:numFmt w:val="bullet"/>
      <w:lvlText w:val="•"/>
      <w:lvlJc w:val="left"/>
      <w:pPr>
        <w:ind w:left="7403" w:hanging="360"/>
      </w:pPr>
      <w:rPr>
        <w:rFonts w:hint="default"/>
        <w:lang w:val="en-US" w:eastAsia="en-US" w:bidi="en-US"/>
      </w:rPr>
    </w:lvl>
    <w:lvl w:ilvl="7" w:tplc="5DE0C578">
      <w:numFmt w:val="bullet"/>
      <w:lvlText w:val="•"/>
      <w:lvlJc w:val="left"/>
      <w:pPr>
        <w:ind w:left="8424" w:hanging="360"/>
      </w:pPr>
      <w:rPr>
        <w:rFonts w:hint="default"/>
        <w:lang w:val="en-US" w:eastAsia="en-US" w:bidi="en-US"/>
      </w:rPr>
    </w:lvl>
    <w:lvl w:ilvl="8" w:tplc="FFDE9576">
      <w:numFmt w:val="bullet"/>
      <w:lvlText w:val="•"/>
      <w:lvlJc w:val="left"/>
      <w:pPr>
        <w:ind w:left="9444" w:hanging="360"/>
      </w:pPr>
      <w:rPr>
        <w:rFonts w:hint="default"/>
        <w:lang w:val="en-US" w:eastAsia="en-US" w:bidi="en-US"/>
      </w:rPr>
    </w:lvl>
  </w:abstractNum>
  <w:abstractNum w:abstractNumId="23" w15:restartNumberingAfterBreak="0">
    <w:nsid w:val="31C04531"/>
    <w:multiLevelType w:val="hybridMultilevel"/>
    <w:tmpl w:val="4300D1A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3318672E"/>
    <w:multiLevelType w:val="hybridMultilevel"/>
    <w:tmpl w:val="4DA63B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31B6115"/>
    <w:multiLevelType w:val="hybridMultilevel"/>
    <w:tmpl w:val="55867730"/>
    <w:lvl w:ilvl="0" w:tplc="C3808C56">
      <w:start w:val="1"/>
      <w:numFmt w:val="decimal"/>
      <w:lvlText w:val="%1."/>
      <w:lvlJc w:val="left"/>
      <w:pPr>
        <w:ind w:left="1800" w:hanging="360"/>
      </w:pPr>
      <w:rPr>
        <w:rFonts w:ascii="Calibri" w:eastAsia="Calibri" w:hAnsi="Calibri" w:cs="Calibri" w:hint="default"/>
        <w:b w:val="0"/>
        <w:bCs/>
        <w:spacing w:val="-4"/>
        <w:w w:val="100"/>
        <w:sz w:val="24"/>
        <w:szCs w:val="24"/>
        <w:lang w:val="en-US" w:eastAsia="en-US" w:bidi="en-US"/>
      </w:rPr>
    </w:lvl>
    <w:lvl w:ilvl="1" w:tplc="08090019">
      <w:start w:val="1"/>
      <w:numFmt w:val="lowerLetter"/>
      <w:lvlText w:val="%2."/>
      <w:lvlJc w:val="left"/>
      <w:pPr>
        <w:ind w:left="2520" w:hanging="360"/>
      </w:pPr>
      <w:rPr>
        <w:rFonts w:hint="default"/>
        <w:b w:val="0"/>
        <w:bCs/>
        <w:spacing w:val="-4"/>
        <w:w w:val="100"/>
        <w:sz w:val="24"/>
        <w:szCs w:val="24"/>
        <w:lang w:val="en-US" w:eastAsia="en-US" w:bidi="en-US"/>
      </w:rPr>
    </w:lvl>
    <w:lvl w:ilvl="2" w:tplc="1290A676">
      <w:numFmt w:val="bullet"/>
      <w:lvlText w:val="•"/>
      <w:lvlJc w:val="left"/>
      <w:pPr>
        <w:ind w:left="3542" w:hanging="360"/>
      </w:pPr>
      <w:rPr>
        <w:rFonts w:hint="default"/>
        <w:lang w:val="en-US" w:eastAsia="en-US" w:bidi="en-US"/>
      </w:rPr>
    </w:lvl>
    <w:lvl w:ilvl="3" w:tplc="66BE0D52">
      <w:numFmt w:val="bullet"/>
      <w:lvlText w:val="•"/>
      <w:lvlJc w:val="left"/>
      <w:pPr>
        <w:ind w:left="4563" w:hanging="360"/>
      </w:pPr>
      <w:rPr>
        <w:rFonts w:hint="default"/>
        <w:lang w:val="en-US" w:eastAsia="en-US" w:bidi="en-US"/>
      </w:rPr>
    </w:lvl>
    <w:lvl w:ilvl="4" w:tplc="4D0E73B4">
      <w:numFmt w:val="bullet"/>
      <w:lvlText w:val="•"/>
      <w:lvlJc w:val="left"/>
      <w:pPr>
        <w:ind w:left="5584" w:hanging="360"/>
      </w:pPr>
      <w:rPr>
        <w:rFonts w:hint="default"/>
        <w:lang w:val="en-US" w:eastAsia="en-US" w:bidi="en-US"/>
      </w:rPr>
    </w:lvl>
    <w:lvl w:ilvl="5" w:tplc="53B26788">
      <w:numFmt w:val="bullet"/>
      <w:lvlText w:val="•"/>
      <w:lvlJc w:val="left"/>
      <w:pPr>
        <w:ind w:left="6604" w:hanging="360"/>
      </w:pPr>
      <w:rPr>
        <w:rFonts w:hint="default"/>
        <w:lang w:val="en-US" w:eastAsia="en-US" w:bidi="en-US"/>
      </w:rPr>
    </w:lvl>
    <w:lvl w:ilvl="6" w:tplc="293413C2">
      <w:numFmt w:val="bullet"/>
      <w:lvlText w:val="•"/>
      <w:lvlJc w:val="left"/>
      <w:pPr>
        <w:ind w:left="7625" w:hanging="360"/>
      </w:pPr>
      <w:rPr>
        <w:rFonts w:hint="default"/>
        <w:lang w:val="en-US" w:eastAsia="en-US" w:bidi="en-US"/>
      </w:rPr>
    </w:lvl>
    <w:lvl w:ilvl="7" w:tplc="5DE0C578">
      <w:numFmt w:val="bullet"/>
      <w:lvlText w:val="•"/>
      <w:lvlJc w:val="left"/>
      <w:pPr>
        <w:ind w:left="8646" w:hanging="360"/>
      </w:pPr>
      <w:rPr>
        <w:rFonts w:hint="default"/>
        <w:lang w:val="en-US" w:eastAsia="en-US" w:bidi="en-US"/>
      </w:rPr>
    </w:lvl>
    <w:lvl w:ilvl="8" w:tplc="FFDE9576">
      <w:numFmt w:val="bullet"/>
      <w:lvlText w:val="•"/>
      <w:lvlJc w:val="left"/>
      <w:pPr>
        <w:ind w:left="9666" w:hanging="360"/>
      </w:pPr>
      <w:rPr>
        <w:rFonts w:hint="default"/>
        <w:lang w:val="en-US" w:eastAsia="en-US" w:bidi="en-US"/>
      </w:rPr>
    </w:lvl>
  </w:abstractNum>
  <w:abstractNum w:abstractNumId="26" w15:restartNumberingAfterBreak="0">
    <w:nsid w:val="336D1D09"/>
    <w:multiLevelType w:val="hybridMultilevel"/>
    <w:tmpl w:val="972E3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C52481"/>
    <w:multiLevelType w:val="hybridMultilevel"/>
    <w:tmpl w:val="E772BACA"/>
    <w:lvl w:ilvl="0" w:tplc="08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B9D266D"/>
    <w:multiLevelType w:val="hybridMultilevel"/>
    <w:tmpl w:val="B9AC9C62"/>
    <w:lvl w:ilvl="0" w:tplc="08090001">
      <w:start w:val="1"/>
      <w:numFmt w:val="bullet"/>
      <w:lvlText w:val=""/>
      <w:lvlJc w:val="left"/>
      <w:pPr>
        <w:ind w:left="720" w:hanging="360"/>
      </w:pPr>
      <w:rPr>
        <w:rFonts w:ascii="Symbol" w:hAnsi="Symbol" w:cs="Symbol" w:hint="default"/>
      </w:rPr>
    </w:lvl>
    <w:lvl w:ilvl="1" w:tplc="2C10A7D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DF36017"/>
    <w:multiLevelType w:val="hybridMultilevel"/>
    <w:tmpl w:val="FC9EED42"/>
    <w:lvl w:ilvl="0" w:tplc="4C4C50F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861556"/>
    <w:multiLevelType w:val="hybridMultilevel"/>
    <w:tmpl w:val="6C7E7CB6"/>
    <w:lvl w:ilvl="0" w:tplc="DC147D5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0D115B"/>
    <w:multiLevelType w:val="hybridMultilevel"/>
    <w:tmpl w:val="FDAC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A2E08D2"/>
    <w:multiLevelType w:val="hybridMultilevel"/>
    <w:tmpl w:val="AA98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75D29"/>
    <w:multiLevelType w:val="hybridMultilevel"/>
    <w:tmpl w:val="79E24E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567707"/>
    <w:multiLevelType w:val="hybridMultilevel"/>
    <w:tmpl w:val="24BCC580"/>
    <w:lvl w:ilvl="0" w:tplc="3C18D51C">
      <w:start w:val="7"/>
      <w:numFmt w:val="decimal"/>
      <w:lvlText w:val="%1."/>
      <w:lvlJc w:val="left"/>
      <w:pPr>
        <w:ind w:left="720" w:hanging="360"/>
      </w:pPr>
      <w:rPr>
        <w:rFonts w:asciiTheme="minorHAnsi" w:hAnsiTheme="minorHAnsi" w:cstheme="minorHAnsi"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0604E"/>
    <w:multiLevelType w:val="hybridMultilevel"/>
    <w:tmpl w:val="BFAA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47096"/>
    <w:multiLevelType w:val="hybridMultilevel"/>
    <w:tmpl w:val="E49A7AEC"/>
    <w:lvl w:ilvl="0" w:tplc="D2BE4924">
      <w:numFmt w:val="bullet"/>
      <w:lvlText w:val="-"/>
      <w:lvlJc w:val="left"/>
      <w:pPr>
        <w:ind w:left="1440" w:hanging="360"/>
      </w:pPr>
      <w:rPr>
        <w:rFonts w:ascii="Calibri" w:eastAsia="Calibri" w:hAnsi="Calibri" w:cs="Calibr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B504DF3"/>
    <w:multiLevelType w:val="hybridMultilevel"/>
    <w:tmpl w:val="4FF8315C"/>
    <w:lvl w:ilvl="0" w:tplc="D2BE4924">
      <w:numFmt w:val="bullet"/>
      <w:lvlText w:val="-"/>
      <w:lvlJc w:val="left"/>
      <w:pPr>
        <w:ind w:left="1440" w:hanging="360"/>
      </w:pPr>
      <w:rPr>
        <w:rFonts w:ascii="Calibri" w:eastAsia="Calibri" w:hAnsi="Calibri" w:cs="Calibr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8E4882"/>
    <w:multiLevelType w:val="hybridMultilevel"/>
    <w:tmpl w:val="4660299A"/>
    <w:lvl w:ilvl="0" w:tplc="C3808C56">
      <w:start w:val="1"/>
      <w:numFmt w:val="decimal"/>
      <w:lvlText w:val="%1."/>
      <w:lvlJc w:val="left"/>
      <w:pPr>
        <w:ind w:left="1578" w:hanging="360"/>
      </w:pPr>
      <w:rPr>
        <w:rFonts w:ascii="Calibri" w:eastAsia="Calibri" w:hAnsi="Calibri" w:cs="Calibri" w:hint="default"/>
        <w:b w:val="0"/>
        <w:bCs/>
        <w:spacing w:val="-4"/>
        <w:w w:val="100"/>
        <w:sz w:val="24"/>
        <w:szCs w:val="24"/>
        <w:lang w:val="en-US" w:eastAsia="en-US" w:bidi="en-US"/>
      </w:rPr>
    </w:lvl>
    <w:lvl w:ilvl="1" w:tplc="809433D8">
      <w:start w:val="1"/>
      <w:numFmt w:val="lowerLetter"/>
      <w:lvlText w:val="%2."/>
      <w:lvlJc w:val="left"/>
      <w:pPr>
        <w:ind w:left="2298" w:hanging="360"/>
      </w:pPr>
      <w:rPr>
        <w:rFonts w:ascii="Calibri" w:eastAsia="Calibri" w:hAnsi="Calibri" w:cs="Calibri" w:hint="default"/>
        <w:b w:val="0"/>
        <w:bCs/>
        <w:spacing w:val="-5"/>
        <w:w w:val="100"/>
        <w:sz w:val="24"/>
        <w:szCs w:val="24"/>
        <w:lang w:val="en-US" w:eastAsia="en-US" w:bidi="en-US"/>
      </w:rPr>
    </w:lvl>
    <w:lvl w:ilvl="2" w:tplc="1290A676">
      <w:numFmt w:val="bullet"/>
      <w:lvlText w:val="•"/>
      <w:lvlJc w:val="left"/>
      <w:pPr>
        <w:ind w:left="3320" w:hanging="360"/>
      </w:pPr>
      <w:rPr>
        <w:rFonts w:hint="default"/>
        <w:lang w:val="en-US" w:eastAsia="en-US" w:bidi="en-US"/>
      </w:rPr>
    </w:lvl>
    <w:lvl w:ilvl="3" w:tplc="66BE0D52">
      <w:numFmt w:val="bullet"/>
      <w:lvlText w:val="•"/>
      <w:lvlJc w:val="left"/>
      <w:pPr>
        <w:ind w:left="4341" w:hanging="360"/>
      </w:pPr>
      <w:rPr>
        <w:rFonts w:hint="default"/>
        <w:lang w:val="en-US" w:eastAsia="en-US" w:bidi="en-US"/>
      </w:rPr>
    </w:lvl>
    <w:lvl w:ilvl="4" w:tplc="4D0E73B4">
      <w:numFmt w:val="bullet"/>
      <w:lvlText w:val="•"/>
      <w:lvlJc w:val="left"/>
      <w:pPr>
        <w:ind w:left="5362" w:hanging="360"/>
      </w:pPr>
      <w:rPr>
        <w:rFonts w:hint="default"/>
        <w:lang w:val="en-US" w:eastAsia="en-US" w:bidi="en-US"/>
      </w:rPr>
    </w:lvl>
    <w:lvl w:ilvl="5" w:tplc="53B26788">
      <w:numFmt w:val="bullet"/>
      <w:lvlText w:val="•"/>
      <w:lvlJc w:val="left"/>
      <w:pPr>
        <w:ind w:left="6382" w:hanging="360"/>
      </w:pPr>
      <w:rPr>
        <w:rFonts w:hint="default"/>
        <w:lang w:val="en-US" w:eastAsia="en-US" w:bidi="en-US"/>
      </w:rPr>
    </w:lvl>
    <w:lvl w:ilvl="6" w:tplc="293413C2">
      <w:numFmt w:val="bullet"/>
      <w:lvlText w:val="•"/>
      <w:lvlJc w:val="left"/>
      <w:pPr>
        <w:ind w:left="7403" w:hanging="360"/>
      </w:pPr>
      <w:rPr>
        <w:rFonts w:hint="default"/>
        <w:lang w:val="en-US" w:eastAsia="en-US" w:bidi="en-US"/>
      </w:rPr>
    </w:lvl>
    <w:lvl w:ilvl="7" w:tplc="5DE0C578">
      <w:numFmt w:val="bullet"/>
      <w:lvlText w:val="•"/>
      <w:lvlJc w:val="left"/>
      <w:pPr>
        <w:ind w:left="8424" w:hanging="360"/>
      </w:pPr>
      <w:rPr>
        <w:rFonts w:hint="default"/>
        <w:lang w:val="en-US" w:eastAsia="en-US" w:bidi="en-US"/>
      </w:rPr>
    </w:lvl>
    <w:lvl w:ilvl="8" w:tplc="FFDE9576">
      <w:numFmt w:val="bullet"/>
      <w:lvlText w:val="•"/>
      <w:lvlJc w:val="left"/>
      <w:pPr>
        <w:ind w:left="9444" w:hanging="360"/>
      </w:pPr>
      <w:rPr>
        <w:rFonts w:hint="default"/>
        <w:lang w:val="en-US" w:eastAsia="en-US" w:bidi="en-US"/>
      </w:rPr>
    </w:lvl>
  </w:abstractNum>
  <w:abstractNum w:abstractNumId="39" w15:restartNumberingAfterBreak="0">
    <w:nsid w:val="627A2023"/>
    <w:multiLevelType w:val="hybridMultilevel"/>
    <w:tmpl w:val="20A8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57CDE"/>
    <w:multiLevelType w:val="hybridMultilevel"/>
    <w:tmpl w:val="82BA9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B412D3"/>
    <w:multiLevelType w:val="hybridMultilevel"/>
    <w:tmpl w:val="99B66CE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2" w15:restartNumberingAfterBreak="0">
    <w:nsid w:val="6A52210B"/>
    <w:multiLevelType w:val="hybridMultilevel"/>
    <w:tmpl w:val="9E92B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5627140"/>
    <w:multiLevelType w:val="hybridMultilevel"/>
    <w:tmpl w:val="E9C6D2F6"/>
    <w:lvl w:ilvl="0" w:tplc="08090019">
      <w:start w:val="1"/>
      <w:numFmt w:val="lowerLetter"/>
      <w:lvlText w:val="%1."/>
      <w:lvlJc w:val="left"/>
      <w:pPr>
        <w:ind w:left="1800" w:hanging="360"/>
      </w:pPr>
      <w:rPr>
        <w:rFonts w:hint="default"/>
        <w:b w:val="0"/>
        <w:bCs/>
        <w:spacing w:val="-4"/>
        <w:w w:val="100"/>
        <w:sz w:val="24"/>
        <w:szCs w:val="24"/>
        <w:lang w:val="en-US" w:eastAsia="en-US" w:bidi="en-US"/>
      </w:rPr>
    </w:lvl>
    <w:lvl w:ilvl="1" w:tplc="08090019">
      <w:start w:val="1"/>
      <w:numFmt w:val="lowerLetter"/>
      <w:lvlText w:val="%2."/>
      <w:lvlJc w:val="left"/>
      <w:pPr>
        <w:ind w:left="2520" w:hanging="360"/>
      </w:pPr>
      <w:rPr>
        <w:rFonts w:hint="default"/>
        <w:b w:val="0"/>
        <w:bCs/>
        <w:spacing w:val="-4"/>
        <w:w w:val="100"/>
        <w:sz w:val="24"/>
        <w:szCs w:val="24"/>
        <w:lang w:val="en-US" w:eastAsia="en-US" w:bidi="en-US"/>
      </w:rPr>
    </w:lvl>
    <w:lvl w:ilvl="2" w:tplc="1290A676">
      <w:numFmt w:val="bullet"/>
      <w:lvlText w:val="•"/>
      <w:lvlJc w:val="left"/>
      <w:pPr>
        <w:ind w:left="3542" w:hanging="360"/>
      </w:pPr>
      <w:rPr>
        <w:rFonts w:hint="default"/>
        <w:lang w:val="en-US" w:eastAsia="en-US" w:bidi="en-US"/>
      </w:rPr>
    </w:lvl>
    <w:lvl w:ilvl="3" w:tplc="66BE0D52">
      <w:numFmt w:val="bullet"/>
      <w:lvlText w:val="•"/>
      <w:lvlJc w:val="left"/>
      <w:pPr>
        <w:ind w:left="4563" w:hanging="360"/>
      </w:pPr>
      <w:rPr>
        <w:rFonts w:hint="default"/>
        <w:lang w:val="en-US" w:eastAsia="en-US" w:bidi="en-US"/>
      </w:rPr>
    </w:lvl>
    <w:lvl w:ilvl="4" w:tplc="4D0E73B4">
      <w:numFmt w:val="bullet"/>
      <w:lvlText w:val="•"/>
      <w:lvlJc w:val="left"/>
      <w:pPr>
        <w:ind w:left="5584" w:hanging="360"/>
      </w:pPr>
      <w:rPr>
        <w:rFonts w:hint="default"/>
        <w:lang w:val="en-US" w:eastAsia="en-US" w:bidi="en-US"/>
      </w:rPr>
    </w:lvl>
    <w:lvl w:ilvl="5" w:tplc="53B26788">
      <w:numFmt w:val="bullet"/>
      <w:lvlText w:val="•"/>
      <w:lvlJc w:val="left"/>
      <w:pPr>
        <w:ind w:left="6604" w:hanging="360"/>
      </w:pPr>
      <w:rPr>
        <w:rFonts w:hint="default"/>
        <w:lang w:val="en-US" w:eastAsia="en-US" w:bidi="en-US"/>
      </w:rPr>
    </w:lvl>
    <w:lvl w:ilvl="6" w:tplc="293413C2">
      <w:numFmt w:val="bullet"/>
      <w:lvlText w:val="•"/>
      <w:lvlJc w:val="left"/>
      <w:pPr>
        <w:ind w:left="7625" w:hanging="360"/>
      </w:pPr>
      <w:rPr>
        <w:rFonts w:hint="default"/>
        <w:lang w:val="en-US" w:eastAsia="en-US" w:bidi="en-US"/>
      </w:rPr>
    </w:lvl>
    <w:lvl w:ilvl="7" w:tplc="5DE0C578">
      <w:numFmt w:val="bullet"/>
      <w:lvlText w:val="•"/>
      <w:lvlJc w:val="left"/>
      <w:pPr>
        <w:ind w:left="8646" w:hanging="360"/>
      </w:pPr>
      <w:rPr>
        <w:rFonts w:hint="default"/>
        <w:lang w:val="en-US" w:eastAsia="en-US" w:bidi="en-US"/>
      </w:rPr>
    </w:lvl>
    <w:lvl w:ilvl="8" w:tplc="FFDE9576">
      <w:numFmt w:val="bullet"/>
      <w:lvlText w:val="•"/>
      <w:lvlJc w:val="left"/>
      <w:pPr>
        <w:ind w:left="9666" w:hanging="360"/>
      </w:pPr>
      <w:rPr>
        <w:rFonts w:hint="default"/>
        <w:lang w:val="en-US" w:eastAsia="en-US" w:bidi="en-US"/>
      </w:rPr>
    </w:lvl>
  </w:abstractNum>
  <w:abstractNum w:abstractNumId="44" w15:restartNumberingAfterBreak="0">
    <w:nsid w:val="758A0FFF"/>
    <w:multiLevelType w:val="hybridMultilevel"/>
    <w:tmpl w:val="9EF21A18"/>
    <w:lvl w:ilvl="0" w:tplc="08090001">
      <w:start w:val="1"/>
      <w:numFmt w:val="bullet"/>
      <w:lvlText w:val=""/>
      <w:lvlJc w:val="left"/>
      <w:pPr>
        <w:ind w:left="144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238BB"/>
    <w:multiLevelType w:val="hybridMultilevel"/>
    <w:tmpl w:val="9DD6BE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B610F58"/>
    <w:multiLevelType w:val="hybridMultilevel"/>
    <w:tmpl w:val="BFCEC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1A4A7E"/>
    <w:multiLevelType w:val="hybridMultilevel"/>
    <w:tmpl w:val="1EC250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8"/>
  </w:num>
  <w:num w:numId="2">
    <w:abstractNumId w:val="14"/>
  </w:num>
  <w:num w:numId="3">
    <w:abstractNumId w:val="41"/>
  </w:num>
  <w:num w:numId="4">
    <w:abstractNumId w:val="21"/>
  </w:num>
  <w:num w:numId="5">
    <w:abstractNumId w:val="9"/>
  </w:num>
  <w:num w:numId="6">
    <w:abstractNumId w:val="26"/>
  </w:num>
  <w:num w:numId="7">
    <w:abstractNumId w:val="39"/>
  </w:num>
  <w:num w:numId="8">
    <w:abstractNumId w:val="20"/>
  </w:num>
  <w:num w:numId="9">
    <w:abstractNumId w:val="10"/>
  </w:num>
  <w:num w:numId="10">
    <w:abstractNumId w:val="0"/>
  </w:num>
  <w:num w:numId="11">
    <w:abstractNumId w:val="33"/>
  </w:num>
  <w:num w:numId="12">
    <w:abstractNumId w:val="42"/>
  </w:num>
  <w:num w:numId="13">
    <w:abstractNumId w:val="15"/>
  </w:num>
  <w:num w:numId="14">
    <w:abstractNumId w:val="47"/>
  </w:num>
  <w:num w:numId="15">
    <w:abstractNumId w:val="24"/>
  </w:num>
  <w:num w:numId="16">
    <w:abstractNumId w:val="32"/>
  </w:num>
  <w:num w:numId="17">
    <w:abstractNumId w:val="12"/>
  </w:num>
  <w:num w:numId="18">
    <w:abstractNumId w:val="3"/>
  </w:num>
  <w:num w:numId="19">
    <w:abstractNumId w:val="11"/>
  </w:num>
  <w:num w:numId="20">
    <w:abstractNumId w:val="35"/>
  </w:num>
  <w:num w:numId="21">
    <w:abstractNumId w:val="6"/>
  </w:num>
  <w:num w:numId="22">
    <w:abstractNumId w:val="22"/>
  </w:num>
  <w:num w:numId="23">
    <w:abstractNumId w:val="25"/>
  </w:num>
  <w:num w:numId="24">
    <w:abstractNumId w:val="43"/>
  </w:num>
  <w:num w:numId="25">
    <w:abstractNumId w:val="19"/>
  </w:num>
  <w:num w:numId="26">
    <w:abstractNumId w:val="16"/>
  </w:num>
  <w:num w:numId="27">
    <w:abstractNumId w:val="2"/>
  </w:num>
  <w:num w:numId="28">
    <w:abstractNumId w:val="31"/>
  </w:num>
  <w:num w:numId="29">
    <w:abstractNumId w:val="7"/>
  </w:num>
  <w:num w:numId="30">
    <w:abstractNumId w:val="44"/>
  </w:num>
  <w:num w:numId="31">
    <w:abstractNumId w:val="27"/>
  </w:num>
  <w:num w:numId="32">
    <w:abstractNumId w:val="36"/>
  </w:num>
  <w:num w:numId="33">
    <w:abstractNumId w:val="4"/>
  </w:num>
  <w:num w:numId="34">
    <w:abstractNumId w:val="37"/>
  </w:num>
  <w:num w:numId="35">
    <w:abstractNumId w:val="1"/>
  </w:num>
  <w:num w:numId="36">
    <w:abstractNumId w:val="29"/>
  </w:num>
  <w:num w:numId="37">
    <w:abstractNumId w:val="30"/>
  </w:num>
  <w:num w:numId="38">
    <w:abstractNumId w:val="40"/>
  </w:num>
  <w:num w:numId="39">
    <w:abstractNumId w:val="23"/>
  </w:num>
  <w:num w:numId="40">
    <w:abstractNumId w:val="17"/>
  </w:num>
  <w:num w:numId="41">
    <w:abstractNumId w:val="34"/>
  </w:num>
  <w:num w:numId="42">
    <w:abstractNumId w:val="45"/>
  </w:num>
  <w:num w:numId="43">
    <w:abstractNumId w:val="13"/>
  </w:num>
  <w:num w:numId="44">
    <w:abstractNumId w:val="8"/>
  </w:num>
  <w:num w:numId="45">
    <w:abstractNumId w:val="28"/>
  </w:num>
  <w:num w:numId="46">
    <w:abstractNumId w:val="18"/>
  </w:num>
  <w:num w:numId="47">
    <w:abstractNumId w:val="5"/>
  </w:num>
  <w:num w:numId="48">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91"/>
    <w:rsid w:val="00000F3B"/>
    <w:rsid w:val="0000293A"/>
    <w:rsid w:val="00005CB9"/>
    <w:rsid w:val="00007990"/>
    <w:rsid w:val="000105FE"/>
    <w:rsid w:val="00010DB6"/>
    <w:rsid w:val="000130F7"/>
    <w:rsid w:val="00020F21"/>
    <w:rsid w:val="00021AA0"/>
    <w:rsid w:val="00023BAE"/>
    <w:rsid w:val="00026635"/>
    <w:rsid w:val="00027E15"/>
    <w:rsid w:val="000324C8"/>
    <w:rsid w:val="00032B51"/>
    <w:rsid w:val="00041DB9"/>
    <w:rsid w:val="000465BC"/>
    <w:rsid w:val="0005317A"/>
    <w:rsid w:val="00053D22"/>
    <w:rsid w:val="00053D72"/>
    <w:rsid w:val="000548DC"/>
    <w:rsid w:val="000552D0"/>
    <w:rsid w:val="0006520C"/>
    <w:rsid w:val="00065B26"/>
    <w:rsid w:val="00074815"/>
    <w:rsid w:val="00074F5B"/>
    <w:rsid w:val="00076BD7"/>
    <w:rsid w:val="00077099"/>
    <w:rsid w:val="00080F17"/>
    <w:rsid w:val="00081192"/>
    <w:rsid w:val="000859FF"/>
    <w:rsid w:val="00086C08"/>
    <w:rsid w:val="000906FA"/>
    <w:rsid w:val="00092386"/>
    <w:rsid w:val="00095504"/>
    <w:rsid w:val="00096B74"/>
    <w:rsid w:val="00096F46"/>
    <w:rsid w:val="000A1227"/>
    <w:rsid w:val="000A3CFF"/>
    <w:rsid w:val="000B2714"/>
    <w:rsid w:val="000B3B14"/>
    <w:rsid w:val="000B4E35"/>
    <w:rsid w:val="000B6FCB"/>
    <w:rsid w:val="000B7510"/>
    <w:rsid w:val="000D2B8F"/>
    <w:rsid w:val="000D4550"/>
    <w:rsid w:val="000D5080"/>
    <w:rsid w:val="000E1E7B"/>
    <w:rsid w:val="000F17E9"/>
    <w:rsid w:val="000F2D6C"/>
    <w:rsid w:val="000F4B95"/>
    <w:rsid w:val="000F7E75"/>
    <w:rsid w:val="00102C5F"/>
    <w:rsid w:val="00103651"/>
    <w:rsid w:val="00107E45"/>
    <w:rsid w:val="001105FD"/>
    <w:rsid w:val="00113618"/>
    <w:rsid w:val="001211A8"/>
    <w:rsid w:val="00123237"/>
    <w:rsid w:val="001267B7"/>
    <w:rsid w:val="00141583"/>
    <w:rsid w:val="00144898"/>
    <w:rsid w:val="00146679"/>
    <w:rsid w:val="001519E3"/>
    <w:rsid w:val="00151CC5"/>
    <w:rsid w:val="00151E93"/>
    <w:rsid w:val="001568DB"/>
    <w:rsid w:val="00165F96"/>
    <w:rsid w:val="001668ED"/>
    <w:rsid w:val="00167B22"/>
    <w:rsid w:val="00175655"/>
    <w:rsid w:val="00177734"/>
    <w:rsid w:val="001840FE"/>
    <w:rsid w:val="00187C25"/>
    <w:rsid w:val="001908CD"/>
    <w:rsid w:val="00194DF8"/>
    <w:rsid w:val="0019588B"/>
    <w:rsid w:val="00195EE4"/>
    <w:rsid w:val="00195EF6"/>
    <w:rsid w:val="001960AE"/>
    <w:rsid w:val="0019643D"/>
    <w:rsid w:val="00196BF2"/>
    <w:rsid w:val="001A6B0C"/>
    <w:rsid w:val="001B6FCD"/>
    <w:rsid w:val="001C0D8A"/>
    <w:rsid w:val="001C0DA1"/>
    <w:rsid w:val="001C0DAA"/>
    <w:rsid w:val="001C3C27"/>
    <w:rsid w:val="001D06A4"/>
    <w:rsid w:val="001D081D"/>
    <w:rsid w:val="001D38FC"/>
    <w:rsid w:val="001D5B68"/>
    <w:rsid w:val="001D6A79"/>
    <w:rsid w:val="001D7129"/>
    <w:rsid w:val="001E24B7"/>
    <w:rsid w:val="001E4E7D"/>
    <w:rsid w:val="001F28B3"/>
    <w:rsid w:val="001F4B63"/>
    <w:rsid w:val="001F4F95"/>
    <w:rsid w:val="001F7DE8"/>
    <w:rsid w:val="00206DF7"/>
    <w:rsid w:val="002131BB"/>
    <w:rsid w:val="00221A25"/>
    <w:rsid w:val="002328C8"/>
    <w:rsid w:val="00233B26"/>
    <w:rsid w:val="00234537"/>
    <w:rsid w:val="00240889"/>
    <w:rsid w:val="0024190B"/>
    <w:rsid w:val="00242931"/>
    <w:rsid w:val="002431B1"/>
    <w:rsid w:val="00246BD1"/>
    <w:rsid w:val="00250D25"/>
    <w:rsid w:val="00253BB1"/>
    <w:rsid w:val="002564D9"/>
    <w:rsid w:val="00263F9B"/>
    <w:rsid w:val="0026448B"/>
    <w:rsid w:val="00265F3F"/>
    <w:rsid w:val="00267E9D"/>
    <w:rsid w:val="002719F3"/>
    <w:rsid w:val="00272FEC"/>
    <w:rsid w:val="002736E8"/>
    <w:rsid w:val="002740A1"/>
    <w:rsid w:val="00280102"/>
    <w:rsid w:val="002805A7"/>
    <w:rsid w:val="0029296D"/>
    <w:rsid w:val="00294B96"/>
    <w:rsid w:val="00295A21"/>
    <w:rsid w:val="002A4075"/>
    <w:rsid w:val="002B17D1"/>
    <w:rsid w:val="002B3601"/>
    <w:rsid w:val="002B7641"/>
    <w:rsid w:val="002C1917"/>
    <w:rsid w:val="002C48AD"/>
    <w:rsid w:val="002C64BA"/>
    <w:rsid w:val="002C722A"/>
    <w:rsid w:val="002C7358"/>
    <w:rsid w:val="002D3332"/>
    <w:rsid w:val="002D4F0B"/>
    <w:rsid w:val="002E5557"/>
    <w:rsid w:val="002E595E"/>
    <w:rsid w:val="002E76D9"/>
    <w:rsid w:val="002F560B"/>
    <w:rsid w:val="002F6790"/>
    <w:rsid w:val="002F76DD"/>
    <w:rsid w:val="0030132D"/>
    <w:rsid w:val="00302871"/>
    <w:rsid w:val="00307B9B"/>
    <w:rsid w:val="00315268"/>
    <w:rsid w:val="0031697B"/>
    <w:rsid w:val="00317463"/>
    <w:rsid w:val="0032296F"/>
    <w:rsid w:val="00327ED8"/>
    <w:rsid w:val="003326D3"/>
    <w:rsid w:val="00337287"/>
    <w:rsid w:val="00337C96"/>
    <w:rsid w:val="00344BA3"/>
    <w:rsid w:val="00346116"/>
    <w:rsid w:val="00350742"/>
    <w:rsid w:val="00355481"/>
    <w:rsid w:val="003574C6"/>
    <w:rsid w:val="00367CFC"/>
    <w:rsid w:val="00367FD9"/>
    <w:rsid w:val="00375FAB"/>
    <w:rsid w:val="0037771F"/>
    <w:rsid w:val="00387F43"/>
    <w:rsid w:val="00390A6F"/>
    <w:rsid w:val="00391981"/>
    <w:rsid w:val="00391D2F"/>
    <w:rsid w:val="003935DA"/>
    <w:rsid w:val="0039550D"/>
    <w:rsid w:val="00396EED"/>
    <w:rsid w:val="003A2296"/>
    <w:rsid w:val="003A3C9A"/>
    <w:rsid w:val="003B324D"/>
    <w:rsid w:val="003B43EA"/>
    <w:rsid w:val="003B641B"/>
    <w:rsid w:val="003B7BEF"/>
    <w:rsid w:val="003C2EB3"/>
    <w:rsid w:val="003C6DD8"/>
    <w:rsid w:val="003D188B"/>
    <w:rsid w:val="003E189C"/>
    <w:rsid w:val="003E7323"/>
    <w:rsid w:val="003F4790"/>
    <w:rsid w:val="003F4FAA"/>
    <w:rsid w:val="00402441"/>
    <w:rsid w:val="00402B12"/>
    <w:rsid w:val="00405A4C"/>
    <w:rsid w:val="00406446"/>
    <w:rsid w:val="00406643"/>
    <w:rsid w:val="00415FE6"/>
    <w:rsid w:val="004213F9"/>
    <w:rsid w:val="0042179F"/>
    <w:rsid w:val="004226EA"/>
    <w:rsid w:val="0042635D"/>
    <w:rsid w:val="004310DA"/>
    <w:rsid w:val="004436AD"/>
    <w:rsid w:val="00444D0B"/>
    <w:rsid w:val="0044694C"/>
    <w:rsid w:val="0046071F"/>
    <w:rsid w:val="00461BFE"/>
    <w:rsid w:val="00467D93"/>
    <w:rsid w:val="00470FAE"/>
    <w:rsid w:val="00471154"/>
    <w:rsid w:val="00471559"/>
    <w:rsid w:val="004729C7"/>
    <w:rsid w:val="00473584"/>
    <w:rsid w:val="004847C8"/>
    <w:rsid w:val="0049500F"/>
    <w:rsid w:val="004A0784"/>
    <w:rsid w:val="004A2767"/>
    <w:rsid w:val="004B2618"/>
    <w:rsid w:val="004B4D60"/>
    <w:rsid w:val="004E0CA0"/>
    <w:rsid w:val="004E16F4"/>
    <w:rsid w:val="004E18A5"/>
    <w:rsid w:val="004E296E"/>
    <w:rsid w:val="004E4FCD"/>
    <w:rsid w:val="004F0625"/>
    <w:rsid w:val="004F2869"/>
    <w:rsid w:val="004F2899"/>
    <w:rsid w:val="004F578C"/>
    <w:rsid w:val="00500717"/>
    <w:rsid w:val="00501FA8"/>
    <w:rsid w:val="00502428"/>
    <w:rsid w:val="00504F8E"/>
    <w:rsid w:val="00510756"/>
    <w:rsid w:val="00511B4E"/>
    <w:rsid w:val="0051266D"/>
    <w:rsid w:val="00512B63"/>
    <w:rsid w:val="005136CF"/>
    <w:rsid w:val="005170BF"/>
    <w:rsid w:val="0052236E"/>
    <w:rsid w:val="00532918"/>
    <w:rsid w:val="0053386A"/>
    <w:rsid w:val="00536F9E"/>
    <w:rsid w:val="00540789"/>
    <w:rsid w:val="005448A5"/>
    <w:rsid w:val="0054719D"/>
    <w:rsid w:val="005477F0"/>
    <w:rsid w:val="00552764"/>
    <w:rsid w:val="00553709"/>
    <w:rsid w:val="00554875"/>
    <w:rsid w:val="00561BD2"/>
    <w:rsid w:val="00561CD0"/>
    <w:rsid w:val="00564BC3"/>
    <w:rsid w:val="005667D7"/>
    <w:rsid w:val="005717B3"/>
    <w:rsid w:val="00572493"/>
    <w:rsid w:val="005751F3"/>
    <w:rsid w:val="00576931"/>
    <w:rsid w:val="00576A5C"/>
    <w:rsid w:val="00581F3A"/>
    <w:rsid w:val="00582F5D"/>
    <w:rsid w:val="005867C0"/>
    <w:rsid w:val="00590642"/>
    <w:rsid w:val="0059198B"/>
    <w:rsid w:val="005932B8"/>
    <w:rsid w:val="00595D8B"/>
    <w:rsid w:val="005A0D06"/>
    <w:rsid w:val="005B6381"/>
    <w:rsid w:val="005B6488"/>
    <w:rsid w:val="005C37AE"/>
    <w:rsid w:val="005C6D04"/>
    <w:rsid w:val="005C7D07"/>
    <w:rsid w:val="005E19D2"/>
    <w:rsid w:val="005E3A92"/>
    <w:rsid w:val="005E652F"/>
    <w:rsid w:val="005E7530"/>
    <w:rsid w:val="005F0252"/>
    <w:rsid w:val="0060497E"/>
    <w:rsid w:val="00605C7D"/>
    <w:rsid w:val="00613427"/>
    <w:rsid w:val="0061349B"/>
    <w:rsid w:val="0061548A"/>
    <w:rsid w:val="00623B97"/>
    <w:rsid w:val="00624992"/>
    <w:rsid w:val="00625879"/>
    <w:rsid w:val="00632D7D"/>
    <w:rsid w:val="00633027"/>
    <w:rsid w:val="0063307D"/>
    <w:rsid w:val="00635906"/>
    <w:rsid w:val="00637203"/>
    <w:rsid w:val="00642865"/>
    <w:rsid w:val="00644779"/>
    <w:rsid w:val="00656311"/>
    <w:rsid w:val="00657501"/>
    <w:rsid w:val="006647A0"/>
    <w:rsid w:val="00665AF9"/>
    <w:rsid w:val="00665DA0"/>
    <w:rsid w:val="00666004"/>
    <w:rsid w:val="00671AD8"/>
    <w:rsid w:val="00674D61"/>
    <w:rsid w:val="00677E43"/>
    <w:rsid w:val="00692FC4"/>
    <w:rsid w:val="006A3E1F"/>
    <w:rsid w:val="006A7669"/>
    <w:rsid w:val="006A7748"/>
    <w:rsid w:val="006B4021"/>
    <w:rsid w:val="006C244F"/>
    <w:rsid w:val="006C35B8"/>
    <w:rsid w:val="006C371D"/>
    <w:rsid w:val="006C49C8"/>
    <w:rsid w:val="006C55FA"/>
    <w:rsid w:val="006D322E"/>
    <w:rsid w:val="006D4D3F"/>
    <w:rsid w:val="006D7262"/>
    <w:rsid w:val="006E0C9A"/>
    <w:rsid w:val="006E23CB"/>
    <w:rsid w:val="006E31AB"/>
    <w:rsid w:val="006E37C0"/>
    <w:rsid w:val="006E5461"/>
    <w:rsid w:val="006E75B3"/>
    <w:rsid w:val="006E773F"/>
    <w:rsid w:val="006F6211"/>
    <w:rsid w:val="006F7E22"/>
    <w:rsid w:val="007040C8"/>
    <w:rsid w:val="00705380"/>
    <w:rsid w:val="0071005B"/>
    <w:rsid w:val="00711756"/>
    <w:rsid w:val="00713BA7"/>
    <w:rsid w:val="00713F87"/>
    <w:rsid w:val="00716771"/>
    <w:rsid w:val="0072074C"/>
    <w:rsid w:val="007343B2"/>
    <w:rsid w:val="00736F34"/>
    <w:rsid w:val="0074633C"/>
    <w:rsid w:val="00746D8D"/>
    <w:rsid w:val="00747950"/>
    <w:rsid w:val="00757B8E"/>
    <w:rsid w:val="00766DC1"/>
    <w:rsid w:val="00777084"/>
    <w:rsid w:val="00782928"/>
    <w:rsid w:val="00785D6D"/>
    <w:rsid w:val="0079023E"/>
    <w:rsid w:val="00790E6E"/>
    <w:rsid w:val="00792003"/>
    <w:rsid w:val="00793327"/>
    <w:rsid w:val="00795540"/>
    <w:rsid w:val="00795871"/>
    <w:rsid w:val="007A2440"/>
    <w:rsid w:val="007B6A20"/>
    <w:rsid w:val="007C2E35"/>
    <w:rsid w:val="007D19DE"/>
    <w:rsid w:val="007D2CE6"/>
    <w:rsid w:val="007D2FAC"/>
    <w:rsid w:val="007D6234"/>
    <w:rsid w:val="007D647B"/>
    <w:rsid w:val="007E2970"/>
    <w:rsid w:val="007E7AC2"/>
    <w:rsid w:val="007F626B"/>
    <w:rsid w:val="00802FDD"/>
    <w:rsid w:val="008031FE"/>
    <w:rsid w:val="00803543"/>
    <w:rsid w:val="0081235A"/>
    <w:rsid w:val="008166CB"/>
    <w:rsid w:val="00816AF3"/>
    <w:rsid w:val="0082256D"/>
    <w:rsid w:val="00822FAE"/>
    <w:rsid w:val="00827CFD"/>
    <w:rsid w:val="00833306"/>
    <w:rsid w:val="00834DD2"/>
    <w:rsid w:val="0084105D"/>
    <w:rsid w:val="00843D5E"/>
    <w:rsid w:val="008446F1"/>
    <w:rsid w:val="00852170"/>
    <w:rsid w:val="0085463E"/>
    <w:rsid w:val="008621CB"/>
    <w:rsid w:val="00866B16"/>
    <w:rsid w:val="0086708D"/>
    <w:rsid w:val="008705A9"/>
    <w:rsid w:val="008735E4"/>
    <w:rsid w:val="00873FC4"/>
    <w:rsid w:val="00881263"/>
    <w:rsid w:val="008823A6"/>
    <w:rsid w:val="00882961"/>
    <w:rsid w:val="0088367F"/>
    <w:rsid w:val="00886A19"/>
    <w:rsid w:val="0089311B"/>
    <w:rsid w:val="008945F4"/>
    <w:rsid w:val="00894B12"/>
    <w:rsid w:val="0089771C"/>
    <w:rsid w:val="008A1A0F"/>
    <w:rsid w:val="008A43A2"/>
    <w:rsid w:val="008A5E16"/>
    <w:rsid w:val="008B4186"/>
    <w:rsid w:val="008B5BD6"/>
    <w:rsid w:val="008C232A"/>
    <w:rsid w:val="008C606D"/>
    <w:rsid w:val="008C73E1"/>
    <w:rsid w:val="008D1125"/>
    <w:rsid w:val="008D2DFD"/>
    <w:rsid w:val="008D342C"/>
    <w:rsid w:val="008E3C87"/>
    <w:rsid w:val="008F7FF6"/>
    <w:rsid w:val="00900ABD"/>
    <w:rsid w:val="009021B4"/>
    <w:rsid w:val="009023F7"/>
    <w:rsid w:val="00903EFC"/>
    <w:rsid w:val="009040DB"/>
    <w:rsid w:val="00904454"/>
    <w:rsid w:val="00904A02"/>
    <w:rsid w:val="00905738"/>
    <w:rsid w:val="00905EA5"/>
    <w:rsid w:val="00907E6A"/>
    <w:rsid w:val="009125F9"/>
    <w:rsid w:val="0091560C"/>
    <w:rsid w:val="00916389"/>
    <w:rsid w:val="009206AF"/>
    <w:rsid w:val="00933FFC"/>
    <w:rsid w:val="00934F7C"/>
    <w:rsid w:val="00941209"/>
    <w:rsid w:val="009439A7"/>
    <w:rsid w:val="009474A7"/>
    <w:rsid w:val="00952DCE"/>
    <w:rsid w:val="00957D2B"/>
    <w:rsid w:val="00957E16"/>
    <w:rsid w:val="00971820"/>
    <w:rsid w:val="009730F1"/>
    <w:rsid w:val="00973F2B"/>
    <w:rsid w:val="00974A69"/>
    <w:rsid w:val="00980010"/>
    <w:rsid w:val="00980CA5"/>
    <w:rsid w:val="009827DB"/>
    <w:rsid w:val="00986285"/>
    <w:rsid w:val="009872C0"/>
    <w:rsid w:val="00990165"/>
    <w:rsid w:val="009966AF"/>
    <w:rsid w:val="009A2C56"/>
    <w:rsid w:val="009A490D"/>
    <w:rsid w:val="009B23BF"/>
    <w:rsid w:val="009B4014"/>
    <w:rsid w:val="009B4475"/>
    <w:rsid w:val="009C7591"/>
    <w:rsid w:val="009D013B"/>
    <w:rsid w:val="009D17A4"/>
    <w:rsid w:val="009D18D6"/>
    <w:rsid w:val="009D3AEC"/>
    <w:rsid w:val="009D7023"/>
    <w:rsid w:val="009E0252"/>
    <w:rsid w:val="009E1FA2"/>
    <w:rsid w:val="009F068B"/>
    <w:rsid w:val="009F2F25"/>
    <w:rsid w:val="009F5F5E"/>
    <w:rsid w:val="00A032D3"/>
    <w:rsid w:val="00A0358F"/>
    <w:rsid w:val="00A04A98"/>
    <w:rsid w:val="00A06FF7"/>
    <w:rsid w:val="00A10A98"/>
    <w:rsid w:val="00A1164C"/>
    <w:rsid w:val="00A1361D"/>
    <w:rsid w:val="00A14034"/>
    <w:rsid w:val="00A21737"/>
    <w:rsid w:val="00A2656A"/>
    <w:rsid w:val="00A31FDE"/>
    <w:rsid w:val="00A34789"/>
    <w:rsid w:val="00A34A96"/>
    <w:rsid w:val="00A42586"/>
    <w:rsid w:val="00A44DA5"/>
    <w:rsid w:val="00A454C5"/>
    <w:rsid w:val="00A61E6C"/>
    <w:rsid w:val="00A630BF"/>
    <w:rsid w:val="00A66285"/>
    <w:rsid w:val="00A66CCD"/>
    <w:rsid w:val="00A6705B"/>
    <w:rsid w:val="00A765E5"/>
    <w:rsid w:val="00A7683A"/>
    <w:rsid w:val="00A77C5F"/>
    <w:rsid w:val="00A8196B"/>
    <w:rsid w:val="00A82253"/>
    <w:rsid w:val="00A83A9E"/>
    <w:rsid w:val="00A83CB0"/>
    <w:rsid w:val="00A87009"/>
    <w:rsid w:val="00A901AC"/>
    <w:rsid w:val="00A93E11"/>
    <w:rsid w:val="00A95AF4"/>
    <w:rsid w:val="00AA79F4"/>
    <w:rsid w:val="00AB1A51"/>
    <w:rsid w:val="00AB4520"/>
    <w:rsid w:val="00AB4C62"/>
    <w:rsid w:val="00AB6D5F"/>
    <w:rsid w:val="00AC1064"/>
    <w:rsid w:val="00AC281F"/>
    <w:rsid w:val="00AC77F5"/>
    <w:rsid w:val="00AD652E"/>
    <w:rsid w:val="00AE196E"/>
    <w:rsid w:val="00AE50A1"/>
    <w:rsid w:val="00AE558D"/>
    <w:rsid w:val="00AE66F1"/>
    <w:rsid w:val="00AF45D2"/>
    <w:rsid w:val="00AF7218"/>
    <w:rsid w:val="00B00A75"/>
    <w:rsid w:val="00B02290"/>
    <w:rsid w:val="00B106F3"/>
    <w:rsid w:val="00B14328"/>
    <w:rsid w:val="00B16E84"/>
    <w:rsid w:val="00B179BD"/>
    <w:rsid w:val="00B21272"/>
    <w:rsid w:val="00B215A7"/>
    <w:rsid w:val="00B22FB3"/>
    <w:rsid w:val="00B253F4"/>
    <w:rsid w:val="00B25638"/>
    <w:rsid w:val="00B25695"/>
    <w:rsid w:val="00B27891"/>
    <w:rsid w:val="00B30C79"/>
    <w:rsid w:val="00B31311"/>
    <w:rsid w:val="00B31935"/>
    <w:rsid w:val="00B31CDF"/>
    <w:rsid w:val="00B45A14"/>
    <w:rsid w:val="00B52388"/>
    <w:rsid w:val="00B5547F"/>
    <w:rsid w:val="00B55C33"/>
    <w:rsid w:val="00B5610A"/>
    <w:rsid w:val="00B56858"/>
    <w:rsid w:val="00B57A1C"/>
    <w:rsid w:val="00B65C94"/>
    <w:rsid w:val="00B675C0"/>
    <w:rsid w:val="00B67668"/>
    <w:rsid w:val="00B7212D"/>
    <w:rsid w:val="00B76952"/>
    <w:rsid w:val="00B83660"/>
    <w:rsid w:val="00B87849"/>
    <w:rsid w:val="00B92A45"/>
    <w:rsid w:val="00BA06A1"/>
    <w:rsid w:val="00BA1FCD"/>
    <w:rsid w:val="00BA4527"/>
    <w:rsid w:val="00BA77E5"/>
    <w:rsid w:val="00BB1827"/>
    <w:rsid w:val="00BB2DF4"/>
    <w:rsid w:val="00BB30C3"/>
    <w:rsid w:val="00BB3119"/>
    <w:rsid w:val="00BB6735"/>
    <w:rsid w:val="00BC033C"/>
    <w:rsid w:val="00BC2518"/>
    <w:rsid w:val="00BC4C62"/>
    <w:rsid w:val="00BC5662"/>
    <w:rsid w:val="00BD781A"/>
    <w:rsid w:val="00BE0893"/>
    <w:rsid w:val="00BE5318"/>
    <w:rsid w:val="00BE66FC"/>
    <w:rsid w:val="00BF0751"/>
    <w:rsid w:val="00BF1F90"/>
    <w:rsid w:val="00BF4244"/>
    <w:rsid w:val="00BF6817"/>
    <w:rsid w:val="00BF77E0"/>
    <w:rsid w:val="00C01931"/>
    <w:rsid w:val="00C0622B"/>
    <w:rsid w:val="00C066BA"/>
    <w:rsid w:val="00C077D3"/>
    <w:rsid w:val="00C154D0"/>
    <w:rsid w:val="00C262CB"/>
    <w:rsid w:val="00C33DE3"/>
    <w:rsid w:val="00C35607"/>
    <w:rsid w:val="00C35B52"/>
    <w:rsid w:val="00C37AB4"/>
    <w:rsid w:val="00C429AD"/>
    <w:rsid w:val="00C51503"/>
    <w:rsid w:val="00C54514"/>
    <w:rsid w:val="00C612BF"/>
    <w:rsid w:val="00C62376"/>
    <w:rsid w:val="00C65496"/>
    <w:rsid w:val="00C67D35"/>
    <w:rsid w:val="00C67D60"/>
    <w:rsid w:val="00C7081D"/>
    <w:rsid w:val="00C7245A"/>
    <w:rsid w:val="00C74B58"/>
    <w:rsid w:val="00C7627D"/>
    <w:rsid w:val="00C806DD"/>
    <w:rsid w:val="00C86742"/>
    <w:rsid w:val="00C86B4E"/>
    <w:rsid w:val="00C922D2"/>
    <w:rsid w:val="00C92AAA"/>
    <w:rsid w:val="00C953B2"/>
    <w:rsid w:val="00C96C20"/>
    <w:rsid w:val="00CA4814"/>
    <w:rsid w:val="00CA7AB3"/>
    <w:rsid w:val="00CD08CA"/>
    <w:rsid w:val="00CD1186"/>
    <w:rsid w:val="00CD6A93"/>
    <w:rsid w:val="00CE6D5E"/>
    <w:rsid w:val="00CF0F9D"/>
    <w:rsid w:val="00CF29BE"/>
    <w:rsid w:val="00CF2BB2"/>
    <w:rsid w:val="00CF3E8A"/>
    <w:rsid w:val="00CF6C78"/>
    <w:rsid w:val="00CF7DFA"/>
    <w:rsid w:val="00D00C88"/>
    <w:rsid w:val="00D01891"/>
    <w:rsid w:val="00D02532"/>
    <w:rsid w:val="00D02830"/>
    <w:rsid w:val="00D03432"/>
    <w:rsid w:val="00D04DF8"/>
    <w:rsid w:val="00D10F7B"/>
    <w:rsid w:val="00D11C8D"/>
    <w:rsid w:val="00D17FE5"/>
    <w:rsid w:val="00D21620"/>
    <w:rsid w:val="00D21F6B"/>
    <w:rsid w:val="00D2597B"/>
    <w:rsid w:val="00D27B61"/>
    <w:rsid w:val="00D330C6"/>
    <w:rsid w:val="00D3322C"/>
    <w:rsid w:val="00D360EE"/>
    <w:rsid w:val="00D36A85"/>
    <w:rsid w:val="00D5296E"/>
    <w:rsid w:val="00D57E60"/>
    <w:rsid w:val="00D67893"/>
    <w:rsid w:val="00D709FE"/>
    <w:rsid w:val="00D72B4A"/>
    <w:rsid w:val="00D746A0"/>
    <w:rsid w:val="00D75834"/>
    <w:rsid w:val="00D844FA"/>
    <w:rsid w:val="00D84561"/>
    <w:rsid w:val="00D85628"/>
    <w:rsid w:val="00D952EF"/>
    <w:rsid w:val="00D96023"/>
    <w:rsid w:val="00D963DC"/>
    <w:rsid w:val="00D96E59"/>
    <w:rsid w:val="00DB32B2"/>
    <w:rsid w:val="00DB4385"/>
    <w:rsid w:val="00DC3829"/>
    <w:rsid w:val="00DD2172"/>
    <w:rsid w:val="00DE7AFD"/>
    <w:rsid w:val="00DF5C20"/>
    <w:rsid w:val="00DF5CA7"/>
    <w:rsid w:val="00DF70D6"/>
    <w:rsid w:val="00E01F37"/>
    <w:rsid w:val="00E04047"/>
    <w:rsid w:val="00E16BD1"/>
    <w:rsid w:val="00E17F00"/>
    <w:rsid w:val="00E220DC"/>
    <w:rsid w:val="00E31406"/>
    <w:rsid w:val="00E32B52"/>
    <w:rsid w:val="00E3600A"/>
    <w:rsid w:val="00E44649"/>
    <w:rsid w:val="00E44A8E"/>
    <w:rsid w:val="00E4786B"/>
    <w:rsid w:val="00E50840"/>
    <w:rsid w:val="00E50A14"/>
    <w:rsid w:val="00E56C35"/>
    <w:rsid w:val="00E62883"/>
    <w:rsid w:val="00E62DBA"/>
    <w:rsid w:val="00E6478A"/>
    <w:rsid w:val="00E64E61"/>
    <w:rsid w:val="00E65B3E"/>
    <w:rsid w:val="00E76ABF"/>
    <w:rsid w:val="00E84415"/>
    <w:rsid w:val="00E85386"/>
    <w:rsid w:val="00E85E66"/>
    <w:rsid w:val="00E911D4"/>
    <w:rsid w:val="00E9126F"/>
    <w:rsid w:val="00E936EE"/>
    <w:rsid w:val="00E93968"/>
    <w:rsid w:val="00E9438D"/>
    <w:rsid w:val="00EA05A9"/>
    <w:rsid w:val="00EA3B21"/>
    <w:rsid w:val="00EA432E"/>
    <w:rsid w:val="00EA6A39"/>
    <w:rsid w:val="00EA6CBD"/>
    <w:rsid w:val="00EA7E46"/>
    <w:rsid w:val="00EB08DA"/>
    <w:rsid w:val="00EB22F4"/>
    <w:rsid w:val="00EB2D02"/>
    <w:rsid w:val="00EB38C7"/>
    <w:rsid w:val="00EB5075"/>
    <w:rsid w:val="00EB6086"/>
    <w:rsid w:val="00EB65C2"/>
    <w:rsid w:val="00EC1591"/>
    <w:rsid w:val="00EC71DA"/>
    <w:rsid w:val="00ED1F6F"/>
    <w:rsid w:val="00ED44F8"/>
    <w:rsid w:val="00ED4EA8"/>
    <w:rsid w:val="00ED7F97"/>
    <w:rsid w:val="00EE0B5E"/>
    <w:rsid w:val="00EE25B2"/>
    <w:rsid w:val="00EE7CAE"/>
    <w:rsid w:val="00EF1F73"/>
    <w:rsid w:val="00EF51CA"/>
    <w:rsid w:val="00F00D57"/>
    <w:rsid w:val="00F01956"/>
    <w:rsid w:val="00F063BB"/>
    <w:rsid w:val="00F07EA9"/>
    <w:rsid w:val="00F107C8"/>
    <w:rsid w:val="00F16ACD"/>
    <w:rsid w:val="00F170B5"/>
    <w:rsid w:val="00F177F5"/>
    <w:rsid w:val="00F202D3"/>
    <w:rsid w:val="00F206FF"/>
    <w:rsid w:val="00F21B1D"/>
    <w:rsid w:val="00F31C0F"/>
    <w:rsid w:val="00F37CFD"/>
    <w:rsid w:val="00F42DC9"/>
    <w:rsid w:val="00F5063C"/>
    <w:rsid w:val="00F55207"/>
    <w:rsid w:val="00F56062"/>
    <w:rsid w:val="00F56196"/>
    <w:rsid w:val="00F56FCE"/>
    <w:rsid w:val="00F65483"/>
    <w:rsid w:val="00F72BB2"/>
    <w:rsid w:val="00F73568"/>
    <w:rsid w:val="00F74985"/>
    <w:rsid w:val="00F77111"/>
    <w:rsid w:val="00F8214C"/>
    <w:rsid w:val="00F830C5"/>
    <w:rsid w:val="00F83A5B"/>
    <w:rsid w:val="00F85E25"/>
    <w:rsid w:val="00F867FC"/>
    <w:rsid w:val="00F86B44"/>
    <w:rsid w:val="00F86D6D"/>
    <w:rsid w:val="00F86FE9"/>
    <w:rsid w:val="00F919F3"/>
    <w:rsid w:val="00F958C6"/>
    <w:rsid w:val="00F965D7"/>
    <w:rsid w:val="00F97A02"/>
    <w:rsid w:val="00F97A8A"/>
    <w:rsid w:val="00FA1C85"/>
    <w:rsid w:val="00FA2AAC"/>
    <w:rsid w:val="00FA2BF1"/>
    <w:rsid w:val="00FA3B4D"/>
    <w:rsid w:val="00FA4B7B"/>
    <w:rsid w:val="00FB4AF4"/>
    <w:rsid w:val="00FB4F01"/>
    <w:rsid w:val="00FB5F3F"/>
    <w:rsid w:val="00FB7117"/>
    <w:rsid w:val="00FC4D2D"/>
    <w:rsid w:val="00FC6CBF"/>
    <w:rsid w:val="00FC7088"/>
    <w:rsid w:val="00FD2EE8"/>
    <w:rsid w:val="00FD484E"/>
    <w:rsid w:val="00FD7984"/>
    <w:rsid w:val="00FE33F8"/>
    <w:rsid w:val="00FE5799"/>
    <w:rsid w:val="00FE5B4C"/>
    <w:rsid w:val="00FE6AE9"/>
    <w:rsid w:val="00FF3C9E"/>
    <w:rsid w:val="00FF7236"/>
    <w:rsid w:val="3024FC78"/>
    <w:rsid w:val="3927B4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197C"/>
  <w15:docId w15:val="{609656B2-01BB-4D74-BA5B-E60BE87E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bidi="en-US"/>
    </w:rPr>
  </w:style>
  <w:style w:type="paragraph" w:styleId="Heading1">
    <w:name w:val="heading 1"/>
    <w:basedOn w:val="Normal"/>
    <w:uiPriority w:val="9"/>
    <w:qFormat/>
    <w:pPr>
      <w:spacing w:before="15"/>
      <w:ind w:left="2945"/>
      <w:jc w:val="center"/>
      <w:outlineLvl w:val="0"/>
    </w:pPr>
    <w:rPr>
      <w:b/>
      <w:bCs/>
      <w:sz w:val="28"/>
      <w:szCs w:val="28"/>
    </w:rPr>
  </w:style>
  <w:style w:type="paragraph" w:styleId="Heading2">
    <w:name w:val="heading 2"/>
    <w:basedOn w:val="Normal"/>
    <w:uiPriority w:val="9"/>
    <w:unhideWhenUsed/>
    <w:qFormat/>
    <w:pPr>
      <w:spacing w:before="33"/>
      <w:ind w:left="858"/>
      <w:outlineLvl w:val="1"/>
    </w:pPr>
    <w:rPr>
      <w:b/>
      <w:bCs/>
      <w:sz w:val="24"/>
      <w:szCs w:val="24"/>
    </w:rPr>
  </w:style>
  <w:style w:type="paragraph" w:styleId="Heading3">
    <w:name w:val="heading 3"/>
    <w:basedOn w:val="Normal"/>
    <w:uiPriority w:val="9"/>
    <w:unhideWhenUsed/>
    <w:qFormat/>
    <w:pPr>
      <w:ind w:left="85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5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FF6"/>
    <w:pPr>
      <w:tabs>
        <w:tab w:val="center" w:pos="4513"/>
        <w:tab w:val="right" w:pos="9026"/>
      </w:tabs>
    </w:pPr>
  </w:style>
  <w:style w:type="character" w:customStyle="1" w:styleId="HeaderChar">
    <w:name w:val="Header Char"/>
    <w:basedOn w:val="DefaultParagraphFont"/>
    <w:link w:val="Header"/>
    <w:uiPriority w:val="99"/>
    <w:rsid w:val="008F7FF6"/>
    <w:rPr>
      <w:rFonts w:ascii="Calibri" w:eastAsia="Calibri" w:hAnsi="Calibri" w:cs="Calibri"/>
      <w:lang w:bidi="en-US"/>
    </w:rPr>
  </w:style>
  <w:style w:type="paragraph" w:styleId="Footer">
    <w:name w:val="footer"/>
    <w:basedOn w:val="Normal"/>
    <w:link w:val="FooterChar"/>
    <w:uiPriority w:val="99"/>
    <w:unhideWhenUsed/>
    <w:rsid w:val="008F7FF6"/>
    <w:pPr>
      <w:tabs>
        <w:tab w:val="center" w:pos="4513"/>
        <w:tab w:val="right" w:pos="9026"/>
      </w:tabs>
    </w:pPr>
  </w:style>
  <w:style w:type="character" w:customStyle="1" w:styleId="FooterChar">
    <w:name w:val="Footer Char"/>
    <w:basedOn w:val="DefaultParagraphFont"/>
    <w:link w:val="Footer"/>
    <w:uiPriority w:val="99"/>
    <w:rsid w:val="008F7FF6"/>
    <w:rPr>
      <w:rFonts w:ascii="Calibri" w:eastAsia="Calibri" w:hAnsi="Calibri" w:cs="Calibri"/>
      <w:lang w:bidi="en-US"/>
    </w:rPr>
  </w:style>
  <w:style w:type="character" w:customStyle="1" w:styleId="ListParagraphChar">
    <w:name w:val="List Paragraph Char"/>
    <w:basedOn w:val="DefaultParagraphFont"/>
    <w:link w:val="ListParagraph"/>
    <w:uiPriority w:val="34"/>
    <w:locked/>
    <w:rsid w:val="00E16BD1"/>
    <w:rPr>
      <w:rFonts w:ascii="Calibri" w:eastAsia="Calibri" w:hAnsi="Calibri" w:cs="Calibri"/>
      <w:lang w:bidi="en-US"/>
    </w:rPr>
  </w:style>
  <w:style w:type="paragraph" w:styleId="NoSpacing">
    <w:name w:val="No Spacing"/>
    <w:uiPriority w:val="1"/>
    <w:qFormat/>
    <w:rsid w:val="00D330C6"/>
    <w:pPr>
      <w:widowControl/>
      <w:autoSpaceDE/>
      <w:autoSpaceDN/>
    </w:pPr>
    <w:rPr>
      <w:lang w:val="en-GB"/>
    </w:rPr>
  </w:style>
  <w:style w:type="paragraph" w:styleId="NormalWeb">
    <w:name w:val="Normal (Web)"/>
    <w:basedOn w:val="Normal"/>
    <w:uiPriority w:val="99"/>
    <w:unhideWhenUsed/>
    <w:rsid w:val="00D330C6"/>
    <w:rPr>
      <w:rFonts w:ascii="Times New Roman" w:hAnsi="Times New Roman" w:cs="Times New Roman"/>
      <w:sz w:val="24"/>
      <w:szCs w:val="24"/>
    </w:rPr>
  </w:style>
  <w:style w:type="character" w:styleId="Hyperlink">
    <w:name w:val="Hyperlink"/>
    <w:basedOn w:val="DefaultParagraphFont"/>
    <w:uiPriority w:val="99"/>
    <w:unhideWhenUsed/>
    <w:rsid w:val="00D330C6"/>
    <w:rPr>
      <w:color w:val="0000FF" w:themeColor="hyperlink"/>
      <w:u w:val="single"/>
    </w:rPr>
  </w:style>
  <w:style w:type="character" w:styleId="UnresolvedMention">
    <w:name w:val="Unresolved Mention"/>
    <w:basedOn w:val="DefaultParagraphFont"/>
    <w:uiPriority w:val="99"/>
    <w:semiHidden/>
    <w:unhideWhenUsed/>
    <w:rsid w:val="00D330C6"/>
    <w:rPr>
      <w:color w:val="605E5C"/>
      <w:shd w:val="clear" w:color="auto" w:fill="E1DFDD"/>
    </w:rPr>
  </w:style>
  <w:style w:type="character" w:styleId="Strong">
    <w:name w:val="Strong"/>
    <w:basedOn w:val="DefaultParagraphFont"/>
    <w:uiPriority w:val="22"/>
    <w:qFormat/>
    <w:rsid w:val="00790E6E"/>
    <w:rPr>
      <w:b/>
      <w:bCs/>
    </w:rPr>
  </w:style>
  <w:style w:type="character" w:styleId="Emphasis">
    <w:name w:val="Emphasis"/>
    <w:basedOn w:val="DefaultParagraphFont"/>
    <w:uiPriority w:val="20"/>
    <w:qFormat/>
    <w:rsid w:val="00790E6E"/>
    <w:rPr>
      <w:i/>
      <w:iCs/>
    </w:rPr>
  </w:style>
  <w:style w:type="character" w:styleId="FollowedHyperlink">
    <w:name w:val="FollowedHyperlink"/>
    <w:basedOn w:val="DefaultParagraphFont"/>
    <w:uiPriority w:val="99"/>
    <w:semiHidden/>
    <w:unhideWhenUsed/>
    <w:rsid w:val="001D6A79"/>
    <w:rPr>
      <w:color w:val="800080" w:themeColor="followedHyperlink"/>
      <w:u w:val="single"/>
    </w:rPr>
  </w:style>
  <w:style w:type="table" w:styleId="TableGrid">
    <w:name w:val="Table Grid"/>
    <w:basedOn w:val="TableNormal"/>
    <w:uiPriority w:val="39"/>
    <w:rsid w:val="006E23C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829"/>
    <w:rPr>
      <w:rFonts w:ascii="Segoe UI" w:eastAsia="Calibri" w:hAnsi="Segoe UI" w:cs="Segoe UI"/>
      <w:sz w:val="18"/>
      <w:szCs w:val="18"/>
      <w:lang w:val="en-GB" w:bidi="en-US"/>
    </w:rPr>
  </w:style>
  <w:style w:type="table" w:customStyle="1" w:styleId="TableGrid1">
    <w:name w:val="Table Grid1"/>
    <w:basedOn w:val="TableNormal"/>
    <w:next w:val="TableGrid"/>
    <w:uiPriority w:val="39"/>
    <w:rsid w:val="005E3A92"/>
    <w:pPr>
      <w:widowControl/>
      <w:autoSpaceDE/>
      <w:autoSpaceDN/>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03651"/>
  </w:style>
  <w:style w:type="character" w:customStyle="1" w:styleId="eop">
    <w:name w:val="eop"/>
    <w:basedOn w:val="DefaultParagraphFont"/>
    <w:rsid w:val="00103651"/>
  </w:style>
  <w:style w:type="paragraph" w:customStyle="1" w:styleId="paragraph">
    <w:name w:val="paragraph"/>
    <w:basedOn w:val="Normal"/>
    <w:rsid w:val="00540789"/>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scxw195990408">
    <w:name w:val="scxw195990408"/>
    <w:basedOn w:val="DefaultParagraphFont"/>
    <w:rsid w:val="0054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38547">
      <w:bodyDiv w:val="1"/>
      <w:marLeft w:val="0"/>
      <w:marRight w:val="0"/>
      <w:marTop w:val="0"/>
      <w:marBottom w:val="0"/>
      <w:divBdr>
        <w:top w:val="none" w:sz="0" w:space="0" w:color="auto"/>
        <w:left w:val="none" w:sz="0" w:space="0" w:color="auto"/>
        <w:bottom w:val="none" w:sz="0" w:space="0" w:color="auto"/>
        <w:right w:val="none" w:sz="0" w:space="0" w:color="auto"/>
      </w:divBdr>
    </w:div>
    <w:div w:id="605117422">
      <w:bodyDiv w:val="1"/>
      <w:marLeft w:val="0"/>
      <w:marRight w:val="0"/>
      <w:marTop w:val="0"/>
      <w:marBottom w:val="0"/>
      <w:divBdr>
        <w:top w:val="none" w:sz="0" w:space="0" w:color="auto"/>
        <w:left w:val="none" w:sz="0" w:space="0" w:color="auto"/>
        <w:bottom w:val="none" w:sz="0" w:space="0" w:color="auto"/>
        <w:right w:val="none" w:sz="0" w:space="0" w:color="auto"/>
      </w:divBdr>
    </w:div>
    <w:div w:id="144626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nhsbsa.nhs.uk/pharmacies-gp-practices-and-appliance-contractors/dispensing-contractors-information/manage-your" TargetMode="Externa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jpg"/><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yperlink" Target="https://www.nhsbsa.nhs.uk/pharmacies-gp-practices-and-appliance-contractors/dispensing-contractors-information/manage-your" TargetMode="Externa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0" u="none" strike="noStrike" kern="1200" spc="0" baseline="0">
                <a:solidFill>
                  <a:schemeClr val="tx1">
                    <a:lumMod val="65000"/>
                    <a:lumOff val="35000"/>
                  </a:schemeClr>
                </a:solidFill>
                <a:latin typeface="+mn-lt"/>
                <a:ea typeface="+mn-ea"/>
                <a:cs typeface="+mn-cs"/>
              </a:defRPr>
            </a:pPr>
            <a:r>
              <a:rPr lang="en-US" sz="900"/>
              <a:t>Number of</a:t>
            </a:r>
            <a:r>
              <a:rPr lang="en-US" sz="900" baseline="0"/>
              <a:t> concessions agreed, imposed or not granted (Nov 17 - Apr 20)</a:t>
            </a:r>
            <a:endParaRPr lang="en-US" sz="900"/>
          </a:p>
        </c:rich>
      </c:tx>
      <c:layout>
        <c:manualLayout>
          <c:xMode val="edge"/>
          <c:yMode val="edge"/>
          <c:x val="0.16177284911842066"/>
          <c:y val="1.6485597528157082E-2"/>
        </c:manualLayout>
      </c:layout>
      <c:overlay val="0"/>
      <c:spPr>
        <a:noFill/>
        <a:ln>
          <a:noFill/>
        </a:ln>
        <a:effectLst/>
      </c:spPr>
      <c:txPr>
        <a:bodyPr rot="0" spcFirstLastPara="1" vertOverflow="ellipsis" vert="horz" wrap="square" anchor="ctr" anchorCtr="1"/>
        <a:lstStyle/>
        <a:p>
          <a:pPr algn="ct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Graph!$A$2</c:f>
              <c:strCache>
                <c:ptCount val="1"/>
                <c:pt idx="0">
                  <c:v>DHSC &amp; PSNC Agreed</c:v>
                </c:pt>
              </c:strCache>
            </c:strRef>
          </c:tx>
          <c:spPr>
            <a:solidFill>
              <a:schemeClr val="accent6"/>
            </a:solidFill>
            <a:ln>
              <a:noFill/>
            </a:ln>
            <a:effectLst/>
          </c:spPr>
          <c:invertIfNegative val="0"/>
          <c:cat>
            <c:numRef>
              <c:f>Graph!$B$1:$AE$1</c:f>
              <c:numCache>
                <c:formatCode>mmm\-yy</c:formatCode>
                <c:ptCount val="3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numCache>
            </c:numRef>
          </c:cat>
          <c:val>
            <c:numRef>
              <c:f>Graph!$B$2:$AE$2</c:f>
              <c:numCache>
                <c:formatCode>General</c:formatCode>
                <c:ptCount val="30"/>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pt idx="26">
                  <c:v>54</c:v>
                </c:pt>
                <c:pt idx="27">
                  <c:v>45</c:v>
                </c:pt>
                <c:pt idx="28">
                  <c:v>57</c:v>
                </c:pt>
                <c:pt idx="29">
                  <c:v>65</c:v>
                </c:pt>
              </c:numCache>
            </c:numRef>
          </c:val>
          <c:extLst>
            <c:ext xmlns:c16="http://schemas.microsoft.com/office/drawing/2014/chart" uri="{C3380CC4-5D6E-409C-BE32-E72D297353CC}">
              <c16:uniqueId val="{00000000-AB4E-4BFD-91AB-C5413EE5FCDE}"/>
            </c:ext>
          </c:extLst>
        </c:ser>
        <c:ser>
          <c:idx val="1"/>
          <c:order val="1"/>
          <c:tx>
            <c:strRef>
              <c:f>Graph!$A$3</c:f>
              <c:strCache>
                <c:ptCount val="1"/>
                <c:pt idx="0">
                  <c:v>DHSC imposed</c:v>
                </c:pt>
              </c:strCache>
            </c:strRef>
          </c:tx>
          <c:spPr>
            <a:solidFill>
              <a:srgbClr val="C00000"/>
            </a:solidFill>
            <a:ln>
              <a:noFill/>
            </a:ln>
            <a:effectLst/>
          </c:spPr>
          <c:invertIfNegative val="0"/>
          <c:cat>
            <c:numRef>
              <c:f>Graph!$B$1:$AE$1</c:f>
              <c:numCache>
                <c:formatCode>mmm\-yy</c:formatCode>
                <c:ptCount val="3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numCache>
            </c:numRef>
          </c:cat>
          <c:val>
            <c:numRef>
              <c:f>Graph!$B$3:$AE$3</c:f>
              <c:numCache>
                <c:formatCode>General</c:formatCode>
                <c:ptCount val="30"/>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pt idx="26">
                  <c:v>3</c:v>
                </c:pt>
                <c:pt idx="27">
                  <c:v>9</c:v>
                </c:pt>
                <c:pt idx="28">
                  <c:v>19</c:v>
                </c:pt>
                <c:pt idx="29">
                  <c:v>12</c:v>
                </c:pt>
              </c:numCache>
            </c:numRef>
          </c:val>
          <c:extLst>
            <c:ext xmlns:c16="http://schemas.microsoft.com/office/drawing/2014/chart" uri="{C3380CC4-5D6E-409C-BE32-E72D297353CC}">
              <c16:uniqueId val="{00000001-AB4E-4BFD-91AB-C5413EE5FCDE}"/>
            </c:ext>
          </c:extLst>
        </c:ser>
        <c:ser>
          <c:idx val="2"/>
          <c:order val="2"/>
          <c:tx>
            <c:strRef>
              <c:f>Graph!$A$4</c:f>
              <c:strCache>
                <c:ptCount val="1"/>
                <c:pt idx="0">
                  <c:v>DHSC refused to grant price concession</c:v>
                </c:pt>
              </c:strCache>
            </c:strRef>
          </c:tx>
          <c:spPr>
            <a:solidFill>
              <a:srgbClr val="0070C0"/>
            </a:solidFill>
            <a:ln>
              <a:noFill/>
            </a:ln>
            <a:effectLst/>
          </c:spPr>
          <c:invertIfNegative val="0"/>
          <c:cat>
            <c:numRef>
              <c:f>Graph!$B$1:$AE$1</c:f>
              <c:numCache>
                <c:formatCode>mmm\-yy</c:formatCode>
                <c:ptCount val="3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numCache>
            </c:numRef>
          </c:cat>
          <c:val>
            <c:numRef>
              <c:f>Graph!$B$4:$AE$4</c:f>
              <c:numCache>
                <c:formatCode>General</c:formatCode>
                <c:ptCount val="30"/>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pt idx="21">
                  <c:v>0</c:v>
                </c:pt>
                <c:pt idx="22">
                  <c:v>0</c:v>
                </c:pt>
                <c:pt idx="23">
                  <c:v>0</c:v>
                </c:pt>
                <c:pt idx="24">
                  <c:v>0</c:v>
                </c:pt>
                <c:pt idx="25">
                  <c:v>0</c:v>
                </c:pt>
                <c:pt idx="26">
                  <c:v>1</c:v>
                </c:pt>
                <c:pt idx="27">
                  <c:v>3</c:v>
                </c:pt>
                <c:pt idx="28">
                  <c:v>3</c:v>
                </c:pt>
                <c:pt idx="29">
                  <c:v>3</c:v>
                </c:pt>
              </c:numCache>
            </c:numRef>
          </c:val>
          <c:extLst>
            <c:ext xmlns:c16="http://schemas.microsoft.com/office/drawing/2014/chart" uri="{C3380CC4-5D6E-409C-BE32-E72D297353CC}">
              <c16:uniqueId val="{00000002-AB4E-4BFD-91AB-C5413EE5FCDE}"/>
            </c:ext>
          </c:extLst>
        </c:ser>
        <c:dLbls>
          <c:showLegendKey val="0"/>
          <c:showVal val="0"/>
          <c:showCatName val="0"/>
          <c:showSerName val="0"/>
          <c:showPercent val="0"/>
          <c:showBubbleSize val="0"/>
        </c:dLbls>
        <c:gapWidth val="150"/>
        <c:overlap val="100"/>
        <c:axId val="446108808"/>
        <c:axId val="446112416"/>
      </c:barChart>
      <c:dateAx>
        <c:axId val="4461088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46112416"/>
        <c:crosses val="autoZero"/>
        <c:auto val="1"/>
        <c:lblOffset val="100"/>
        <c:baseTimeUnit val="months"/>
      </c:dateAx>
      <c:valAx>
        <c:axId val="44611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46108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0" i="0" baseline="0">
                <a:effectLst/>
              </a:rPr>
              <a:t>Percentage of price concessions agreed, imposed or not granted</a:t>
            </a:r>
            <a:endParaRPr lang="en-GB"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Graph!$A$2</c:f>
              <c:strCache>
                <c:ptCount val="1"/>
                <c:pt idx="0">
                  <c:v>DHSC &amp; PSNC Agreed</c:v>
                </c:pt>
              </c:strCache>
            </c:strRef>
          </c:tx>
          <c:spPr>
            <a:solidFill>
              <a:schemeClr val="accent6"/>
            </a:solidFill>
            <a:ln>
              <a:noFill/>
            </a:ln>
            <a:effectLst/>
          </c:spPr>
          <c:invertIfNegative val="0"/>
          <c:cat>
            <c:numRef>
              <c:f>Graph!$B$1:$AE$1</c:f>
              <c:numCache>
                <c:formatCode>mmm\-yy</c:formatCode>
                <c:ptCount val="3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numCache>
            </c:numRef>
          </c:cat>
          <c:val>
            <c:numRef>
              <c:f>Graph!$B$2:$AE$2</c:f>
              <c:numCache>
                <c:formatCode>General</c:formatCode>
                <c:ptCount val="30"/>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pt idx="26">
                  <c:v>54</c:v>
                </c:pt>
                <c:pt idx="27">
                  <c:v>45</c:v>
                </c:pt>
                <c:pt idx="28">
                  <c:v>57</c:v>
                </c:pt>
                <c:pt idx="29">
                  <c:v>65</c:v>
                </c:pt>
              </c:numCache>
            </c:numRef>
          </c:val>
          <c:extLst>
            <c:ext xmlns:c16="http://schemas.microsoft.com/office/drawing/2014/chart" uri="{C3380CC4-5D6E-409C-BE32-E72D297353CC}">
              <c16:uniqueId val="{00000000-FEC3-48CF-9CE5-7F10D5F467B6}"/>
            </c:ext>
          </c:extLst>
        </c:ser>
        <c:ser>
          <c:idx val="1"/>
          <c:order val="1"/>
          <c:tx>
            <c:strRef>
              <c:f>Graph!$A$3</c:f>
              <c:strCache>
                <c:ptCount val="1"/>
                <c:pt idx="0">
                  <c:v>DHSC imposed</c:v>
                </c:pt>
              </c:strCache>
            </c:strRef>
          </c:tx>
          <c:spPr>
            <a:solidFill>
              <a:srgbClr val="C00000"/>
            </a:solidFill>
            <a:ln>
              <a:noFill/>
            </a:ln>
            <a:effectLst/>
          </c:spPr>
          <c:invertIfNegative val="0"/>
          <c:cat>
            <c:numRef>
              <c:f>Graph!$B$1:$AE$1</c:f>
              <c:numCache>
                <c:formatCode>mmm\-yy</c:formatCode>
                <c:ptCount val="3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numCache>
            </c:numRef>
          </c:cat>
          <c:val>
            <c:numRef>
              <c:f>Graph!$B$3:$AE$3</c:f>
              <c:numCache>
                <c:formatCode>General</c:formatCode>
                <c:ptCount val="30"/>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pt idx="26">
                  <c:v>3</c:v>
                </c:pt>
                <c:pt idx="27">
                  <c:v>9</c:v>
                </c:pt>
                <c:pt idx="28">
                  <c:v>19</c:v>
                </c:pt>
                <c:pt idx="29">
                  <c:v>12</c:v>
                </c:pt>
              </c:numCache>
            </c:numRef>
          </c:val>
          <c:extLst>
            <c:ext xmlns:c16="http://schemas.microsoft.com/office/drawing/2014/chart" uri="{C3380CC4-5D6E-409C-BE32-E72D297353CC}">
              <c16:uniqueId val="{00000001-FEC3-48CF-9CE5-7F10D5F467B6}"/>
            </c:ext>
          </c:extLst>
        </c:ser>
        <c:ser>
          <c:idx val="2"/>
          <c:order val="2"/>
          <c:tx>
            <c:strRef>
              <c:f>Graph!$A$4</c:f>
              <c:strCache>
                <c:ptCount val="1"/>
                <c:pt idx="0">
                  <c:v>DHSC refused to grant price concession</c:v>
                </c:pt>
              </c:strCache>
            </c:strRef>
          </c:tx>
          <c:spPr>
            <a:solidFill>
              <a:srgbClr val="0070C0"/>
            </a:solidFill>
            <a:ln>
              <a:noFill/>
            </a:ln>
            <a:effectLst/>
          </c:spPr>
          <c:invertIfNegative val="0"/>
          <c:cat>
            <c:numRef>
              <c:f>Graph!$B$1:$AE$1</c:f>
              <c:numCache>
                <c:formatCode>mmm\-yy</c:formatCode>
                <c:ptCount val="3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numCache>
            </c:numRef>
          </c:cat>
          <c:val>
            <c:numRef>
              <c:f>Graph!$B$4:$AE$4</c:f>
              <c:numCache>
                <c:formatCode>General</c:formatCode>
                <c:ptCount val="30"/>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pt idx="21">
                  <c:v>0</c:v>
                </c:pt>
                <c:pt idx="22">
                  <c:v>0</c:v>
                </c:pt>
                <c:pt idx="23">
                  <c:v>0</c:v>
                </c:pt>
                <c:pt idx="24">
                  <c:v>0</c:v>
                </c:pt>
                <c:pt idx="25">
                  <c:v>0</c:v>
                </c:pt>
                <c:pt idx="26">
                  <c:v>1</c:v>
                </c:pt>
                <c:pt idx="27">
                  <c:v>3</c:v>
                </c:pt>
                <c:pt idx="28">
                  <c:v>3</c:v>
                </c:pt>
                <c:pt idx="29">
                  <c:v>3</c:v>
                </c:pt>
              </c:numCache>
            </c:numRef>
          </c:val>
          <c:extLst>
            <c:ext xmlns:c16="http://schemas.microsoft.com/office/drawing/2014/chart" uri="{C3380CC4-5D6E-409C-BE32-E72D297353CC}">
              <c16:uniqueId val="{00000002-FEC3-48CF-9CE5-7F10D5F467B6}"/>
            </c:ext>
          </c:extLst>
        </c:ser>
        <c:dLbls>
          <c:showLegendKey val="0"/>
          <c:showVal val="0"/>
          <c:showCatName val="0"/>
          <c:showSerName val="0"/>
          <c:showPercent val="0"/>
          <c:showBubbleSize val="0"/>
        </c:dLbls>
        <c:gapWidth val="150"/>
        <c:overlap val="100"/>
        <c:axId val="1199088767"/>
        <c:axId val="1028609823"/>
      </c:barChart>
      <c:dateAx>
        <c:axId val="1199088767"/>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28609823"/>
        <c:crosses val="autoZero"/>
        <c:auto val="1"/>
        <c:lblOffset val="100"/>
        <c:baseTimeUnit val="months"/>
      </c:dateAx>
      <c:valAx>
        <c:axId val="10286098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199088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43ff17-8ab1-422f-9ffc-08be27007d1a">
      <UserInfo>
        <DisplayName>Sarah Welbourne</DisplayName>
        <AccountId>78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693DF1656F4AA19AA4966C1D47B3" ma:contentTypeVersion="7" ma:contentTypeDescription="Create a new document." ma:contentTypeScope="" ma:versionID="421aaa2a887ff3929a5dacc3a7c80e5c">
  <xsd:schema xmlns:xsd="http://www.w3.org/2001/XMLSchema" xmlns:xs="http://www.w3.org/2001/XMLSchema" xmlns:p="http://schemas.microsoft.com/office/2006/metadata/properties" xmlns:ns3="e7de8f16-70d4-49f3-9e36-0356730defda" xmlns:ns4="4843ff17-8ab1-422f-9ffc-08be27007d1a" targetNamespace="http://schemas.microsoft.com/office/2006/metadata/properties" ma:root="true" ma:fieldsID="f14110ff069cdb1aff8dc91f7bfa17fb" ns3:_="" ns4:_="">
    <xsd:import namespace="e7de8f16-70d4-49f3-9e36-0356730defda"/>
    <xsd:import namespace="4843ff17-8ab1-422f-9ffc-08be27007d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f16-70d4-49f3-9e36-0356730def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3ff17-8ab1-422f-9ffc-08be27007d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7DCBC-9E76-4054-925B-3DD0C336457F}">
  <ds:schemaRefs>
    <ds:schemaRef ds:uri="http://schemas.microsoft.com/office/2006/metadata/properties"/>
    <ds:schemaRef ds:uri="http://schemas.microsoft.com/office/infopath/2007/PartnerControls"/>
    <ds:schemaRef ds:uri="4843ff17-8ab1-422f-9ffc-08be27007d1a"/>
  </ds:schemaRefs>
</ds:datastoreItem>
</file>

<file path=customXml/itemProps2.xml><?xml version="1.0" encoding="utf-8"?>
<ds:datastoreItem xmlns:ds="http://schemas.openxmlformats.org/officeDocument/2006/customXml" ds:itemID="{2C455790-F5D0-4B5B-8BF3-4BB74DB64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f16-70d4-49f3-9e36-0356730defda"/>
    <ds:schemaRef ds:uri="4843ff17-8ab1-422f-9ffc-08be27007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F62E7-34F2-4814-9FD3-B0DE24679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PSNC Funding &amp; Contract Subcommittee Agenda</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subject/>
  <dc:creator>Shiné Daley</dc:creator>
  <cp:keywords/>
  <cp:lastModifiedBy>Mike Dent</cp:lastModifiedBy>
  <cp:revision>3</cp:revision>
  <dcterms:created xsi:type="dcterms:W3CDTF">2020-11-24T14:33:00Z</dcterms:created>
  <dcterms:modified xsi:type="dcterms:W3CDTF">2020-11-24T14:34:00Z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2019-12-12T00:00:00Z</vt:filetime>
  </property>
  <property fmtid="{D5CDD505-2E9C-101B-9397-08002B2CF9AE}" pid="5" name="ContentTypeId">
    <vt:lpwstr>0x0101002A7F693DF1656F4AA19AA4966C1D47B3</vt:lpwstr>
  </property>
</Properties>
</file>