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A052C" w14:textId="4FC9AF61" w:rsidR="0082373E" w:rsidRPr="00D62AB8" w:rsidRDefault="004F17EF" w:rsidP="003F06F2">
      <w:pPr>
        <w:ind w:right="118"/>
        <w:jc w:val="both"/>
        <w:rPr>
          <w:b/>
          <w:color w:val="519680"/>
          <w:sz w:val="32"/>
          <w:szCs w:val="24"/>
        </w:rPr>
      </w:pPr>
      <w:r w:rsidRPr="00D62AB8">
        <w:rPr>
          <w:b/>
          <w:color w:val="519680"/>
          <w:sz w:val="32"/>
          <w:szCs w:val="24"/>
        </w:rPr>
        <w:t xml:space="preserve">GP </w:t>
      </w:r>
      <w:bookmarkStart w:id="0" w:name="_Hlk56777031"/>
      <w:r w:rsidR="00316BF5" w:rsidRPr="00D62AB8">
        <w:rPr>
          <w:b/>
          <w:color w:val="519680"/>
          <w:sz w:val="32"/>
          <w:szCs w:val="24"/>
        </w:rPr>
        <w:t xml:space="preserve">referral pathway to the </w:t>
      </w:r>
      <w:r w:rsidR="00346941" w:rsidRPr="00D62AB8">
        <w:rPr>
          <w:b/>
          <w:color w:val="519680"/>
          <w:sz w:val="32"/>
          <w:szCs w:val="24"/>
        </w:rPr>
        <w:t>CPCS</w:t>
      </w:r>
      <w:r w:rsidR="00316BF5" w:rsidRPr="00D62AB8">
        <w:rPr>
          <w:b/>
          <w:color w:val="519680"/>
          <w:sz w:val="32"/>
          <w:szCs w:val="24"/>
        </w:rPr>
        <w:t xml:space="preserve"> </w:t>
      </w:r>
      <w:r w:rsidR="00D62AB8" w:rsidRPr="00D62AB8">
        <w:rPr>
          <w:b/>
          <w:color w:val="519680"/>
          <w:sz w:val="32"/>
          <w:szCs w:val="24"/>
        </w:rPr>
        <w:t>-</w:t>
      </w:r>
      <w:r w:rsidR="0082373E" w:rsidRPr="00D62AB8">
        <w:rPr>
          <w:b/>
          <w:color w:val="519680"/>
          <w:sz w:val="32"/>
          <w:szCs w:val="24"/>
        </w:rPr>
        <w:t xml:space="preserve"> </w:t>
      </w:r>
      <w:bookmarkEnd w:id="0"/>
      <w:r w:rsidR="005E5844" w:rsidRPr="00D62AB8">
        <w:rPr>
          <w:b/>
          <w:color w:val="519680"/>
          <w:sz w:val="32"/>
          <w:szCs w:val="24"/>
        </w:rPr>
        <w:t>Action Plan</w:t>
      </w:r>
      <w:r w:rsidR="00346941" w:rsidRPr="00D62AB8">
        <w:rPr>
          <w:b/>
          <w:color w:val="519680"/>
          <w:sz w:val="32"/>
          <w:szCs w:val="24"/>
        </w:rPr>
        <w:t xml:space="preserve"> template for pharmacy teams</w:t>
      </w:r>
    </w:p>
    <w:p w14:paraId="4955406A" w14:textId="13D62B7C" w:rsidR="0032728C" w:rsidRDefault="0032728C" w:rsidP="00D17DBC">
      <w:pPr>
        <w:spacing w:after="0" w:line="240" w:lineRule="auto"/>
        <w:ind w:right="119"/>
        <w:jc w:val="both"/>
      </w:pPr>
      <w:r>
        <w:t xml:space="preserve">The </w:t>
      </w:r>
      <w:r w:rsidR="003A172A">
        <w:t xml:space="preserve">implementation of the </w:t>
      </w:r>
      <w:r>
        <w:t xml:space="preserve">general practice referral pathway into the </w:t>
      </w:r>
      <w:r w:rsidRPr="006F3812">
        <w:rPr>
          <w:bCs/>
        </w:rPr>
        <w:t>Community Pharmacist Consultation Service</w:t>
      </w:r>
      <w:r>
        <w:t xml:space="preserve"> (CPSC)</w:t>
      </w:r>
      <w:r w:rsidR="003A172A">
        <w:t xml:space="preserve"> will be managed locally by the NHS</w:t>
      </w:r>
      <w:r w:rsidR="001A093A">
        <w:t xml:space="preserve"> (or their delivery partners), with support from</w:t>
      </w:r>
      <w:r w:rsidR="00F34A89">
        <w:t xml:space="preserve"> LPCs</w:t>
      </w:r>
      <w:r w:rsidR="005F2501">
        <w:t xml:space="preserve">. The aim is that rollout happens across a Primary Care Network (PCN) or </w:t>
      </w:r>
      <w:r w:rsidR="00E746C1">
        <w:t xml:space="preserve">larger area, </w:t>
      </w:r>
      <w:r w:rsidR="00B5257B">
        <w:t xml:space="preserve">and because general practices can choose whether they wish to make referrals to the CPCS, </w:t>
      </w:r>
      <w:r w:rsidR="006C4812">
        <w:t xml:space="preserve">the service will be activated </w:t>
      </w:r>
      <w:r w:rsidR="00D51C04">
        <w:t>at different times across the country.</w:t>
      </w:r>
      <w:r w:rsidR="005F2501">
        <w:t xml:space="preserve"> </w:t>
      </w:r>
    </w:p>
    <w:p w14:paraId="7EF1D95C" w14:textId="77777777" w:rsidR="0032728C" w:rsidRPr="006D4B83" w:rsidRDefault="0032728C" w:rsidP="00D17DBC">
      <w:pPr>
        <w:spacing w:after="0" w:line="240" w:lineRule="auto"/>
        <w:ind w:right="119"/>
        <w:jc w:val="both"/>
        <w:rPr>
          <w:sz w:val="16"/>
          <w:szCs w:val="16"/>
        </w:rPr>
      </w:pPr>
    </w:p>
    <w:p w14:paraId="2E05278D" w14:textId="1788713D" w:rsidR="0082373E" w:rsidRDefault="00C233CF" w:rsidP="00BE79A7">
      <w:pPr>
        <w:spacing w:after="0" w:line="240" w:lineRule="auto"/>
        <w:ind w:right="119"/>
        <w:jc w:val="both"/>
      </w:pPr>
      <w:r>
        <w:t xml:space="preserve">Community pharmacy contractors </w:t>
      </w:r>
      <w:r w:rsidR="00D51C04">
        <w:t xml:space="preserve">will therefore need to ensure they </w:t>
      </w:r>
      <w:r w:rsidR="001C4B80">
        <w:t xml:space="preserve">keep in contact with their LPC to find out how implementation is progressing in their area, but there are some </w:t>
      </w:r>
      <w:r w:rsidR="0033432C">
        <w:t xml:space="preserve">tasks to support implementation of the referral pathway into </w:t>
      </w:r>
      <w:r w:rsidR="001E228A">
        <w:t>the contractor’s processes</w:t>
      </w:r>
      <w:r w:rsidR="0033432C">
        <w:t xml:space="preserve"> which can be undertaken ahead of</w:t>
      </w:r>
      <w:r w:rsidR="001E228A">
        <w:t xml:space="preserve"> the local rollout. Contractors </w:t>
      </w:r>
      <w:r w:rsidR="00EB2769">
        <w:t>can use t</w:t>
      </w:r>
      <w:r w:rsidR="00F37ECE">
        <w:t>his</w:t>
      </w:r>
      <w:r>
        <w:t xml:space="preserve"> </w:t>
      </w:r>
      <w:r w:rsidR="00601831">
        <w:t xml:space="preserve">action plan template </w:t>
      </w:r>
      <w:r w:rsidR="00EB2769">
        <w:t>t</w:t>
      </w:r>
      <w:r>
        <w:t xml:space="preserve">o </w:t>
      </w:r>
      <w:r w:rsidR="001E291E">
        <w:t xml:space="preserve">guide their teams through </w:t>
      </w:r>
      <w:r w:rsidR="00346941">
        <w:t xml:space="preserve">the tasks necessary to </w:t>
      </w:r>
      <w:r w:rsidR="00577C99">
        <w:t>implement</w:t>
      </w:r>
      <w:r w:rsidR="00577C99" w:rsidDel="00346941">
        <w:t xml:space="preserve"> </w:t>
      </w:r>
      <w:r w:rsidR="00577C99">
        <w:t xml:space="preserve">the </w:t>
      </w:r>
      <w:r w:rsidR="00D17DBC">
        <w:t>pathway</w:t>
      </w:r>
      <w:r w:rsidR="006824BA">
        <w:t xml:space="preserve"> in the pharmacy</w:t>
      </w:r>
      <w:r w:rsidR="0082373E">
        <w:t>.</w:t>
      </w:r>
      <w:r w:rsidR="00A92BB5">
        <w:t xml:space="preserve"> Additional actions should be added, as necessary, to meet </w:t>
      </w:r>
      <w:r w:rsidR="00060600">
        <w:t>the needs of the pharmacy team</w:t>
      </w:r>
      <w:r w:rsidR="006824BA">
        <w:t xml:space="preserve"> and the local situation</w:t>
      </w:r>
      <w:r w:rsidR="00A92BB5">
        <w:t>.</w:t>
      </w:r>
    </w:p>
    <w:p w14:paraId="460B4150" w14:textId="77777777" w:rsidR="00D17DBC" w:rsidRDefault="00D17DBC" w:rsidP="00BE79A7">
      <w:pPr>
        <w:spacing w:after="0" w:line="240" w:lineRule="auto"/>
        <w:ind w:right="119"/>
        <w:jc w:val="both"/>
      </w:pPr>
    </w:p>
    <w:tbl>
      <w:tblPr>
        <w:tblStyle w:val="TableGrid"/>
        <w:tblW w:w="10432" w:type="dxa"/>
        <w:tblInd w:w="-5" w:type="dxa"/>
        <w:tblBorders>
          <w:top w:val="single" w:sz="4" w:space="0" w:color="519680"/>
          <w:left w:val="single" w:sz="4" w:space="0" w:color="519680"/>
          <w:bottom w:val="single" w:sz="4" w:space="0" w:color="519680"/>
          <w:right w:val="single" w:sz="4" w:space="0" w:color="519680"/>
          <w:insideH w:val="single" w:sz="4" w:space="0" w:color="519680"/>
          <w:insideV w:val="single" w:sz="4" w:space="0" w:color="51968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387"/>
        <w:gridCol w:w="850"/>
        <w:gridCol w:w="1134"/>
        <w:gridCol w:w="1218"/>
      </w:tblGrid>
      <w:tr w:rsidR="00D03CD4" w14:paraId="6FB087A4" w14:textId="1B8569FC" w:rsidTr="006D4B83">
        <w:trPr>
          <w:trHeight w:val="250"/>
          <w:tblHeader/>
        </w:trPr>
        <w:tc>
          <w:tcPr>
            <w:tcW w:w="1843" w:type="dxa"/>
            <w:shd w:val="clear" w:color="auto" w:fill="B4D6CB"/>
          </w:tcPr>
          <w:p w14:paraId="089A3B58" w14:textId="1394C697" w:rsidR="00D03CD4" w:rsidRPr="00C233CF" w:rsidRDefault="00D03CD4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5387" w:type="dxa"/>
            <w:shd w:val="clear" w:color="auto" w:fill="B4D6CB"/>
          </w:tcPr>
          <w:p w14:paraId="1FE357EB" w14:textId="370D33A1" w:rsidR="00D03CD4" w:rsidRPr="00C233CF" w:rsidRDefault="00D03CD4">
            <w:pPr>
              <w:rPr>
                <w:b/>
              </w:rPr>
            </w:pPr>
            <w:r>
              <w:rPr>
                <w:b/>
              </w:rPr>
              <w:t>Action to be completed</w:t>
            </w:r>
          </w:p>
        </w:tc>
        <w:tc>
          <w:tcPr>
            <w:tcW w:w="850" w:type="dxa"/>
            <w:shd w:val="clear" w:color="auto" w:fill="B4D6CB"/>
          </w:tcPr>
          <w:p w14:paraId="2F501DA9" w14:textId="01C75C82" w:rsidR="00D03CD4" w:rsidRPr="00C233CF" w:rsidRDefault="00D03CD4" w:rsidP="003F06F2">
            <w:pPr>
              <w:jc w:val="center"/>
              <w:rPr>
                <w:b/>
              </w:rPr>
            </w:pPr>
            <w:r>
              <w:rPr>
                <w:b/>
              </w:rPr>
              <w:t>Lead</w:t>
            </w:r>
          </w:p>
        </w:tc>
        <w:tc>
          <w:tcPr>
            <w:tcW w:w="1134" w:type="dxa"/>
            <w:shd w:val="clear" w:color="auto" w:fill="B4D6CB"/>
          </w:tcPr>
          <w:p w14:paraId="41C4D4B5" w14:textId="719AEDCF" w:rsidR="00D03CD4" w:rsidRDefault="00D03CD4" w:rsidP="003F06F2">
            <w:pPr>
              <w:jc w:val="center"/>
              <w:rPr>
                <w:b/>
              </w:rPr>
            </w:pPr>
            <w:r>
              <w:rPr>
                <w:b/>
              </w:rPr>
              <w:t>Timescale</w:t>
            </w:r>
          </w:p>
        </w:tc>
        <w:tc>
          <w:tcPr>
            <w:tcW w:w="1218" w:type="dxa"/>
            <w:shd w:val="clear" w:color="auto" w:fill="B4D6CB"/>
          </w:tcPr>
          <w:p w14:paraId="683FAA55" w14:textId="5CAE9A76" w:rsidR="00D03CD4" w:rsidRDefault="00D03CD4" w:rsidP="003F06F2">
            <w:pPr>
              <w:jc w:val="center"/>
              <w:rPr>
                <w:b/>
              </w:rPr>
            </w:pPr>
            <w:r>
              <w:rPr>
                <w:b/>
              </w:rPr>
              <w:t>Completed</w:t>
            </w:r>
          </w:p>
        </w:tc>
      </w:tr>
      <w:tr w:rsidR="00C4650E" w14:paraId="48C0210F" w14:textId="6831CE72" w:rsidTr="006D4B83">
        <w:trPr>
          <w:trHeight w:val="736"/>
        </w:trPr>
        <w:tc>
          <w:tcPr>
            <w:tcW w:w="1843" w:type="dxa"/>
            <w:vMerge w:val="restart"/>
          </w:tcPr>
          <w:p w14:paraId="78AE0204" w14:textId="77777777" w:rsidR="00C4650E" w:rsidRDefault="00C4650E">
            <w:pPr>
              <w:rPr>
                <w:b/>
                <w:color w:val="519680"/>
              </w:rPr>
            </w:pPr>
          </w:p>
          <w:p w14:paraId="2A5640D0" w14:textId="77777777" w:rsidR="00C4650E" w:rsidRDefault="00C4650E">
            <w:pPr>
              <w:rPr>
                <w:b/>
                <w:color w:val="519680"/>
              </w:rPr>
            </w:pPr>
          </w:p>
          <w:p w14:paraId="4F24BA7F" w14:textId="77777777" w:rsidR="00C4650E" w:rsidRDefault="00C4650E">
            <w:pPr>
              <w:rPr>
                <w:b/>
                <w:color w:val="519680"/>
              </w:rPr>
            </w:pPr>
          </w:p>
          <w:p w14:paraId="4ABFC6C7" w14:textId="7B217F7C" w:rsidR="00C4650E" w:rsidRPr="00C233CF" w:rsidRDefault="00C4650E">
            <w:pPr>
              <w:rPr>
                <w:b/>
                <w:color w:val="519680"/>
              </w:rPr>
            </w:pPr>
            <w:r>
              <w:rPr>
                <w:b/>
                <w:color w:val="519680"/>
              </w:rPr>
              <w:t>Guidance</w:t>
            </w:r>
          </w:p>
          <w:p w14:paraId="3A39A572" w14:textId="77777777" w:rsidR="00C4650E" w:rsidRPr="00C233CF" w:rsidRDefault="00C4650E" w:rsidP="00CD2380">
            <w:pPr>
              <w:rPr>
                <w:b/>
                <w:color w:val="519680"/>
              </w:rPr>
            </w:pPr>
          </w:p>
        </w:tc>
        <w:tc>
          <w:tcPr>
            <w:tcW w:w="5387" w:type="dxa"/>
          </w:tcPr>
          <w:p w14:paraId="3E0DA7DB" w14:textId="77B772C1" w:rsidR="00C4650E" w:rsidRDefault="00C4650E" w:rsidP="0006568A">
            <w:pPr>
              <w:rPr>
                <w:bCs/>
              </w:rPr>
            </w:pPr>
            <w:r w:rsidRPr="0006568A">
              <w:rPr>
                <w:bCs/>
              </w:rPr>
              <w:t>Read the updated </w:t>
            </w:r>
            <w:hyperlink r:id="rId11" w:tgtFrame="_blank" w:history="1">
              <w:r w:rsidRPr="0006568A">
                <w:rPr>
                  <w:rStyle w:val="Hyperlink"/>
                  <w:b/>
                  <w:bCs/>
                  <w:color w:val="519680"/>
                </w:rPr>
                <w:t>NHS CPCS Toolkit for pharmacy staff</w:t>
              </w:r>
            </w:hyperlink>
            <w:r w:rsidRPr="0006568A">
              <w:rPr>
                <w:bCs/>
              </w:rPr>
              <w:t>, so you understand more about how the pathway will operate</w:t>
            </w:r>
            <w:r>
              <w:rPr>
                <w:bCs/>
              </w:rPr>
              <w:t>.</w:t>
            </w:r>
          </w:p>
          <w:p w14:paraId="508CE87F" w14:textId="1225F785" w:rsidR="00C4650E" w:rsidRPr="006D4B83" w:rsidRDefault="0075072C" w:rsidP="0006568A">
            <w:pPr>
              <w:rPr>
                <w:bCs/>
                <w:color w:val="519680"/>
                <w:sz w:val="16"/>
                <w:szCs w:val="16"/>
              </w:rPr>
            </w:pPr>
            <w:r w:rsidRPr="006D4B83">
              <w:rPr>
                <w:bCs/>
                <w:color w:val="51968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5DD6856D" w14:textId="77777777" w:rsidR="00C4650E" w:rsidRPr="00C233CF" w:rsidRDefault="00C4650E">
            <w:pPr>
              <w:rPr>
                <w:b/>
                <w:color w:val="519680"/>
              </w:rPr>
            </w:pPr>
          </w:p>
        </w:tc>
        <w:tc>
          <w:tcPr>
            <w:tcW w:w="1134" w:type="dxa"/>
          </w:tcPr>
          <w:p w14:paraId="4692AF83" w14:textId="77777777" w:rsidR="00C4650E" w:rsidRPr="00C233CF" w:rsidRDefault="00C4650E">
            <w:pPr>
              <w:rPr>
                <w:b/>
                <w:color w:val="519680"/>
              </w:rPr>
            </w:pPr>
          </w:p>
        </w:tc>
        <w:tc>
          <w:tcPr>
            <w:tcW w:w="1218" w:type="dxa"/>
          </w:tcPr>
          <w:p w14:paraId="2584D254" w14:textId="77777777" w:rsidR="00C4650E" w:rsidRDefault="00C4650E" w:rsidP="0010714C">
            <w:pPr>
              <w:jc w:val="center"/>
              <w:rPr>
                <w:b/>
                <w:color w:val="519680"/>
              </w:rPr>
            </w:pPr>
          </w:p>
          <w:p w14:paraId="59C9C926" w14:textId="69CF1BCA" w:rsidR="00C4650E" w:rsidRPr="00C233CF" w:rsidRDefault="00C4650E" w:rsidP="0010714C">
            <w:pPr>
              <w:jc w:val="center"/>
              <w:rPr>
                <w:b/>
                <w:color w:val="519680"/>
              </w:rPr>
            </w:pPr>
            <w:r w:rsidRPr="00F46E35">
              <w:rPr>
                <w:rFonts w:ascii="Calibri" w:eastAsia="Calibri" w:hAnsi="Calibri" w:cs="Arial"/>
                <w:b/>
                <w:color w:val="51968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F46E35">
              <w:rPr>
                <w:rFonts w:ascii="Calibri" w:eastAsia="Calibri" w:hAnsi="Calibri" w:cs="Arial"/>
                <w:b/>
                <w:color w:val="519680"/>
              </w:rPr>
              <w:instrText xml:space="preserve"> FORMCHECKBOX </w:instrText>
            </w:r>
            <w:r w:rsidR="004A2453">
              <w:rPr>
                <w:rFonts w:ascii="Calibri" w:eastAsia="Calibri" w:hAnsi="Calibri" w:cs="Arial"/>
                <w:b/>
                <w:color w:val="519680"/>
              </w:rPr>
            </w:r>
            <w:r w:rsidR="004A2453">
              <w:rPr>
                <w:rFonts w:ascii="Calibri" w:eastAsia="Calibri" w:hAnsi="Calibri" w:cs="Arial"/>
                <w:b/>
                <w:color w:val="519680"/>
              </w:rPr>
              <w:fldChar w:fldCharType="separate"/>
            </w:r>
            <w:r w:rsidRPr="00F46E35">
              <w:rPr>
                <w:rFonts w:ascii="Calibri" w:eastAsia="Calibri" w:hAnsi="Calibri" w:cs="Arial"/>
                <w:b/>
                <w:color w:val="519680"/>
              </w:rPr>
              <w:fldChar w:fldCharType="end"/>
            </w:r>
            <w:bookmarkEnd w:id="1"/>
          </w:p>
        </w:tc>
      </w:tr>
      <w:tr w:rsidR="00C4650E" w14:paraId="30794F96" w14:textId="054C286B" w:rsidTr="006D4B83">
        <w:trPr>
          <w:trHeight w:val="736"/>
        </w:trPr>
        <w:tc>
          <w:tcPr>
            <w:tcW w:w="1843" w:type="dxa"/>
            <w:vMerge/>
          </w:tcPr>
          <w:p w14:paraId="2B4E155B" w14:textId="77777777" w:rsidR="00C4650E" w:rsidRPr="00C233CF" w:rsidRDefault="00C4650E">
            <w:pPr>
              <w:rPr>
                <w:b/>
                <w:color w:val="519680"/>
              </w:rPr>
            </w:pPr>
          </w:p>
        </w:tc>
        <w:tc>
          <w:tcPr>
            <w:tcW w:w="5387" w:type="dxa"/>
          </w:tcPr>
          <w:p w14:paraId="7767FE1D" w14:textId="2FC3818A" w:rsidR="00C4650E" w:rsidRPr="006B48C6" w:rsidRDefault="00C4650E" w:rsidP="006B48C6">
            <w:pPr>
              <w:rPr>
                <w:bCs/>
              </w:rPr>
            </w:pPr>
            <w:r w:rsidRPr="006B48C6">
              <w:rPr>
                <w:bCs/>
              </w:rPr>
              <w:t>Read the </w:t>
            </w:r>
            <w:hyperlink r:id="rId12" w:tgtFrame="_blank" w:history="1">
              <w:r w:rsidRPr="006B48C6">
                <w:rPr>
                  <w:rStyle w:val="Hyperlink"/>
                  <w:b/>
                  <w:color w:val="519680"/>
                </w:rPr>
                <w:t>updated service specification</w:t>
              </w:r>
            </w:hyperlink>
            <w:r w:rsidRPr="00D066F3">
              <w:rPr>
                <w:bCs/>
              </w:rPr>
              <w:t>.</w:t>
            </w:r>
          </w:p>
          <w:p w14:paraId="6D960CE3" w14:textId="77777777" w:rsidR="00C4650E" w:rsidRPr="004906B0" w:rsidRDefault="00C4650E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3DF0A0A0" w14:textId="77777777" w:rsidR="00C4650E" w:rsidRPr="00C233CF" w:rsidRDefault="00C4650E">
            <w:pPr>
              <w:rPr>
                <w:b/>
                <w:color w:val="519680"/>
              </w:rPr>
            </w:pPr>
          </w:p>
        </w:tc>
        <w:tc>
          <w:tcPr>
            <w:tcW w:w="1134" w:type="dxa"/>
          </w:tcPr>
          <w:p w14:paraId="3463CC1A" w14:textId="77777777" w:rsidR="00C4650E" w:rsidRPr="00C233CF" w:rsidRDefault="00C4650E">
            <w:pPr>
              <w:rPr>
                <w:b/>
                <w:color w:val="519680"/>
              </w:rPr>
            </w:pPr>
          </w:p>
        </w:tc>
        <w:tc>
          <w:tcPr>
            <w:tcW w:w="1218" w:type="dxa"/>
          </w:tcPr>
          <w:p w14:paraId="4E64CC10" w14:textId="77777777" w:rsidR="00C4650E" w:rsidRPr="004906B0" w:rsidRDefault="00C4650E" w:rsidP="0010714C">
            <w:pPr>
              <w:jc w:val="center"/>
              <w:rPr>
                <w:b/>
                <w:color w:val="519680"/>
                <w:sz w:val="16"/>
                <w:szCs w:val="16"/>
              </w:rPr>
            </w:pPr>
          </w:p>
          <w:p w14:paraId="55B73EF3" w14:textId="0BF55057" w:rsidR="00C4650E" w:rsidRPr="00C233CF" w:rsidRDefault="00C4650E" w:rsidP="0010714C">
            <w:pPr>
              <w:jc w:val="center"/>
              <w:rPr>
                <w:b/>
                <w:color w:val="519680"/>
              </w:rPr>
            </w:pPr>
            <w:r w:rsidRPr="00F46E35">
              <w:rPr>
                <w:rFonts w:ascii="Calibri" w:eastAsia="Calibri" w:hAnsi="Calibri" w:cs="Arial"/>
                <w:b/>
                <w:color w:val="51968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E35">
              <w:rPr>
                <w:rFonts w:ascii="Calibri" w:eastAsia="Calibri" w:hAnsi="Calibri" w:cs="Arial"/>
                <w:b/>
                <w:color w:val="519680"/>
              </w:rPr>
              <w:instrText xml:space="preserve"> FORMCHECKBOX </w:instrText>
            </w:r>
            <w:r w:rsidR="004A2453">
              <w:rPr>
                <w:rFonts w:ascii="Calibri" w:eastAsia="Calibri" w:hAnsi="Calibri" w:cs="Arial"/>
                <w:b/>
                <w:color w:val="519680"/>
              </w:rPr>
            </w:r>
            <w:r w:rsidR="004A2453">
              <w:rPr>
                <w:rFonts w:ascii="Calibri" w:eastAsia="Calibri" w:hAnsi="Calibri" w:cs="Arial"/>
                <w:b/>
                <w:color w:val="519680"/>
              </w:rPr>
              <w:fldChar w:fldCharType="separate"/>
            </w:r>
            <w:r w:rsidRPr="00F46E35">
              <w:rPr>
                <w:rFonts w:ascii="Calibri" w:eastAsia="Calibri" w:hAnsi="Calibri" w:cs="Arial"/>
                <w:b/>
                <w:color w:val="519680"/>
              </w:rPr>
              <w:fldChar w:fldCharType="end"/>
            </w:r>
          </w:p>
        </w:tc>
      </w:tr>
      <w:tr w:rsidR="00C4650E" w14:paraId="54167F73" w14:textId="77777777" w:rsidTr="006D4B83">
        <w:trPr>
          <w:trHeight w:val="736"/>
        </w:trPr>
        <w:tc>
          <w:tcPr>
            <w:tcW w:w="1843" w:type="dxa"/>
            <w:vMerge/>
          </w:tcPr>
          <w:p w14:paraId="4AA981EF" w14:textId="77777777" w:rsidR="00C4650E" w:rsidRPr="00C233CF" w:rsidRDefault="00C4650E">
            <w:pPr>
              <w:rPr>
                <w:b/>
                <w:color w:val="519680"/>
              </w:rPr>
            </w:pPr>
          </w:p>
        </w:tc>
        <w:tc>
          <w:tcPr>
            <w:tcW w:w="5387" w:type="dxa"/>
          </w:tcPr>
          <w:p w14:paraId="63EA97B2" w14:textId="0F994DF1" w:rsidR="00C4650E" w:rsidRPr="006B48C6" w:rsidRDefault="00C4650E" w:rsidP="006B48C6">
            <w:pPr>
              <w:rPr>
                <w:bCs/>
              </w:rPr>
            </w:pPr>
            <w:r>
              <w:rPr>
                <w:bCs/>
              </w:rPr>
              <w:t xml:space="preserve">Read </w:t>
            </w:r>
            <w:r w:rsidR="00EE6346">
              <w:rPr>
                <w:bCs/>
              </w:rPr>
              <w:t xml:space="preserve">any locally prepared briefing materials </w:t>
            </w:r>
            <w:r w:rsidR="009B4DBD">
              <w:rPr>
                <w:bCs/>
              </w:rPr>
              <w:t xml:space="preserve">(these may be </w:t>
            </w:r>
            <w:r w:rsidR="00EE6346">
              <w:rPr>
                <w:bCs/>
              </w:rPr>
              <w:t xml:space="preserve">provided by </w:t>
            </w:r>
            <w:r w:rsidR="00AF49ED">
              <w:rPr>
                <w:bCs/>
              </w:rPr>
              <w:t xml:space="preserve">NHS England and NHS Improvement </w:t>
            </w:r>
            <w:r w:rsidR="00B31C1B">
              <w:rPr>
                <w:bCs/>
              </w:rPr>
              <w:t>(</w:t>
            </w:r>
            <w:r w:rsidR="00EE6346">
              <w:rPr>
                <w:bCs/>
              </w:rPr>
              <w:t>NHSE&amp;I</w:t>
            </w:r>
            <w:r w:rsidR="00B31C1B">
              <w:rPr>
                <w:bCs/>
              </w:rPr>
              <w:t>)</w:t>
            </w:r>
            <w:r w:rsidR="00EE6346">
              <w:rPr>
                <w:bCs/>
              </w:rPr>
              <w:t xml:space="preserve">, </w:t>
            </w:r>
            <w:r w:rsidR="00791622">
              <w:rPr>
                <w:bCs/>
              </w:rPr>
              <w:t xml:space="preserve">the local delivery partner, </w:t>
            </w:r>
            <w:r w:rsidR="00EE6346">
              <w:rPr>
                <w:bCs/>
              </w:rPr>
              <w:t xml:space="preserve">the Primary Care </w:t>
            </w:r>
            <w:r w:rsidR="0086266D">
              <w:rPr>
                <w:bCs/>
              </w:rPr>
              <w:t>Network (PCN) or the LPC</w:t>
            </w:r>
            <w:r w:rsidR="009B4DBD">
              <w:rPr>
                <w:bCs/>
              </w:rPr>
              <w:t>)</w:t>
            </w:r>
            <w:r w:rsidR="0086266D">
              <w:rPr>
                <w:bCs/>
              </w:rPr>
              <w:t>.</w:t>
            </w:r>
          </w:p>
        </w:tc>
        <w:tc>
          <w:tcPr>
            <w:tcW w:w="850" w:type="dxa"/>
          </w:tcPr>
          <w:p w14:paraId="39CA7AC1" w14:textId="77777777" w:rsidR="00C4650E" w:rsidRPr="00C233CF" w:rsidRDefault="00C4650E">
            <w:pPr>
              <w:rPr>
                <w:b/>
                <w:color w:val="519680"/>
              </w:rPr>
            </w:pPr>
          </w:p>
        </w:tc>
        <w:tc>
          <w:tcPr>
            <w:tcW w:w="1134" w:type="dxa"/>
          </w:tcPr>
          <w:p w14:paraId="27D417F4" w14:textId="77777777" w:rsidR="00C4650E" w:rsidRPr="00C233CF" w:rsidRDefault="00C4650E">
            <w:pPr>
              <w:rPr>
                <w:b/>
                <w:color w:val="519680"/>
              </w:rPr>
            </w:pPr>
          </w:p>
        </w:tc>
        <w:tc>
          <w:tcPr>
            <w:tcW w:w="1218" w:type="dxa"/>
          </w:tcPr>
          <w:p w14:paraId="483DB40E" w14:textId="77777777" w:rsidR="00C4650E" w:rsidRPr="004906B0" w:rsidRDefault="00C4650E" w:rsidP="00C4650E">
            <w:pPr>
              <w:jc w:val="center"/>
              <w:rPr>
                <w:b/>
                <w:color w:val="519680"/>
                <w:sz w:val="16"/>
                <w:szCs w:val="16"/>
              </w:rPr>
            </w:pPr>
          </w:p>
          <w:p w14:paraId="0EA7BD51" w14:textId="023155E1" w:rsidR="00C4650E" w:rsidRPr="004906B0" w:rsidRDefault="00C4650E" w:rsidP="00C4650E">
            <w:pPr>
              <w:jc w:val="center"/>
              <w:rPr>
                <w:b/>
                <w:color w:val="519680"/>
                <w:sz w:val="16"/>
                <w:szCs w:val="16"/>
              </w:rPr>
            </w:pPr>
            <w:r w:rsidRPr="00F46E35">
              <w:rPr>
                <w:rFonts w:ascii="Calibri" w:eastAsia="Calibri" w:hAnsi="Calibri" w:cs="Arial"/>
                <w:b/>
                <w:color w:val="51968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E35">
              <w:rPr>
                <w:rFonts w:ascii="Calibri" w:eastAsia="Calibri" w:hAnsi="Calibri" w:cs="Arial"/>
                <w:b/>
                <w:color w:val="519680"/>
              </w:rPr>
              <w:instrText xml:space="preserve"> FORMCHECKBOX </w:instrText>
            </w:r>
            <w:r w:rsidR="004A2453">
              <w:rPr>
                <w:rFonts w:ascii="Calibri" w:eastAsia="Calibri" w:hAnsi="Calibri" w:cs="Arial"/>
                <w:b/>
                <w:color w:val="519680"/>
              </w:rPr>
            </w:r>
            <w:r w:rsidR="004A2453">
              <w:rPr>
                <w:rFonts w:ascii="Calibri" w:eastAsia="Calibri" w:hAnsi="Calibri" w:cs="Arial"/>
                <w:b/>
                <w:color w:val="519680"/>
              </w:rPr>
              <w:fldChar w:fldCharType="separate"/>
            </w:r>
            <w:r w:rsidRPr="00F46E35">
              <w:rPr>
                <w:rFonts w:ascii="Calibri" w:eastAsia="Calibri" w:hAnsi="Calibri" w:cs="Arial"/>
                <w:b/>
                <w:color w:val="519680"/>
              </w:rPr>
              <w:fldChar w:fldCharType="end"/>
            </w:r>
          </w:p>
        </w:tc>
      </w:tr>
      <w:tr w:rsidR="00D03CD4" w14:paraId="0B7F4804" w14:textId="440B8AD0" w:rsidTr="006D4B83">
        <w:trPr>
          <w:trHeight w:val="750"/>
        </w:trPr>
        <w:tc>
          <w:tcPr>
            <w:tcW w:w="1843" w:type="dxa"/>
          </w:tcPr>
          <w:p w14:paraId="5B36794D" w14:textId="77AB3FBA" w:rsidR="00D03CD4" w:rsidRPr="00C233CF" w:rsidRDefault="00D03CD4" w:rsidP="00AD5A72">
            <w:pPr>
              <w:rPr>
                <w:b/>
                <w:color w:val="519680"/>
              </w:rPr>
            </w:pPr>
            <w:r>
              <w:rPr>
                <w:b/>
                <w:color w:val="519680"/>
              </w:rPr>
              <w:t>Standard Operating Procedure (SOP)</w:t>
            </w:r>
          </w:p>
          <w:p w14:paraId="4B51B299" w14:textId="77777777" w:rsidR="00D03CD4" w:rsidRPr="00AA5C1E" w:rsidRDefault="00D03CD4">
            <w:pPr>
              <w:rPr>
                <w:b/>
                <w:color w:val="519680"/>
                <w:sz w:val="16"/>
                <w:szCs w:val="16"/>
              </w:rPr>
            </w:pPr>
          </w:p>
        </w:tc>
        <w:tc>
          <w:tcPr>
            <w:tcW w:w="5387" w:type="dxa"/>
          </w:tcPr>
          <w:p w14:paraId="183D8761" w14:textId="5F48FDAD" w:rsidR="00D03CD4" w:rsidRPr="00AD4BC0" w:rsidRDefault="00D03CD4" w:rsidP="00AD4BC0">
            <w:pPr>
              <w:rPr>
                <w:bCs/>
                <w:color w:val="519680"/>
              </w:rPr>
            </w:pPr>
            <w:r w:rsidRPr="00F32B62">
              <w:rPr>
                <w:bCs/>
              </w:rPr>
              <w:t>Put an SOP in place or review any existing SOP for the service</w:t>
            </w:r>
            <w:r w:rsidR="000139F7">
              <w:rPr>
                <w:bCs/>
              </w:rPr>
              <w:t>,</w:t>
            </w:r>
            <w:r w:rsidRPr="00F32B62">
              <w:rPr>
                <w:bCs/>
              </w:rPr>
              <w:t xml:space="preserve"> to </w:t>
            </w:r>
            <w:r>
              <w:rPr>
                <w:bCs/>
              </w:rPr>
              <w:t>include the GP referral pathway.</w:t>
            </w:r>
          </w:p>
        </w:tc>
        <w:tc>
          <w:tcPr>
            <w:tcW w:w="850" w:type="dxa"/>
          </w:tcPr>
          <w:p w14:paraId="18F5BB85" w14:textId="77777777" w:rsidR="00D03CD4" w:rsidRPr="00C233CF" w:rsidRDefault="00D03CD4">
            <w:pPr>
              <w:rPr>
                <w:b/>
                <w:color w:val="519680"/>
              </w:rPr>
            </w:pPr>
          </w:p>
        </w:tc>
        <w:tc>
          <w:tcPr>
            <w:tcW w:w="1134" w:type="dxa"/>
          </w:tcPr>
          <w:p w14:paraId="44CB9A13" w14:textId="77777777" w:rsidR="00D03CD4" w:rsidRPr="00C233CF" w:rsidRDefault="00D03CD4">
            <w:pPr>
              <w:rPr>
                <w:b/>
                <w:color w:val="519680"/>
              </w:rPr>
            </w:pPr>
          </w:p>
        </w:tc>
        <w:tc>
          <w:tcPr>
            <w:tcW w:w="1218" w:type="dxa"/>
          </w:tcPr>
          <w:p w14:paraId="77345880" w14:textId="77777777" w:rsidR="00D03CD4" w:rsidRDefault="00D03CD4" w:rsidP="0010714C">
            <w:pPr>
              <w:jc w:val="center"/>
              <w:rPr>
                <w:b/>
                <w:color w:val="519680"/>
              </w:rPr>
            </w:pPr>
          </w:p>
          <w:p w14:paraId="09D937AA" w14:textId="2E342F3F" w:rsidR="00D03CD4" w:rsidRPr="00C233CF" w:rsidRDefault="00D03CD4" w:rsidP="0010714C">
            <w:pPr>
              <w:jc w:val="center"/>
              <w:rPr>
                <w:b/>
                <w:color w:val="519680"/>
              </w:rPr>
            </w:pPr>
            <w:r w:rsidRPr="00F46E35">
              <w:rPr>
                <w:rFonts w:ascii="Calibri" w:eastAsia="Calibri" w:hAnsi="Calibri" w:cs="Arial"/>
                <w:b/>
                <w:color w:val="51968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E35">
              <w:rPr>
                <w:rFonts w:ascii="Calibri" w:eastAsia="Calibri" w:hAnsi="Calibri" w:cs="Arial"/>
                <w:b/>
                <w:color w:val="519680"/>
              </w:rPr>
              <w:instrText xml:space="preserve"> FORMCHECKBOX </w:instrText>
            </w:r>
            <w:r w:rsidR="004A2453">
              <w:rPr>
                <w:rFonts w:ascii="Calibri" w:eastAsia="Calibri" w:hAnsi="Calibri" w:cs="Arial"/>
                <w:b/>
                <w:color w:val="519680"/>
              </w:rPr>
            </w:r>
            <w:r w:rsidR="004A2453">
              <w:rPr>
                <w:rFonts w:ascii="Calibri" w:eastAsia="Calibri" w:hAnsi="Calibri" w:cs="Arial"/>
                <w:b/>
                <w:color w:val="519680"/>
              </w:rPr>
              <w:fldChar w:fldCharType="separate"/>
            </w:r>
            <w:r w:rsidRPr="00F46E35">
              <w:rPr>
                <w:rFonts w:ascii="Calibri" w:eastAsia="Calibri" w:hAnsi="Calibri" w:cs="Arial"/>
                <w:b/>
                <w:color w:val="519680"/>
              </w:rPr>
              <w:fldChar w:fldCharType="end"/>
            </w:r>
          </w:p>
        </w:tc>
      </w:tr>
      <w:tr w:rsidR="00D03CD4" w14:paraId="51D6C90C" w14:textId="47C874C3" w:rsidTr="006D4B83">
        <w:trPr>
          <w:trHeight w:val="736"/>
        </w:trPr>
        <w:tc>
          <w:tcPr>
            <w:tcW w:w="1843" w:type="dxa"/>
          </w:tcPr>
          <w:p w14:paraId="482F474D" w14:textId="77777777" w:rsidR="00D03CD4" w:rsidRPr="00C233CF" w:rsidRDefault="00D03CD4" w:rsidP="00AD5A72">
            <w:pPr>
              <w:rPr>
                <w:b/>
                <w:color w:val="519680"/>
              </w:rPr>
            </w:pPr>
            <w:r>
              <w:rPr>
                <w:b/>
                <w:color w:val="519680"/>
              </w:rPr>
              <w:t>Engagement</w:t>
            </w:r>
          </w:p>
          <w:p w14:paraId="3CB6DAFC" w14:textId="77777777" w:rsidR="00D03CD4" w:rsidRPr="00C233CF" w:rsidRDefault="00D03CD4" w:rsidP="00AD5A72">
            <w:pPr>
              <w:rPr>
                <w:b/>
                <w:color w:val="519680"/>
              </w:rPr>
            </w:pPr>
          </w:p>
        </w:tc>
        <w:tc>
          <w:tcPr>
            <w:tcW w:w="5387" w:type="dxa"/>
          </w:tcPr>
          <w:p w14:paraId="530A53E6" w14:textId="74A1FA2E" w:rsidR="00D03CD4" w:rsidRDefault="00D03CD4" w:rsidP="00E21328">
            <w:pPr>
              <w:rPr>
                <w:bCs/>
              </w:rPr>
            </w:pPr>
            <w:r w:rsidRPr="00AD4BC0">
              <w:rPr>
                <w:bCs/>
              </w:rPr>
              <w:t>Brief relevant staff on the changes to CPCS</w:t>
            </w:r>
            <w:r>
              <w:rPr>
                <w:bCs/>
              </w:rPr>
              <w:t xml:space="preserve"> and p</w:t>
            </w:r>
            <w:r w:rsidRPr="00E21328">
              <w:rPr>
                <w:bCs/>
              </w:rPr>
              <w:t>rovid</w:t>
            </w:r>
            <w:r>
              <w:rPr>
                <w:bCs/>
              </w:rPr>
              <w:t>e</w:t>
            </w:r>
            <w:r w:rsidRPr="00E21328">
              <w:rPr>
                <w:bCs/>
              </w:rPr>
              <w:t xml:space="preserve"> them with the </w:t>
            </w:r>
            <w:hyperlink r:id="rId13" w:history="1">
              <w:r w:rsidRPr="00025ADE">
                <w:rPr>
                  <w:rStyle w:val="Hyperlink"/>
                  <w:b/>
                  <w:color w:val="519680"/>
                </w:rPr>
                <w:t>one-page o</w:t>
              </w:r>
              <w:r w:rsidRPr="00025ADE">
                <w:rPr>
                  <w:rStyle w:val="Hyperlink"/>
                  <w:b/>
                  <w:color w:val="519680"/>
                </w:rPr>
                <w:t>v</w:t>
              </w:r>
              <w:r w:rsidRPr="00025ADE">
                <w:rPr>
                  <w:rStyle w:val="Hyperlink"/>
                  <w:b/>
                  <w:color w:val="519680"/>
                </w:rPr>
                <w:t>erview</w:t>
              </w:r>
            </w:hyperlink>
            <w:r w:rsidRPr="00E21328">
              <w:rPr>
                <w:bCs/>
              </w:rPr>
              <w:t xml:space="preserve"> on how the service will work</w:t>
            </w:r>
            <w:r>
              <w:rPr>
                <w:bCs/>
              </w:rPr>
              <w:t>.</w:t>
            </w:r>
          </w:p>
          <w:p w14:paraId="4DFBD993" w14:textId="7F7BFF9E" w:rsidR="005D7E8A" w:rsidRPr="00AA5C1E" w:rsidRDefault="005D7E8A" w:rsidP="00E21328">
            <w:pPr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4819A5FB" w14:textId="77777777" w:rsidR="00D03CD4" w:rsidRPr="00C233CF" w:rsidRDefault="00D03CD4">
            <w:pPr>
              <w:rPr>
                <w:b/>
                <w:color w:val="519680"/>
              </w:rPr>
            </w:pPr>
          </w:p>
        </w:tc>
        <w:tc>
          <w:tcPr>
            <w:tcW w:w="1134" w:type="dxa"/>
          </w:tcPr>
          <w:p w14:paraId="29DB43D0" w14:textId="77777777" w:rsidR="00D03CD4" w:rsidRPr="00C233CF" w:rsidRDefault="00D03CD4">
            <w:pPr>
              <w:rPr>
                <w:b/>
                <w:color w:val="519680"/>
              </w:rPr>
            </w:pPr>
          </w:p>
        </w:tc>
        <w:tc>
          <w:tcPr>
            <w:tcW w:w="1218" w:type="dxa"/>
          </w:tcPr>
          <w:p w14:paraId="1D03DB9C" w14:textId="77777777" w:rsidR="00D03CD4" w:rsidRDefault="00D03CD4" w:rsidP="0010714C">
            <w:pPr>
              <w:jc w:val="center"/>
              <w:rPr>
                <w:b/>
                <w:color w:val="519680"/>
              </w:rPr>
            </w:pPr>
          </w:p>
          <w:p w14:paraId="70343999" w14:textId="380CBE1F" w:rsidR="00D03CD4" w:rsidRPr="00C233CF" w:rsidRDefault="00D03CD4" w:rsidP="0010714C">
            <w:pPr>
              <w:jc w:val="center"/>
              <w:rPr>
                <w:b/>
                <w:color w:val="519680"/>
              </w:rPr>
            </w:pPr>
            <w:r w:rsidRPr="00F46E35">
              <w:rPr>
                <w:rFonts w:ascii="Calibri" w:eastAsia="Calibri" w:hAnsi="Calibri" w:cs="Arial"/>
                <w:b/>
                <w:color w:val="51968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E35">
              <w:rPr>
                <w:rFonts w:ascii="Calibri" w:eastAsia="Calibri" w:hAnsi="Calibri" w:cs="Arial"/>
                <w:b/>
                <w:color w:val="519680"/>
              </w:rPr>
              <w:instrText xml:space="preserve"> FORMCHECKBOX </w:instrText>
            </w:r>
            <w:r w:rsidR="004A2453">
              <w:rPr>
                <w:rFonts w:ascii="Calibri" w:eastAsia="Calibri" w:hAnsi="Calibri" w:cs="Arial"/>
                <w:b/>
                <w:color w:val="519680"/>
              </w:rPr>
            </w:r>
            <w:r w:rsidR="004A2453">
              <w:rPr>
                <w:rFonts w:ascii="Calibri" w:eastAsia="Calibri" w:hAnsi="Calibri" w:cs="Arial"/>
                <w:b/>
                <w:color w:val="519680"/>
              </w:rPr>
              <w:fldChar w:fldCharType="separate"/>
            </w:r>
            <w:r w:rsidRPr="00F46E35">
              <w:rPr>
                <w:rFonts w:ascii="Calibri" w:eastAsia="Calibri" w:hAnsi="Calibri" w:cs="Arial"/>
                <w:b/>
                <w:color w:val="519680"/>
              </w:rPr>
              <w:fldChar w:fldCharType="end"/>
            </w:r>
          </w:p>
        </w:tc>
      </w:tr>
      <w:tr w:rsidR="003F06F2" w14:paraId="675FCDEB" w14:textId="0BF754C8" w:rsidTr="006D4B83">
        <w:trPr>
          <w:trHeight w:val="736"/>
        </w:trPr>
        <w:tc>
          <w:tcPr>
            <w:tcW w:w="1843" w:type="dxa"/>
            <w:vMerge w:val="restart"/>
          </w:tcPr>
          <w:p w14:paraId="78367BCF" w14:textId="77777777" w:rsidR="005D7E8A" w:rsidRDefault="005D7E8A" w:rsidP="003F06F2">
            <w:pPr>
              <w:rPr>
                <w:b/>
                <w:color w:val="519680"/>
              </w:rPr>
            </w:pPr>
          </w:p>
          <w:p w14:paraId="6422BD17" w14:textId="77777777" w:rsidR="005D7E8A" w:rsidRDefault="005D7E8A" w:rsidP="003F06F2">
            <w:pPr>
              <w:rPr>
                <w:b/>
                <w:color w:val="519680"/>
              </w:rPr>
            </w:pPr>
          </w:p>
          <w:p w14:paraId="2672CA2B" w14:textId="77777777" w:rsidR="005D7E8A" w:rsidRDefault="005D7E8A" w:rsidP="003F06F2">
            <w:pPr>
              <w:rPr>
                <w:b/>
                <w:color w:val="519680"/>
              </w:rPr>
            </w:pPr>
          </w:p>
          <w:p w14:paraId="72C4C233" w14:textId="77777777" w:rsidR="005D7E8A" w:rsidRDefault="005D7E8A" w:rsidP="003F06F2">
            <w:pPr>
              <w:rPr>
                <w:b/>
                <w:color w:val="519680"/>
              </w:rPr>
            </w:pPr>
          </w:p>
          <w:p w14:paraId="20C7D179" w14:textId="77777777" w:rsidR="005D7E8A" w:rsidRDefault="005D7E8A" w:rsidP="003F06F2">
            <w:pPr>
              <w:rPr>
                <w:b/>
                <w:color w:val="519680"/>
              </w:rPr>
            </w:pPr>
          </w:p>
          <w:p w14:paraId="3AF68FCC" w14:textId="77777777" w:rsidR="005D7E8A" w:rsidRDefault="005D7E8A" w:rsidP="003F06F2">
            <w:pPr>
              <w:rPr>
                <w:b/>
                <w:color w:val="519680"/>
              </w:rPr>
            </w:pPr>
          </w:p>
          <w:p w14:paraId="71CFBD27" w14:textId="77777777" w:rsidR="005D7E8A" w:rsidRDefault="005D7E8A" w:rsidP="003F06F2">
            <w:pPr>
              <w:rPr>
                <w:b/>
                <w:color w:val="519680"/>
              </w:rPr>
            </w:pPr>
          </w:p>
          <w:p w14:paraId="4C08FD4F" w14:textId="1FF76AFA" w:rsidR="003F06F2" w:rsidRPr="00C233CF" w:rsidRDefault="003F06F2" w:rsidP="003F06F2">
            <w:pPr>
              <w:rPr>
                <w:b/>
                <w:color w:val="519680"/>
              </w:rPr>
            </w:pPr>
            <w:r>
              <w:rPr>
                <w:b/>
                <w:color w:val="519680"/>
              </w:rPr>
              <w:t>Training</w:t>
            </w:r>
          </w:p>
          <w:p w14:paraId="37EBB9BC" w14:textId="77777777" w:rsidR="003F06F2" w:rsidRPr="00C233CF" w:rsidRDefault="003F06F2" w:rsidP="003F06F2">
            <w:pPr>
              <w:rPr>
                <w:b/>
                <w:color w:val="519680"/>
              </w:rPr>
            </w:pPr>
          </w:p>
          <w:p w14:paraId="69413C1C" w14:textId="77777777" w:rsidR="003F06F2" w:rsidRPr="00C233CF" w:rsidRDefault="003F06F2">
            <w:pPr>
              <w:rPr>
                <w:b/>
                <w:color w:val="519680"/>
              </w:rPr>
            </w:pPr>
          </w:p>
          <w:p w14:paraId="13F93EE5" w14:textId="77777777" w:rsidR="003F06F2" w:rsidRPr="00C233CF" w:rsidRDefault="003F06F2">
            <w:pPr>
              <w:rPr>
                <w:b/>
                <w:color w:val="519680"/>
              </w:rPr>
            </w:pPr>
          </w:p>
          <w:p w14:paraId="06ABDDB6" w14:textId="77777777" w:rsidR="003F06F2" w:rsidRPr="00C233CF" w:rsidRDefault="003F06F2" w:rsidP="00CD2380">
            <w:pPr>
              <w:rPr>
                <w:b/>
                <w:color w:val="519680"/>
              </w:rPr>
            </w:pPr>
          </w:p>
        </w:tc>
        <w:tc>
          <w:tcPr>
            <w:tcW w:w="5387" w:type="dxa"/>
          </w:tcPr>
          <w:p w14:paraId="171672DD" w14:textId="4558252B" w:rsidR="003F06F2" w:rsidRDefault="003F06F2" w:rsidP="00AD5A72">
            <w:pPr>
              <w:rPr>
                <w:bCs/>
              </w:rPr>
            </w:pPr>
            <w:r w:rsidRPr="008D1464">
              <w:rPr>
                <w:bCs/>
              </w:rPr>
              <w:t>Ensur</w:t>
            </w:r>
            <w:r>
              <w:rPr>
                <w:bCs/>
              </w:rPr>
              <w:t>e</w:t>
            </w:r>
            <w:r w:rsidRPr="008D1464">
              <w:rPr>
                <w:bCs/>
              </w:rPr>
              <w:t xml:space="preserve"> pharmacists that will provide the service read the updated </w:t>
            </w:r>
            <w:hyperlink r:id="rId14" w:history="1">
              <w:r w:rsidRPr="00C3145B">
                <w:rPr>
                  <w:rStyle w:val="Hyperlink"/>
                  <w:b/>
                  <w:color w:val="519680"/>
                </w:rPr>
                <w:t>service specification and toolkit</w:t>
              </w:r>
            </w:hyperlink>
            <w:r>
              <w:rPr>
                <w:bCs/>
              </w:rPr>
              <w:t>.</w:t>
            </w:r>
          </w:p>
          <w:p w14:paraId="0A6532F0" w14:textId="55BF4C55" w:rsidR="003F06F2" w:rsidRPr="004906B0" w:rsidRDefault="003F06F2" w:rsidP="005946BD">
            <w:pPr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148D0587" w14:textId="77777777" w:rsidR="003F06F2" w:rsidRPr="00C233CF" w:rsidRDefault="003F06F2">
            <w:pPr>
              <w:rPr>
                <w:b/>
                <w:color w:val="519680"/>
              </w:rPr>
            </w:pPr>
          </w:p>
        </w:tc>
        <w:tc>
          <w:tcPr>
            <w:tcW w:w="1134" w:type="dxa"/>
          </w:tcPr>
          <w:p w14:paraId="753C44CC" w14:textId="77777777" w:rsidR="003F06F2" w:rsidRPr="00C233CF" w:rsidRDefault="003F06F2">
            <w:pPr>
              <w:rPr>
                <w:b/>
                <w:color w:val="519680"/>
              </w:rPr>
            </w:pPr>
          </w:p>
        </w:tc>
        <w:tc>
          <w:tcPr>
            <w:tcW w:w="1218" w:type="dxa"/>
          </w:tcPr>
          <w:p w14:paraId="36929C59" w14:textId="77777777" w:rsidR="003F06F2" w:rsidRPr="00B161B2" w:rsidRDefault="003F06F2" w:rsidP="0010714C">
            <w:pPr>
              <w:jc w:val="center"/>
              <w:rPr>
                <w:b/>
                <w:color w:val="519680"/>
                <w:sz w:val="16"/>
                <w:szCs w:val="16"/>
              </w:rPr>
            </w:pPr>
          </w:p>
          <w:p w14:paraId="2A7C2E09" w14:textId="3184E457" w:rsidR="003F06F2" w:rsidRPr="00C233CF" w:rsidRDefault="003F06F2" w:rsidP="0010714C">
            <w:pPr>
              <w:jc w:val="center"/>
              <w:rPr>
                <w:b/>
                <w:color w:val="519680"/>
              </w:rPr>
            </w:pPr>
            <w:r w:rsidRPr="00F46E35">
              <w:rPr>
                <w:rFonts w:ascii="Calibri" w:eastAsia="Calibri" w:hAnsi="Calibri" w:cs="Arial"/>
                <w:b/>
                <w:color w:val="51968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E35">
              <w:rPr>
                <w:rFonts w:ascii="Calibri" w:eastAsia="Calibri" w:hAnsi="Calibri" w:cs="Arial"/>
                <w:b/>
                <w:color w:val="519680"/>
              </w:rPr>
              <w:instrText xml:space="preserve"> FORMCHECKBOX </w:instrText>
            </w:r>
            <w:r w:rsidR="004A2453">
              <w:rPr>
                <w:rFonts w:ascii="Calibri" w:eastAsia="Calibri" w:hAnsi="Calibri" w:cs="Arial"/>
                <w:b/>
                <w:color w:val="519680"/>
              </w:rPr>
            </w:r>
            <w:r w:rsidR="004A2453">
              <w:rPr>
                <w:rFonts w:ascii="Calibri" w:eastAsia="Calibri" w:hAnsi="Calibri" w:cs="Arial"/>
                <w:b/>
                <w:color w:val="519680"/>
              </w:rPr>
              <w:fldChar w:fldCharType="separate"/>
            </w:r>
            <w:r w:rsidRPr="00F46E35">
              <w:rPr>
                <w:rFonts w:ascii="Calibri" w:eastAsia="Calibri" w:hAnsi="Calibri" w:cs="Arial"/>
                <w:b/>
                <w:color w:val="519680"/>
              </w:rPr>
              <w:fldChar w:fldCharType="end"/>
            </w:r>
          </w:p>
        </w:tc>
      </w:tr>
      <w:tr w:rsidR="003F06F2" w14:paraId="32DEE88D" w14:textId="17E1F6AA" w:rsidTr="006D4B83">
        <w:trPr>
          <w:trHeight w:val="750"/>
        </w:trPr>
        <w:tc>
          <w:tcPr>
            <w:tcW w:w="1843" w:type="dxa"/>
            <w:vMerge/>
          </w:tcPr>
          <w:p w14:paraId="507B00AC" w14:textId="77777777" w:rsidR="003F06F2" w:rsidRPr="00C233CF" w:rsidRDefault="003F06F2">
            <w:pPr>
              <w:rPr>
                <w:b/>
                <w:color w:val="519680"/>
              </w:rPr>
            </w:pPr>
          </w:p>
        </w:tc>
        <w:tc>
          <w:tcPr>
            <w:tcW w:w="5387" w:type="dxa"/>
          </w:tcPr>
          <w:p w14:paraId="30E25B93" w14:textId="4CC79C5C" w:rsidR="003F06F2" w:rsidRDefault="003F06F2" w:rsidP="007B33B4">
            <w:pPr>
              <w:rPr>
                <w:bCs/>
              </w:rPr>
            </w:pPr>
            <w:r w:rsidRPr="005946BD">
              <w:rPr>
                <w:bCs/>
              </w:rPr>
              <w:t>Support</w:t>
            </w:r>
            <w:r>
              <w:rPr>
                <w:bCs/>
              </w:rPr>
              <w:t xml:space="preserve"> </w:t>
            </w:r>
            <w:r w:rsidRPr="005946BD">
              <w:rPr>
                <w:bCs/>
              </w:rPr>
              <w:t>pharmacists to reflect on continuing professional development activity they could undertake to provide the best possible service to patients, which could include undertaking the NHS-funded CPCS training provided by the </w:t>
            </w:r>
            <w:hyperlink r:id="rId15" w:tgtFrame="_blank" w:history="1">
              <w:r w:rsidRPr="00C3145B">
                <w:rPr>
                  <w:rStyle w:val="Hyperlink"/>
                  <w:b/>
                  <w:bCs/>
                  <w:color w:val="519680"/>
                </w:rPr>
                <w:t>Royal Pharmaceutical Society and the Royal College of General Practitioners</w:t>
              </w:r>
            </w:hyperlink>
            <w:r>
              <w:rPr>
                <w:bCs/>
              </w:rPr>
              <w:t xml:space="preserve"> and reviewing their</w:t>
            </w:r>
            <w:r w:rsidRPr="007B33B4">
              <w:rPr>
                <w:bCs/>
              </w:rPr>
              <w:t xml:space="preserve"> competen</w:t>
            </w:r>
            <w:r>
              <w:rPr>
                <w:bCs/>
              </w:rPr>
              <w:t>ce</w:t>
            </w:r>
            <w:r w:rsidRPr="007B33B4">
              <w:rPr>
                <w:bCs/>
              </w:rPr>
              <w:t xml:space="preserve"> to provide care for patients presenting with </w:t>
            </w:r>
            <w:r w:rsidR="00E8510D">
              <w:rPr>
                <w:bCs/>
              </w:rPr>
              <w:t>the</w:t>
            </w:r>
            <w:r w:rsidRPr="007B33B4">
              <w:rPr>
                <w:bCs/>
              </w:rPr>
              <w:t xml:space="preserve"> conditions listed in Annex D of the service specification.</w:t>
            </w:r>
          </w:p>
          <w:p w14:paraId="19D59C6E" w14:textId="362B2976" w:rsidR="00B161B2" w:rsidRPr="00B161B2" w:rsidRDefault="00B161B2" w:rsidP="007B33B4">
            <w:pPr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72DE52BE" w14:textId="77777777" w:rsidR="003F06F2" w:rsidRPr="00C233CF" w:rsidRDefault="003F06F2">
            <w:pPr>
              <w:rPr>
                <w:b/>
                <w:color w:val="519680"/>
              </w:rPr>
            </w:pPr>
          </w:p>
        </w:tc>
        <w:tc>
          <w:tcPr>
            <w:tcW w:w="1134" w:type="dxa"/>
          </w:tcPr>
          <w:p w14:paraId="0B2916A2" w14:textId="77777777" w:rsidR="003F06F2" w:rsidRPr="00C233CF" w:rsidRDefault="003F06F2">
            <w:pPr>
              <w:rPr>
                <w:b/>
                <w:color w:val="519680"/>
              </w:rPr>
            </w:pPr>
          </w:p>
        </w:tc>
        <w:tc>
          <w:tcPr>
            <w:tcW w:w="1218" w:type="dxa"/>
          </w:tcPr>
          <w:p w14:paraId="6280FD80" w14:textId="77777777" w:rsidR="003F06F2" w:rsidRDefault="003F06F2" w:rsidP="0010714C">
            <w:pPr>
              <w:jc w:val="center"/>
              <w:rPr>
                <w:b/>
                <w:color w:val="519680"/>
              </w:rPr>
            </w:pPr>
          </w:p>
          <w:p w14:paraId="52C099FE" w14:textId="098A0E91" w:rsidR="003F06F2" w:rsidRPr="00C233CF" w:rsidRDefault="003F06F2" w:rsidP="0010714C">
            <w:pPr>
              <w:jc w:val="center"/>
              <w:rPr>
                <w:b/>
                <w:color w:val="519680"/>
              </w:rPr>
            </w:pPr>
            <w:r w:rsidRPr="00F46E35">
              <w:rPr>
                <w:rFonts w:ascii="Calibri" w:eastAsia="Calibri" w:hAnsi="Calibri" w:cs="Arial"/>
                <w:b/>
                <w:color w:val="51968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E35">
              <w:rPr>
                <w:rFonts w:ascii="Calibri" w:eastAsia="Calibri" w:hAnsi="Calibri" w:cs="Arial"/>
                <w:b/>
                <w:color w:val="519680"/>
              </w:rPr>
              <w:instrText xml:space="preserve"> FORMCHECKBOX </w:instrText>
            </w:r>
            <w:r w:rsidR="004A2453">
              <w:rPr>
                <w:rFonts w:ascii="Calibri" w:eastAsia="Calibri" w:hAnsi="Calibri" w:cs="Arial"/>
                <w:b/>
                <w:color w:val="519680"/>
              </w:rPr>
            </w:r>
            <w:r w:rsidR="004A2453">
              <w:rPr>
                <w:rFonts w:ascii="Calibri" w:eastAsia="Calibri" w:hAnsi="Calibri" w:cs="Arial"/>
                <w:b/>
                <w:color w:val="519680"/>
              </w:rPr>
              <w:fldChar w:fldCharType="separate"/>
            </w:r>
            <w:r w:rsidRPr="00F46E35">
              <w:rPr>
                <w:rFonts w:ascii="Calibri" w:eastAsia="Calibri" w:hAnsi="Calibri" w:cs="Arial"/>
                <w:b/>
                <w:color w:val="519680"/>
              </w:rPr>
              <w:fldChar w:fldCharType="end"/>
            </w:r>
          </w:p>
        </w:tc>
      </w:tr>
      <w:tr w:rsidR="003F06F2" w14:paraId="068AD0B0" w14:textId="77777777" w:rsidTr="006D4B83">
        <w:trPr>
          <w:trHeight w:val="750"/>
        </w:trPr>
        <w:tc>
          <w:tcPr>
            <w:tcW w:w="1843" w:type="dxa"/>
            <w:vMerge/>
          </w:tcPr>
          <w:p w14:paraId="1222A53D" w14:textId="77777777" w:rsidR="003F06F2" w:rsidRPr="00C233CF" w:rsidRDefault="003F06F2">
            <w:pPr>
              <w:rPr>
                <w:b/>
                <w:color w:val="519680"/>
              </w:rPr>
            </w:pPr>
          </w:p>
        </w:tc>
        <w:tc>
          <w:tcPr>
            <w:tcW w:w="5387" w:type="dxa"/>
          </w:tcPr>
          <w:p w14:paraId="07163773" w14:textId="782373BF" w:rsidR="003F06F2" w:rsidRDefault="00100C44" w:rsidP="007B33B4">
            <w:pPr>
              <w:rPr>
                <w:bCs/>
              </w:rPr>
            </w:pPr>
            <w:r>
              <w:rPr>
                <w:bCs/>
              </w:rPr>
              <w:t>Train</w:t>
            </w:r>
            <w:r w:rsidR="003F06F2" w:rsidRPr="007B72FE">
              <w:rPr>
                <w:bCs/>
              </w:rPr>
              <w:t xml:space="preserve"> all pharmacy staff involved in </w:t>
            </w:r>
            <w:r w:rsidR="00B73760">
              <w:rPr>
                <w:bCs/>
              </w:rPr>
              <w:t xml:space="preserve">the </w:t>
            </w:r>
            <w:r w:rsidR="003F06F2" w:rsidRPr="007B72FE">
              <w:rPr>
                <w:bCs/>
              </w:rPr>
              <w:t xml:space="preserve">provision of the service on </w:t>
            </w:r>
            <w:r w:rsidR="008A7D09">
              <w:rPr>
                <w:bCs/>
              </w:rPr>
              <w:t>its</w:t>
            </w:r>
            <w:r w:rsidR="003F06F2" w:rsidRPr="007B72FE">
              <w:rPr>
                <w:bCs/>
              </w:rPr>
              <w:t xml:space="preserve"> operation, including relevant sections of the SOP</w:t>
            </w:r>
            <w:r w:rsidR="003F06F2">
              <w:rPr>
                <w:bCs/>
              </w:rPr>
              <w:t>.</w:t>
            </w:r>
          </w:p>
          <w:p w14:paraId="5629BD3F" w14:textId="76DFE9B8" w:rsidR="00B161B2" w:rsidRPr="00B161B2" w:rsidRDefault="00B161B2" w:rsidP="007B33B4">
            <w:pPr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1A4DFA8C" w14:textId="77777777" w:rsidR="003F06F2" w:rsidRPr="00C233CF" w:rsidRDefault="003F06F2">
            <w:pPr>
              <w:rPr>
                <w:b/>
                <w:color w:val="519680"/>
              </w:rPr>
            </w:pPr>
          </w:p>
        </w:tc>
        <w:tc>
          <w:tcPr>
            <w:tcW w:w="1134" w:type="dxa"/>
          </w:tcPr>
          <w:p w14:paraId="3C918C79" w14:textId="77777777" w:rsidR="003F06F2" w:rsidRPr="00C233CF" w:rsidRDefault="003F06F2">
            <w:pPr>
              <w:rPr>
                <w:b/>
                <w:color w:val="519680"/>
              </w:rPr>
            </w:pPr>
          </w:p>
        </w:tc>
        <w:tc>
          <w:tcPr>
            <w:tcW w:w="1218" w:type="dxa"/>
          </w:tcPr>
          <w:p w14:paraId="75960838" w14:textId="77777777" w:rsidR="005D7E8A" w:rsidRDefault="005D7E8A" w:rsidP="0010714C">
            <w:pPr>
              <w:jc w:val="center"/>
              <w:rPr>
                <w:rFonts w:ascii="Calibri" w:eastAsia="Calibri" w:hAnsi="Calibri" w:cs="Arial"/>
                <w:b/>
                <w:color w:val="519680"/>
              </w:rPr>
            </w:pPr>
          </w:p>
          <w:p w14:paraId="36C6DFF7" w14:textId="3FCEA4D3" w:rsidR="003F06F2" w:rsidRDefault="005D7E8A" w:rsidP="0010714C">
            <w:pPr>
              <w:jc w:val="center"/>
              <w:rPr>
                <w:b/>
                <w:color w:val="519680"/>
              </w:rPr>
            </w:pPr>
            <w:r w:rsidRPr="00F46E35">
              <w:rPr>
                <w:rFonts w:ascii="Calibri" w:eastAsia="Calibri" w:hAnsi="Calibri" w:cs="Arial"/>
                <w:b/>
                <w:color w:val="51968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E35">
              <w:rPr>
                <w:rFonts w:ascii="Calibri" w:eastAsia="Calibri" w:hAnsi="Calibri" w:cs="Arial"/>
                <w:b/>
                <w:color w:val="519680"/>
              </w:rPr>
              <w:instrText xml:space="preserve"> FORMCHECKBOX </w:instrText>
            </w:r>
            <w:r w:rsidR="004A2453">
              <w:rPr>
                <w:rFonts w:ascii="Calibri" w:eastAsia="Calibri" w:hAnsi="Calibri" w:cs="Arial"/>
                <w:b/>
                <w:color w:val="519680"/>
              </w:rPr>
            </w:r>
            <w:r w:rsidR="004A2453">
              <w:rPr>
                <w:rFonts w:ascii="Calibri" w:eastAsia="Calibri" w:hAnsi="Calibri" w:cs="Arial"/>
                <w:b/>
                <w:color w:val="519680"/>
              </w:rPr>
              <w:fldChar w:fldCharType="separate"/>
            </w:r>
            <w:r w:rsidRPr="00F46E35">
              <w:rPr>
                <w:rFonts w:ascii="Calibri" w:eastAsia="Calibri" w:hAnsi="Calibri" w:cs="Arial"/>
                <w:b/>
                <w:color w:val="519680"/>
              </w:rPr>
              <w:fldChar w:fldCharType="end"/>
            </w:r>
          </w:p>
        </w:tc>
      </w:tr>
      <w:tr w:rsidR="003F06F2" w14:paraId="3C8475C2" w14:textId="77777777" w:rsidTr="006D4B83">
        <w:trPr>
          <w:trHeight w:val="750"/>
        </w:trPr>
        <w:tc>
          <w:tcPr>
            <w:tcW w:w="1843" w:type="dxa"/>
          </w:tcPr>
          <w:p w14:paraId="5F147A54" w14:textId="77777777" w:rsidR="005D7E8A" w:rsidRPr="00C233CF" w:rsidRDefault="005D7E8A" w:rsidP="005D7E8A">
            <w:pPr>
              <w:ind w:left="-333" w:firstLine="333"/>
              <w:rPr>
                <w:b/>
                <w:color w:val="519680"/>
              </w:rPr>
            </w:pPr>
            <w:r>
              <w:rPr>
                <w:b/>
                <w:color w:val="519680"/>
              </w:rPr>
              <w:t>Pharmacy set up</w:t>
            </w:r>
          </w:p>
          <w:p w14:paraId="1674AE21" w14:textId="77777777" w:rsidR="003F06F2" w:rsidRPr="00C233CF" w:rsidRDefault="003F06F2">
            <w:pPr>
              <w:rPr>
                <w:b/>
                <w:color w:val="519680"/>
              </w:rPr>
            </w:pPr>
          </w:p>
        </w:tc>
        <w:tc>
          <w:tcPr>
            <w:tcW w:w="5387" w:type="dxa"/>
          </w:tcPr>
          <w:p w14:paraId="7CF9D9D5" w14:textId="4CB3C5A8" w:rsidR="005D7E8A" w:rsidRPr="00B056DC" w:rsidRDefault="00100C44" w:rsidP="005D7E8A">
            <w:pPr>
              <w:rPr>
                <w:bCs/>
              </w:rPr>
            </w:pPr>
            <w:r>
              <w:rPr>
                <w:bCs/>
              </w:rPr>
              <w:t xml:space="preserve">If you have </w:t>
            </w:r>
            <w:r w:rsidRPr="001C70D4">
              <w:rPr>
                <w:bCs/>
                <w:u w:val="single"/>
              </w:rPr>
              <w:t>not</w:t>
            </w:r>
            <w:r>
              <w:rPr>
                <w:bCs/>
              </w:rPr>
              <w:t xml:space="preserve"> already </w:t>
            </w:r>
            <w:r w:rsidR="005D7E8A" w:rsidRPr="00B056DC">
              <w:rPr>
                <w:bCs/>
              </w:rPr>
              <w:t xml:space="preserve">registered to provide </w:t>
            </w:r>
            <w:r w:rsidR="005D7E8A">
              <w:rPr>
                <w:bCs/>
              </w:rPr>
              <w:t>CPCS</w:t>
            </w:r>
            <w:r w:rsidR="007D2BF6">
              <w:rPr>
                <w:bCs/>
              </w:rPr>
              <w:t>,</w:t>
            </w:r>
            <w:r w:rsidR="005D7E8A" w:rsidRPr="00B056DC">
              <w:rPr>
                <w:bCs/>
              </w:rPr>
              <w:t xml:space="preserve"> do so via the </w:t>
            </w:r>
            <w:hyperlink r:id="rId16" w:tgtFrame="_blank" w:history="1">
              <w:r w:rsidR="005D7E8A" w:rsidRPr="00B056DC">
                <w:rPr>
                  <w:rStyle w:val="Hyperlink"/>
                  <w:b/>
                  <w:bCs/>
                  <w:color w:val="519680"/>
                </w:rPr>
                <w:t>NHSBSA Manage Your Service (MYS) portal</w:t>
              </w:r>
            </w:hyperlink>
            <w:r w:rsidR="005D7E8A" w:rsidRPr="00B056DC">
              <w:rPr>
                <w:bCs/>
              </w:rPr>
              <w:t>.</w:t>
            </w:r>
          </w:p>
          <w:p w14:paraId="1548F8B0" w14:textId="69601A0D" w:rsidR="005D7E8A" w:rsidRPr="00B161B2" w:rsidRDefault="005D7E8A" w:rsidP="005D7E8A">
            <w:pPr>
              <w:rPr>
                <w:bCs/>
                <w:sz w:val="16"/>
                <w:szCs w:val="16"/>
              </w:rPr>
            </w:pPr>
            <w:r w:rsidRPr="00177682">
              <w:rPr>
                <w:b/>
              </w:rPr>
              <w:t>Note</w:t>
            </w:r>
            <w:r>
              <w:rPr>
                <w:bCs/>
              </w:rPr>
              <w:t xml:space="preserve">: </w:t>
            </w:r>
            <w:r w:rsidRPr="00874AA3">
              <w:rPr>
                <w:bCs/>
              </w:rPr>
              <w:t>Pharmacies which are already registered to provide CPCS do not need to re-register to receive referrals from GPs, as this is an extension to the existing Advanced service</w:t>
            </w:r>
            <w:r>
              <w:rPr>
                <w:bCs/>
              </w:rPr>
              <w:t>.</w:t>
            </w:r>
          </w:p>
        </w:tc>
        <w:tc>
          <w:tcPr>
            <w:tcW w:w="850" w:type="dxa"/>
          </w:tcPr>
          <w:p w14:paraId="2B794378" w14:textId="77777777" w:rsidR="003F06F2" w:rsidRPr="00C233CF" w:rsidRDefault="003F06F2">
            <w:pPr>
              <w:rPr>
                <w:b/>
                <w:color w:val="519680"/>
              </w:rPr>
            </w:pPr>
          </w:p>
        </w:tc>
        <w:tc>
          <w:tcPr>
            <w:tcW w:w="1134" w:type="dxa"/>
          </w:tcPr>
          <w:p w14:paraId="661E09AA" w14:textId="77777777" w:rsidR="003F06F2" w:rsidRPr="00C233CF" w:rsidRDefault="003F06F2">
            <w:pPr>
              <w:rPr>
                <w:b/>
                <w:color w:val="519680"/>
              </w:rPr>
            </w:pPr>
          </w:p>
        </w:tc>
        <w:tc>
          <w:tcPr>
            <w:tcW w:w="1218" w:type="dxa"/>
          </w:tcPr>
          <w:p w14:paraId="645F59C8" w14:textId="77777777" w:rsidR="00B161B2" w:rsidRDefault="00B161B2" w:rsidP="0010714C">
            <w:pPr>
              <w:jc w:val="center"/>
              <w:rPr>
                <w:rFonts w:ascii="Calibri" w:eastAsia="Calibri" w:hAnsi="Calibri" w:cs="Arial"/>
                <w:b/>
                <w:color w:val="519680"/>
              </w:rPr>
            </w:pPr>
          </w:p>
          <w:p w14:paraId="2965AC01" w14:textId="06B18C48" w:rsidR="003F06F2" w:rsidRDefault="00B161B2" w:rsidP="0010714C">
            <w:pPr>
              <w:jc w:val="center"/>
              <w:rPr>
                <w:b/>
                <w:color w:val="519680"/>
              </w:rPr>
            </w:pPr>
            <w:r w:rsidRPr="00F46E35">
              <w:rPr>
                <w:rFonts w:ascii="Calibri" w:eastAsia="Calibri" w:hAnsi="Calibri" w:cs="Arial"/>
                <w:b/>
                <w:color w:val="51968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E35">
              <w:rPr>
                <w:rFonts w:ascii="Calibri" w:eastAsia="Calibri" w:hAnsi="Calibri" w:cs="Arial"/>
                <w:b/>
                <w:color w:val="519680"/>
              </w:rPr>
              <w:instrText xml:space="preserve"> FORMCHECKBOX </w:instrText>
            </w:r>
            <w:r w:rsidR="004A2453">
              <w:rPr>
                <w:rFonts w:ascii="Calibri" w:eastAsia="Calibri" w:hAnsi="Calibri" w:cs="Arial"/>
                <w:b/>
                <w:color w:val="519680"/>
              </w:rPr>
            </w:r>
            <w:r w:rsidR="004A2453">
              <w:rPr>
                <w:rFonts w:ascii="Calibri" w:eastAsia="Calibri" w:hAnsi="Calibri" w:cs="Arial"/>
                <w:b/>
                <w:color w:val="519680"/>
              </w:rPr>
              <w:fldChar w:fldCharType="separate"/>
            </w:r>
            <w:r w:rsidRPr="00F46E35">
              <w:rPr>
                <w:rFonts w:ascii="Calibri" w:eastAsia="Calibri" w:hAnsi="Calibri" w:cs="Arial"/>
                <w:b/>
                <w:color w:val="519680"/>
              </w:rPr>
              <w:fldChar w:fldCharType="end"/>
            </w:r>
          </w:p>
        </w:tc>
      </w:tr>
      <w:tr w:rsidR="005D7E8A" w14:paraId="32246329" w14:textId="77777777" w:rsidTr="006D4B83">
        <w:trPr>
          <w:trHeight w:val="750"/>
        </w:trPr>
        <w:tc>
          <w:tcPr>
            <w:tcW w:w="1843" w:type="dxa"/>
            <w:vMerge w:val="restart"/>
          </w:tcPr>
          <w:p w14:paraId="7D677621" w14:textId="77777777" w:rsidR="003653AD" w:rsidRDefault="003653AD" w:rsidP="005D7E8A">
            <w:pPr>
              <w:rPr>
                <w:b/>
                <w:color w:val="519680"/>
              </w:rPr>
            </w:pPr>
          </w:p>
          <w:p w14:paraId="29A11EDF" w14:textId="77777777" w:rsidR="007045AB" w:rsidRDefault="007045AB" w:rsidP="005D7E8A">
            <w:pPr>
              <w:rPr>
                <w:b/>
                <w:color w:val="519680"/>
              </w:rPr>
            </w:pPr>
          </w:p>
          <w:p w14:paraId="5D44E42B" w14:textId="77777777" w:rsidR="007045AB" w:rsidRDefault="007045AB" w:rsidP="005D7E8A">
            <w:pPr>
              <w:rPr>
                <w:b/>
                <w:color w:val="519680"/>
              </w:rPr>
            </w:pPr>
          </w:p>
          <w:p w14:paraId="62D7FA47" w14:textId="35C46FF0" w:rsidR="003653AD" w:rsidRPr="00C233CF" w:rsidRDefault="005D7E8A" w:rsidP="005D7E8A">
            <w:pPr>
              <w:rPr>
                <w:b/>
                <w:color w:val="519680"/>
              </w:rPr>
            </w:pPr>
            <w:r w:rsidRPr="005D7E8A">
              <w:rPr>
                <w:b/>
                <w:color w:val="519680"/>
              </w:rPr>
              <w:t>Service continuity</w:t>
            </w:r>
          </w:p>
          <w:p w14:paraId="6965B740" w14:textId="77777777" w:rsidR="005D7E8A" w:rsidRDefault="005D7E8A" w:rsidP="005D7E8A">
            <w:pPr>
              <w:rPr>
                <w:b/>
                <w:color w:val="519680"/>
              </w:rPr>
            </w:pPr>
          </w:p>
        </w:tc>
        <w:tc>
          <w:tcPr>
            <w:tcW w:w="5387" w:type="dxa"/>
          </w:tcPr>
          <w:p w14:paraId="1339992E" w14:textId="70FE4073" w:rsidR="005D7E8A" w:rsidRDefault="007D2BF6" w:rsidP="005D7E8A">
            <w:pPr>
              <w:rPr>
                <w:bCs/>
              </w:rPr>
            </w:pPr>
            <w:r>
              <w:rPr>
                <w:bCs/>
              </w:rPr>
              <w:t>Put in place</w:t>
            </w:r>
            <w:r w:rsidR="005D7E8A">
              <w:rPr>
                <w:bCs/>
              </w:rPr>
              <w:t xml:space="preserve"> a process so </w:t>
            </w:r>
            <w:r w:rsidR="005D7E8A" w:rsidRPr="002C45F9">
              <w:rPr>
                <w:bCs/>
              </w:rPr>
              <w:t>locum pharmacists are made aware of the service and understand the SOP so that they can provide the service.</w:t>
            </w:r>
          </w:p>
          <w:p w14:paraId="7E33F321" w14:textId="534B84FC" w:rsidR="005D7E8A" w:rsidRPr="00B161B2" w:rsidRDefault="005D7E8A" w:rsidP="005D7E8A">
            <w:pPr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2A0333DF" w14:textId="77777777" w:rsidR="005D7E8A" w:rsidRPr="00C233CF" w:rsidRDefault="005D7E8A">
            <w:pPr>
              <w:rPr>
                <w:b/>
                <w:color w:val="519680"/>
              </w:rPr>
            </w:pPr>
          </w:p>
        </w:tc>
        <w:tc>
          <w:tcPr>
            <w:tcW w:w="1134" w:type="dxa"/>
          </w:tcPr>
          <w:p w14:paraId="57E9C7A7" w14:textId="77777777" w:rsidR="005D7E8A" w:rsidRPr="00C233CF" w:rsidRDefault="005D7E8A">
            <w:pPr>
              <w:rPr>
                <w:b/>
                <w:color w:val="519680"/>
              </w:rPr>
            </w:pPr>
          </w:p>
        </w:tc>
        <w:tc>
          <w:tcPr>
            <w:tcW w:w="1218" w:type="dxa"/>
          </w:tcPr>
          <w:p w14:paraId="70495AD9" w14:textId="77777777" w:rsidR="005D7E8A" w:rsidRDefault="005D7E8A" w:rsidP="0010714C">
            <w:pPr>
              <w:jc w:val="center"/>
              <w:rPr>
                <w:b/>
                <w:color w:val="519680"/>
              </w:rPr>
            </w:pPr>
          </w:p>
          <w:p w14:paraId="3E9D431C" w14:textId="1879BD28" w:rsidR="00B161B2" w:rsidRDefault="002D54EC" w:rsidP="0010714C">
            <w:pPr>
              <w:jc w:val="center"/>
              <w:rPr>
                <w:b/>
                <w:color w:val="519680"/>
              </w:rPr>
            </w:pPr>
            <w:r w:rsidRPr="00F46E35">
              <w:rPr>
                <w:rFonts w:ascii="Calibri" w:eastAsia="Calibri" w:hAnsi="Calibri" w:cs="Arial"/>
                <w:b/>
                <w:color w:val="51968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E35">
              <w:rPr>
                <w:rFonts w:ascii="Calibri" w:eastAsia="Calibri" w:hAnsi="Calibri" w:cs="Arial"/>
                <w:b/>
                <w:color w:val="519680"/>
              </w:rPr>
              <w:instrText xml:space="preserve"> FORMCHECKBOX </w:instrText>
            </w:r>
            <w:r w:rsidR="004A2453">
              <w:rPr>
                <w:rFonts w:ascii="Calibri" w:eastAsia="Calibri" w:hAnsi="Calibri" w:cs="Arial"/>
                <w:b/>
                <w:color w:val="519680"/>
              </w:rPr>
            </w:r>
            <w:r w:rsidR="004A2453">
              <w:rPr>
                <w:rFonts w:ascii="Calibri" w:eastAsia="Calibri" w:hAnsi="Calibri" w:cs="Arial"/>
                <w:b/>
                <w:color w:val="519680"/>
              </w:rPr>
              <w:fldChar w:fldCharType="separate"/>
            </w:r>
            <w:r w:rsidRPr="00F46E35">
              <w:rPr>
                <w:rFonts w:ascii="Calibri" w:eastAsia="Calibri" w:hAnsi="Calibri" w:cs="Arial"/>
                <w:b/>
                <w:color w:val="519680"/>
              </w:rPr>
              <w:fldChar w:fldCharType="end"/>
            </w:r>
          </w:p>
        </w:tc>
      </w:tr>
      <w:tr w:rsidR="00D03CD4" w14:paraId="46C3CFBE" w14:textId="77777777" w:rsidTr="006D4B83">
        <w:trPr>
          <w:trHeight w:val="736"/>
        </w:trPr>
        <w:tc>
          <w:tcPr>
            <w:tcW w:w="1843" w:type="dxa"/>
            <w:vMerge/>
          </w:tcPr>
          <w:p w14:paraId="24BAA82E" w14:textId="77777777" w:rsidR="00D03CD4" w:rsidRPr="00C233CF" w:rsidRDefault="00D03CD4" w:rsidP="005D7E8A">
            <w:pPr>
              <w:rPr>
                <w:b/>
                <w:color w:val="519680"/>
              </w:rPr>
            </w:pPr>
          </w:p>
        </w:tc>
        <w:tc>
          <w:tcPr>
            <w:tcW w:w="5387" w:type="dxa"/>
          </w:tcPr>
          <w:p w14:paraId="1A233240" w14:textId="3F2417DF" w:rsidR="00D03CD4" w:rsidRDefault="00211EE6" w:rsidP="005D7E8A">
            <w:pPr>
              <w:rPr>
                <w:bCs/>
              </w:rPr>
            </w:pPr>
            <w:r>
              <w:rPr>
                <w:bCs/>
              </w:rPr>
              <w:t xml:space="preserve">Put in place </w:t>
            </w:r>
            <w:r w:rsidR="005D7E8A" w:rsidRPr="00A078F3">
              <w:rPr>
                <w:bCs/>
              </w:rPr>
              <w:t>a process to check for referrals from NHS 111 and general practice</w:t>
            </w:r>
            <w:r>
              <w:rPr>
                <w:bCs/>
              </w:rPr>
              <w:t>s</w:t>
            </w:r>
            <w:r w:rsidR="005D7E8A" w:rsidRPr="00A078F3">
              <w:rPr>
                <w:bCs/>
              </w:rPr>
              <w:t xml:space="preserve"> at appropriate intervals, including </w:t>
            </w:r>
            <w:r>
              <w:rPr>
                <w:bCs/>
              </w:rPr>
              <w:t xml:space="preserve">ensuring staff </w:t>
            </w:r>
            <w:r w:rsidR="005D7E8A" w:rsidRPr="00A078F3">
              <w:rPr>
                <w:bCs/>
              </w:rPr>
              <w:t>hav</w:t>
            </w:r>
            <w:r>
              <w:rPr>
                <w:bCs/>
              </w:rPr>
              <w:t>e</w:t>
            </w:r>
            <w:r w:rsidR="005D7E8A" w:rsidRPr="00A078F3">
              <w:rPr>
                <w:bCs/>
              </w:rPr>
              <w:t xml:space="preserve"> access to the pharmacy’s NHSmail shared mailbox on every day the pharmacy is open.</w:t>
            </w:r>
          </w:p>
          <w:p w14:paraId="27D2A728" w14:textId="1D8533DC" w:rsidR="005D7E8A" w:rsidRPr="002D54EC" w:rsidRDefault="005D7E8A" w:rsidP="005D7E8A">
            <w:pPr>
              <w:rPr>
                <w:bCs/>
                <w:color w:val="519680"/>
                <w:sz w:val="16"/>
                <w:szCs w:val="16"/>
              </w:rPr>
            </w:pPr>
          </w:p>
        </w:tc>
        <w:tc>
          <w:tcPr>
            <w:tcW w:w="850" w:type="dxa"/>
          </w:tcPr>
          <w:p w14:paraId="1DDC3A65" w14:textId="77777777" w:rsidR="00D03CD4" w:rsidRPr="00C233CF" w:rsidRDefault="00D03CD4" w:rsidP="003F06F2">
            <w:pPr>
              <w:ind w:left="-333" w:firstLine="333"/>
              <w:rPr>
                <w:b/>
                <w:color w:val="519680"/>
              </w:rPr>
            </w:pPr>
          </w:p>
        </w:tc>
        <w:tc>
          <w:tcPr>
            <w:tcW w:w="1134" w:type="dxa"/>
          </w:tcPr>
          <w:p w14:paraId="24B8FF66" w14:textId="77777777" w:rsidR="00D03CD4" w:rsidRPr="00C233CF" w:rsidRDefault="00D03CD4" w:rsidP="003F06F2">
            <w:pPr>
              <w:ind w:left="-333" w:firstLine="333"/>
              <w:rPr>
                <w:b/>
                <w:color w:val="519680"/>
              </w:rPr>
            </w:pPr>
          </w:p>
        </w:tc>
        <w:tc>
          <w:tcPr>
            <w:tcW w:w="1218" w:type="dxa"/>
          </w:tcPr>
          <w:p w14:paraId="7F4D07FA" w14:textId="77777777" w:rsidR="00D03CD4" w:rsidRDefault="00D03CD4" w:rsidP="003F06F2">
            <w:pPr>
              <w:ind w:left="-333" w:firstLine="333"/>
              <w:jc w:val="center"/>
              <w:rPr>
                <w:b/>
                <w:color w:val="519680"/>
              </w:rPr>
            </w:pPr>
          </w:p>
          <w:p w14:paraId="682AA333" w14:textId="493803BF" w:rsidR="00D03CD4" w:rsidRPr="00C233CF" w:rsidRDefault="00D03CD4" w:rsidP="003F06F2">
            <w:pPr>
              <w:ind w:left="-333" w:firstLine="333"/>
              <w:jc w:val="center"/>
              <w:rPr>
                <w:b/>
                <w:color w:val="519680"/>
              </w:rPr>
            </w:pPr>
            <w:r w:rsidRPr="00F46E35">
              <w:rPr>
                <w:rFonts w:ascii="Calibri" w:eastAsia="Calibri" w:hAnsi="Calibri" w:cs="Arial"/>
                <w:b/>
                <w:color w:val="51968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E35">
              <w:rPr>
                <w:rFonts w:ascii="Calibri" w:eastAsia="Calibri" w:hAnsi="Calibri" w:cs="Arial"/>
                <w:b/>
                <w:color w:val="519680"/>
              </w:rPr>
              <w:instrText xml:space="preserve"> FORMCHECKBOX </w:instrText>
            </w:r>
            <w:r w:rsidR="004A2453">
              <w:rPr>
                <w:rFonts w:ascii="Calibri" w:eastAsia="Calibri" w:hAnsi="Calibri" w:cs="Arial"/>
                <w:b/>
                <w:color w:val="519680"/>
              </w:rPr>
            </w:r>
            <w:r w:rsidR="004A2453">
              <w:rPr>
                <w:rFonts w:ascii="Calibri" w:eastAsia="Calibri" w:hAnsi="Calibri" w:cs="Arial"/>
                <w:b/>
                <w:color w:val="519680"/>
              </w:rPr>
              <w:fldChar w:fldCharType="separate"/>
            </w:r>
            <w:r w:rsidRPr="00F46E35">
              <w:rPr>
                <w:rFonts w:ascii="Calibri" w:eastAsia="Calibri" w:hAnsi="Calibri" w:cs="Arial"/>
                <w:b/>
                <w:color w:val="519680"/>
              </w:rPr>
              <w:fldChar w:fldCharType="end"/>
            </w:r>
          </w:p>
        </w:tc>
      </w:tr>
      <w:tr w:rsidR="00304CA9" w14:paraId="03BF3B25" w14:textId="77777777" w:rsidTr="006D4B83">
        <w:trPr>
          <w:trHeight w:val="736"/>
        </w:trPr>
        <w:tc>
          <w:tcPr>
            <w:tcW w:w="1843" w:type="dxa"/>
            <w:vMerge w:val="restart"/>
          </w:tcPr>
          <w:p w14:paraId="1FED4AA2" w14:textId="77777777" w:rsidR="00304CA9" w:rsidRDefault="00304CA9" w:rsidP="0098274C">
            <w:pPr>
              <w:rPr>
                <w:b/>
                <w:color w:val="519680"/>
              </w:rPr>
            </w:pPr>
          </w:p>
          <w:p w14:paraId="6CFF83E4" w14:textId="77777777" w:rsidR="00304CA9" w:rsidRDefault="00304CA9" w:rsidP="0098274C">
            <w:pPr>
              <w:rPr>
                <w:b/>
                <w:color w:val="519680"/>
              </w:rPr>
            </w:pPr>
          </w:p>
          <w:p w14:paraId="6DC2A2DD" w14:textId="77777777" w:rsidR="00304CA9" w:rsidRDefault="00304CA9" w:rsidP="0098274C">
            <w:pPr>
              <w:rPr>
                <w:b/>
                <w:color w:val="519680"/>
              </w:rPr>
            </w:pPr>
          </w:p>
          <w:p w14:paraId="0C6CF707" w14:textId="77777777" w:rsidR="00304CA9" w:rsidRDefault="00304CA9" w:rsidP="0098274C">
            <w:pPr>
              <w:rPr>
                <w:b/>
                <w:color w:val="519680"/>
              </w:rPr>
            </w:pPr>
          </w:p>
          <w:p w14:paraId="74C8F3C1" w14:textId="77777777" w:rsidR="00304CA9" w:rsidRDefault="00304CA9" w:rsidP="0098274C">
            <w:pPr>
              <w:rPr>
                <w:b/>
                <w:color w:val="519680"/>
              </w:rPr>
            </w:pPr>
          </w:p>
          <w:p w14:paraId="0C80DC7D" w14:textId="77777777" w:rsidR="00304CA9" w:rsidRDefault="00304CA9" w:rsidP="0098274C">
            <w:pPr>
              <w:rPr>
                <w:b/>
                <w:color w:val="519680"/>
              </w:rPr>
            </w:pPr>
          </w:p>
          <w:p w14:paraId="394F9393" w14:textId="77777777" w:rsidR="00304CA9" w:rsidRDefault="00304CA9" w:rsidP="0098274C">
            <w:pPr>
              <w:rPr>
                <w:b/>
                <w:color w:val="519680"/>
              </w:rPr>
            </w:pPr>
          </w:p>
          <w:p w14:paraId="0FA22A47" w14:textId="77777777" w:rsidR="00304CA9" w:rsidRDefault="00304CA9" w:rsidP="0098274C">
            <w:pPr>
              <w:rPr>
                <w:b/>
                <w:color w:val="519680"/>
              </w:rPr>
            </w:pPr>
          </w:p>
          <w:p w14:paraId="2A57F332" w14:textId="3CDD44B8" w:rsidR="00304CA9" w:rsidRPr="00C233CF" w:rsidRDefault="00304CA9" w:rsidP="0098274C">
            <w:pPr>
              <w:rPr>
                <w:b/>
                <w:color w:val="519680"/>
              </w:rPr>
            </w:pPr>
            <w:r>
              <w:rPr>
                <w:b/>
                <w:color w:val="519680"/>
              </w:rPr>
              <w:t xml:space="preserve">Local </w:t>
            </w:r>
            <w:r w:rsidRPr="0098274C">
              <w:rPr>
                <w:b/>
                <w:color w:val="519680"/>
              </w:rPr>
              <w:t>engagement activity</w:t>
            </w:r>
          </w:p>
          <w:p w14:paraId="0E3E69A0" w14:textId="77777777" w:rsidR="00304CA9" w:rsidRPr="00C233CF" w:rsidRDefault="00304CA9" w:rsidP="005D7E8A">
            <w:pPr>
              <w:rPr>
                <w:b/>
                <w:color w:val="519680"/>
              </w:rPr>
            </w:pPr>
          </w:p>
          <w:p w14:paraId="0B66E82F" w14:textId="77777777" w:rsidR="00304CA9" w:rsidRPr="00C233CF" w:rsidRDefault="00304CA9" w:rsidP="005D7E8A">
            <w:pPr>
              <w:rPr>
                <w:b/>
                <w:color w:val="519680"/>
              </w:rPr>
            </w:pPr>
          </w:p>
          <w:p w14:paraId="05E60A60" w14:textId="77777777" w:rsidR="00304CA9" w:rsidRPr="00C233CF" w:rsidRDefault="00304CA9" w:rsidP="005D7E8A">
            <w:pPr>
              <w:rPr>
                <w:b/>
                <w:color w:val="519680"/>
              </w:rPr>
            </w:pPr>
          </w:p>
          <w:p w14:paraId="0B197DD0" w14:textId="77777777" w:rsidR="00304CA9" w:rsidRPr="002D54EC" w:rsidRDefault="00304CA9" w:rsidP="005D7E8A">
            <w:pPr>
              <w:rPr>
                <w:b/>
                <w:color w:val="519680"/>
                <w:sz w:val="16"/>
                <w:szCs w:val="16"/>
              </w:rPr>
            </w:pPr>
          </w:p>
        </w:tc>
        <w:tc>
          <w:tcPr>
            <w:tcW w:w="5387" w:type="dxa"/>
          </w:tcPr>
          <w:p w14:paraId="2269CC2E" w14:textId="77777777" w:rsidR="00304CA9" w:rsidRDefault="00304CA9" w:rsidP="005F72F3">
            <w:pPr>
              <w:rPr>
                <w:bCs/>
              </w:rPr>
            </w:pPr>
            <w:r w:rsidRPr="00671DF9">
              <w:rPr>
                <w:bCs/>
              </w:rPr>
              <w:t xml:space="preserve">Review </w:t>
            </w:r>
            <w:r w:rsidR="00AE10C7">
              <w:rPr>
                <w:bCs/>
              </w:rPr>
              <w:t xml:space="preserve">the </w:t>
            </w:r>
            <w:r w:rsidRPr="00671DF9">
              <w:rPr>
                <w:bCs/>
              </w:rPr>
              <w:t>LPC website</w:t>
            </w:r>
            <w:r w:rsidR="00F41E6B">
              <w:rPr>
                <w:bCs/>
              </w:rPr>
              <w:t xml:space="preserve"> or newsletter</w:t>
            </w:r>
            <w:r w:rsidRPr="00671DF9">
              <w:rPr>
                <w:bCs/>
              </w:rPr>
              <w:t xml:space="preserve"> </w:t>
            </w:r>
            <w:r w:rsidR="00B91F8C">
              <w:rPr>
                <w:bCs/>
              </w:rPr>
              <w:t>for information on local rollout plans</w:t>
            </w:r>
            <w:r w:rsidR="0027467D">
              <w:rPr>
                <w:bCs/>
              </w:rPr>
              <w:t>,</w:t>
            </w:r>
            <w:r w:rsidR="00B91F8C">
              <w:rPr>
                <w:bCs/>
              </w:rPr>
              <w:t xml:space="preserve"> to </w:t>
            </w:r>
            <w:r w:rsidRPr="00671DF9">
              <w:rPr>
                <w:bCs/>
              </w:rPr>
              <w:t xml:space="preserve">confirm </w:t>
            </w:r>
            <w:r w:rsidR="0027467D">
              <w:rPr>
                <w:bCs/>
              </w:rPr>
              <w:t xml:space="preserve">who </w:t>
            </w:r>
            <w:r w:rsidR="00892703">
              <w:rPr>
                <w:bCs/>
              </w:rPr>
              <w:t xml:space="preserve">is leading </w:t>
            </w:r>
            <w:r w:rsidR="0027467D">
              <w:rPr>
                <w:bCs/>
              </w:rPr>
              <w:t xml:space="preserve">the </w:t>
            </w:r>
            <w:r w:rsidRPr="00671DF9">
              <w:rPr>
                <w:bCs/>
              </w:rPr>
              <w:t>local implementation</w:t>
            </w:r>
            <w:r w:rsidR="00892703">
              <w:rPr>
                <w:bCs/>
              </w:rPr>
              <w:t xml:space="preserve"> of the referral pathway</w:t>
            </w:r>
            <w:r w:rsidR="00B161BB">
              <w:rPr>
                <w:bCs/>
              </w:rPr>
              <w:t xml:space="preserve"> and the</w:t>
            </w:r>
            <w:r w:rsidRPr="00671DF9">
              <w:rPr>
                <w:bCs/>
              </w:rPr>
              <w:t xml:space="preserve"> details of </w:t>
            </w:r>
            <w:r w:rsidR="00B161BB">
              <w:rPr>
                <w:bCs/>
              </w:rPr>
              <w:t xml:space="preserve">any </w:t>
            </w:r>
            <w:r w:rsidRPr="00671DF9">
              <w:rPr>
                <w:bCs/>
              </w:rPr>
              <w:t>local engagement events.</w:t>
            </w:r>
          </w:p>
          <w:p w14:paraId="54BE553C" w14:textId="77777777" w:rsidR="00B821D2" w:rsidRDefault="009F2498" w:rsidP="0075072C">
            <w:pPr>
              <w:rPr>
                <w:bCs/>
              </w:rPr>
            </w:pPr>
            <w:r>
              <w:rPr>
                <w:bCs/>
              </w:rPr>
              <w:t xml:space="preserve">Participate in discussions with the delivery partner or LPC </w:t>
            </w:r>
            <w:r w:rsidR="000252BF">
              <w:rPr>
                <w:bCs/>
              </w:rPr>
              <w:t>to identify how you can promote uptake of the GP referral pathway by general practices</w:t>
            </w:r>
            <w:r w:rsidR="0075072C">
              <w:rPr>
                <w:bCs/>
              </w:rPr>
              <w:t xml:space="preserve">. </w:t>
            </w:r>
            <w:r w:rsidR="0075072C" w:rsidRPr="0075072C">
              <w:rPr>
                <w:bCs/>
              </w:rPr>
              <w:t>This could include early</w:t>
            </w:r>
            <w:r w:rsidR="0075072C">
              <w:rPr>
                <w:bCs/>
              </w:rPr>
              <w:t xml:space="preserve"> </w:t>
            </w:r>
            <w:r w:rsidR="0075072C" w:rsidRPr="0075072C">
              <w:rPr>
                <w:bCs/>
              </w:rPr>
              <w:t>exploration of options, through to discussing the planning process for rollout of the</w:t>
            </w:r>
            <w:r w:rsidR="0075072C">
              <w:rPr>
                <w:bCs/>
              </w:rPr>
              <w:t xml:space="preserve"> </w:t>
            </w:r>
            <w:r w:rsidR="0075072C" w:rsidRPr="0075072C">
              <w:rPr>
                <w:bCs/>
              </w:rPr>
              <w:t>referral pathway</w:t>
            </w:r>
            <w:r w:rsidR="0075072C">
              <w:rPr>
                <w:bCs/>
              </w:rPr>
              <w:t>.</w:t>
            </w:r>
          </w:p>
          <w:p w14:paraId="6BFC5453" w14:textId="24D8B677" w:rsidR="0075072C" w:rsidRPr="003D18D1" w:rsidRDefault="0075072C">
            <w:pPr>
              <w:rPr>
                <w:bCs/>
                <w:color w:val="519680"/>
                <w:sz w:val="16"/>
                <w:szCs w:val="16"/>
              </w:rPr>
            </w:pPr>
            <w:r w:rsidRPr="003D18D1">
              <w:rPr>
                <w:bCs/>
                <w:color w:val="51968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76AA54F1" w14:textId="77777777" w:rsidR="00304CA9" w:rsidRPr="00C233CF" w:rsidRDefault="00304CA9" w:rsidP="003F06F2">
            <w:pPr>
              <w:ind w:left="-333" w:firstLine="333"/>
              <w:rPr>
                <w:b/>
                <w:color w:val="519680"/>
              </w:rPr>
            </w:pPr>
          </w:p>
        </w:tc>
        <w:tc>
          <w:tcPr>
            <w:tcW w:w="1134" w:type="dxa"/>
          </w:tcPr>
          <w:p w14:paraId="7F8994C9" w14:textId="77777777" w:rsidR="00304CA9" w:rsidRPr="00C233CF" w:rsidRDefault="00304CA9" w:rsidP="003F06F2">
            <w:pPr>
              <w:ind w:left="-333" w:firstLine="333"/>
              <w:rPr>
                <w:b/>
                <w:color w:val="519680"/>
              </w:rPr>
            </w:pPr>
          </w:p>
        </w:tc>
        <w:tc>
          <w:tcPr>
            <w:tcW w:w="1218" w:type="dxa"/>
          </w:tcPr>
          <w:p w14:paraId="351FD4D0" w14:textId="77777777" w:rsidR="00304CA9" w:rsidRDefault="00304CA9" w:rsidP="003F06F2">
            <w:pPr>
              <w:ind w:left="-333" w:firstLine="333"/>
              <w:jc w:val="center"/>
              <w:rPr>
                <w:b/>
                <w:color w:val="519680"/>
              </w:rPr>
            </w:pPr>
          </w:p>
          <w:p w14:paraId="5C1DF14F" w14:textId="2133FE2A" w:rsidR="00304CA9" w:rsidRPr="00C233CF" w:rsidRDefault="00304CA9" w:rsidP="003F06F2">
            <w:pPr>
              <w:ind w:left="-333" w:firstLine="333"/>
              <w:jc w:val="center"/>
              <w:rPr>
                <w:b/>
                <w:color w:val="519680"/>
              </w:rPr>
            </w:pPr>
            <w:r w:rsidRPr="00F46E35">
              <w:rPr>
                <w:rFonts w:ascii="Calibri" w:eastAsia="Calibri" w:hAnsi="Calibri" w:cs="Arial"/>
                <w:b/>
                <w:color w:val="51968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E35">
              <w:rPr>
                <w:rFonts w:ascii="Calibri" w:eastAsia="Calibri" w:hAnsi="Calibri" w:cs="Arial"/>
                <w:b/>
                <w:color w:val="519680"/>
              </w:rPr>
              <w:instrText xml:space="preserve"> FORMCHECKBOX </w:instrText>
            </w:r>
            <w:r w:rsidR="004A2453">
              <w:rPr>
                <w:rFonts w:ascii="Calibri" w:eastAsia="Calibri" w:hAnsi="Calibri" w:cs="Arial"/>
                <w:b/>
                <w:color w:val="519680"/>
              </w:rPr>
            </w:r>
            <w:r w:rsidR="004A2453">
              <w:rPr>
                <w:rFonts w:ascii="Calibri" w:eastAsia="Calibri" w:hAnsi="Calibri" w:cs="Arial"/>
                <w:b/>
                <w:color w:val="519680"/>
              </w:rPr>
              <w:fldChar w:fldCharType="separate"/>
            </w:r>
            <w:r w:rsidRPr="00F46E35">
              <w:rPr>
                <w:rFonts w:ascii="Calibri" w:eastAsia="Calibri" w:hAnsi="Calibri" w:cs="Arial"/>
                <w:b/>
                <w:color w:val="519680"/>
              </w:rPr>
              <w:fldChar w:fldCharType="end"/>
            </w:r>
          </w:p>
        </w:tc>
      </w:tr>
      <w:tr w:rsidR="00304CA9" w14:paraId="19FDC1D9" w14:textId="77777777" w:rsidTr="006D4B83">
        <w:trPr>
          <w:trHeight w:val="750"/>
        </w:trPr>
        <w:tc>
          <w:tcPr>
            <w:tcW w:w="1843" w:type="dxa"/>
            <w:vMerge/>
          </w:tcPr>
          <w:p w14:paraId="183138CF" w14:textId="77777777" w:rsidR="00304CA9" w:rsidRPr="00C233CF" w:rsidRDefault="00304CA9" w:rsidP="005D7E8A">
            <w:pPr>
              <w:rPr>
                <w:b/>
                <w:color w:val="519680"/>
              </w:rPr>
            </w:pPr>
          </w:p>
        </w:tc>
        <w:tc>
          <w:tcPr>
            <w:tcW w:w="5387" w:type="dxa"/>
          </w:tcPr>
          <w:p w14:paraId="0771B0B0" w14:textId="759A61E0" w:rsidR="00304CA9" w:rsidRDefault="00304CA9" w:rsidP="00B973FE">
            <w:pPr>
              <w:rPr>
                <w:bCs/>
              </w:rPr>
            </w:pPr>
            <w:r>
              <w:rPr>
                <w:bCs/>
              </w:rPr>
              <w:t xml:space="preserve">Once </w:t>
            </w:r>
            <w:r w:rsidR="00C65908">
              <w:rPr>
                <w:bCs/>
              </w:rPr>
              <w:t xml:space="preserve">any </w:t>
            </w:r>
            <w:r>
              <w:rPr>
                <w:bCs/>
              </w:rPr>
              <w:t xml:space="preserve">local meetings </w:t>
            </w:r>
            <w:r w:rsidR="00C65908">
              <w:rPr>
                <w:bCs/>
              </w:rPr>
              <w:t xml:space="preserve">are </w:t>
            </w:r>
            <w:r>
              <w:rPr>
                <w:bCs/>
              </w:rPr>
              <w:t xml:space="preserve">confirmed, arrange </w:t>
            </w:r>
            <w:r w:rsidR="00A93261">
              <w:rPr>
                <w:bCs/>
              </w:rPr>
              <w:t xml:space="preserve">for a member of staff to </w:t>
            </w:r>
            <w:r>
              <w:rPr>
                <w:bCs/>
              </w:rPr>
              <w:t>attend</w:t>
            </w:r>
            <w:r w:rsidR="00A93261">
              <w:rPr>
                <w:bCs/>
              </w:rPr>
              <w:t xml:space="preserve"> the mee</w:t>
            </w:r>
            <w:r w:rsidRPr="00B973FE">
              <w:rPr>
                <w:bCs/>
              </w:rPr>
              <w:t>tings</w:t>
            </w:r>
            <w:r>
              <w:rPr>
                <w:bCs/>
              </w:rPr>
              <w:t xml:space="preserve">. </w:t>
            </w:r>
            <w:r w:rsidR="002E0D83">
              <w:rPr>
                <w:bCs/>
              </w:rPr>
              <w:t>Meeting</w:t>
            </w:r>
            <w:r w:rsidR="00C75F62">
              <w:rPr>
                <w:bCs/>
              </w:rPr>
              <w:t>s</w:t>
            </w:r>
            <w:r w:rsidR="002E0D83">
              <w:rPr>
                <w:bCs/>
              </w:rPr>
              <w:t xml:space="preserve"> may</w:t>
            </w:r>
            <w:r>
              <w:rPr>
                <w:bCs/>
              </w:rPr>
              <w:t xml:space="preserve"> provide a </w:t>
            </w:r>
            <w:r w:rsidRPr="00B973FE">
              <w:rPr>
                <w:bCs/>
              </w:rPr>
              <w:t>brief</w:t>
            </w:r>
            <w:r>
              <w:rPr>
                <w:bCs/>
              </w:rPr>
              <w:t>ing for</w:t>
            </w:r>
            <w:r w:rsidRPr="00B973FE">
              <w:rPr>
                <w:bCs/>
              </w:rPr>
              <w:t xml:space="preserve"> pharmacies and potentially general practices on the referral process which will be implemented, including how pharmacies will be involved in the pathway. </w:t>
            </w:r>
          </w:p>
          <w:p w14:paraId="59020E0C" w14:textId="5261FE9A" w:rsidR="00304CA9" w:rsidRDefault="002E0D83" w:rsidP="00B973FE">
            <w:pPr>
              <w:rPr>
                <w:bCs/>
              </w:rPr>
            </w:pPr>
            <w:r>
              <w:rPr>
                <w:bCs/>
              </w:rPr>
              <w:t xml:space="preserve">If you have </w:t>
            </w:r>
            <w:r w:rsidR="00304CA9" w:rsidRPr="00B973FE">
              <w:rPr>
                <w:bCs/>
              </w:rPr>
              <w:t xml:space="preserve">no representative available to attend a meeting at the time set, seek a briefing from the delivery partner/LPC lead on the matters discussed to ensure that </w:t>
            </w:r>
            <w:r w:rsidR="00E3689B">
              <w:rPr>
                <w:bCs/>
              </w:rPr>
              <w:t>you</w:t>
            </w:r>
            <w:r w:rsidR="00E3689B" w:rsidRPr="00B973FE">
              <w:rPr>
                <w:bCs/>
              </w:rPr>
              <w:t xml:space="preserve"> </w:t>
            </w:r>
            <w:r w:rsidR="00304CA9" w:rsidRPr="00B973FE">
              <w:rPr>
                <w:bCs/>
              </w:rPr>
              <w:t>remain fully engaged with local plans</w:t>
            </w:r>
            <w:r w:rsidR="00304CA9">
              <w:rPr>
                <w:bCs/>
              </w:rPr>
              <w:t>.</w:t>
            </w:r>
          </w:p>
          <w:p w14:paraId="335D268E" w14:textId="5E074C2C" w:rsidR="00304CA9" w:rsidRPr="002D54EC" w:rsidRDefault="00304CA9" w:rsidP="00B973FE">
            <w:pPr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799A25C7" w14:textId="77777777" w:rsidR="00304CA9" w:rsidRPr="00C233CF" w:rsidRDefault="00304CA9" w:rsidP="003F06F2">
            <w:pPr>
              <w:ind w:left="-333" w:firstLine="333"/>
              <w:rPr>
                <w:b/>
                <w:color w:val="519680"/>
              </w:rPr>
            </w:pPr>
          </w:p>
        </w:tc>
        <w:tc>
          <w:tcPr>
            <w:tcW w:w="1134" w:type="dxa"/>
          </w:tcPr>
          <w:p w14:paraId="29A83230" w14:textId="77777777" w:rsidR="00304CA9" w:rsidRPr="00C233CF" w:rsidRDefault="00304CA9" w:rsidP="003F06F2">
            <w:pPr>
              <w:ind w:left="-333" w:firstLine="333"/>
              <w:rPr>
                <w:b/>
                <w:color w:val="519680"/>
              </w:rPr>
            </w:pPr>
          </w:p>
        </w:tc>
        <w:tc>
          <w:tcPr>
            <w:tcW w:w="1218" w:type="dxa"/>
          </w:tcPr>
          <w:p w14:paraId="3C37EE25" w14:textId="77777777" w:rsidR="00304CA9" w:rsidRDefault="00304CA9" w:rsidP="003F06F2">
            <w:pPr>
              <w:ind w:left="-333" w:firstLine="333"/>
              <w:jc w:val="center"/>
              <w:rPr>
                <w:b/>
                <w:color w:val="519680"/>
              </w:rPr>
            </w:pPr>
          </w:p>
          <w:p w14:paraId="349A2EAF" w14:textId="48B7E432" w:rsidR="00304CA9" w:rsidRPr="00C233CF" w:rsidRDefault="00304CA9" w:rsidP="003F06F2">
            <w:pPr>
              <w:ind w:left="-333" w:firstLine="333"/>
              <w:jc w:val="center"/>
              <w:rPr>
                <w:b/>
                <w:color w:val="519680"/>
              </w:rPr>
            </w:pPr>
            <w:r w:rsidRPr="00F46E35">
              <w:rPr>
                <w:rFonts w:ascii="Calibri" w:eastAsia="Calibri" w:hAnsi="Calibri" w:cs="Arial"/>
                <w:b/>
                <w:color w:val="51968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E35">
              <w:rPr>
                <w:rFonts w:ascii="Calibri" w:eastAsia="Calibri" w:hAnsi="Calibri" w:cs="Arial"/>
                <w:b/>
                <w:color w:val="519680"/>
              </w:rPr>
              <w:instrText xml:space="preserve"> FORMCHECKBOX </w:instrText>
            </w:r>
            <w:r w:rsidR="004A2453">
              <w:rPr>
                <w:rFonts w:ascii="Calibri" w:eastAsia="Calibri" w:hAnsi="Calibri" w:cs="Arial"/>
                <w:b/>
                <w:color w:val="519680"/>
              </w:rPr>
            </w:r>
            <w:r w:rsidR="004A2453">
              <w:rPr>
                <w:rFonts w:ascii="Calibri" w:eastAsia="Calibri" w:hAnsi="Calibri" w:cs="Arial"/>
                <w:b/>
                <w:color w:val="519680"/>
              </w:rPr>
              <w:fldChar w:fldCharType="separate"/>
            </w:r>
            <w:r w:rsidRPr="00F46E35">
              <w:rPr>
                <w:rFonts w:ascii="Calibri" w:eastAsia="Calibri" w:hAnsi="Calibri" w:cs="Arial"/>
                <w:b/>
                <w:color w:val="519680"/>
              </w:rPr>
              <w:fldChar w:fldCharType="end"/>
            </w:r>
          </w:p>
        </w:tc>
      </w:tr>
      <w:tr w:rsidR="00304CA9" w14:paraId="025D3454" w14:textId="77777777" w:rsidTr="006D4B83">
        <w:trPr>
          <w:trHeight w:val="736"/>
        </w:trPr>
        <w:tc>
          <w:tcPr>
            <w:tcW w:w="1843" w:type="dxa"/>
            <w:vMerge/>
          </w:tcPr>
          <w:p w14:paraId="4ABF5631" w14:textId="77777777" w:rsidR="00304CA9" w:rsidRPr="00C233CF" w:rsidRDefault="00304CA9" w:rsidP="005D7E8A">
            <w:pPr>
              <w:rPr>
                <w:b/>
                <w:color w:val="519680"/>
              </w:rPr>
            </w:pPr>
          </w:p>
        </w:tc>
        <w:tc>
          <w:tcPr>
            <w:tcW w:w="5387" w:type="dxa"/>
          </w:tcPr>
          <w:p w14:paraId="600B95D4" w14:textId="548BC79B" w:rsidR="00304CA9" w:rsidRDefault="00304CA9" w:rsidP="007862D3">
            <w:pPr>
              <w:rPr>
                <w:bCs/>
              </w:rPr>
            </w:pPr>
            <w:r>
              <w:rPr>
                <w:bCs/>
              </w:rPr>
              <w:t>Brief all</w:t>
            </w:r>
            <w:r w:rsidRPr="007862D3">
              <w:rPr>
                <w:bCs/>
              </w:rPr>
              <w:t xml:space="preserve"> relevant members of the pharmacy team </w:t>
            </w:r>
            <w:r>
              <w:rPr>
                <w:bCs/>
              </w:rPr>
              <w:t>on the outputs of the meeting and ensure any additional briefing material</w:t>
            </w:r>
            <w:r w:rsidR="00C3465D">
              <w:rPr>
                <w:bCs/>
              </w:rPr>
              <w:t>s</w:t>
            </w:r>
            <w:r>
              <w:rPr>
                <w:bCs/>
              </w:rPr>
              <w:t xml:space="preserve"> provided at the </w:t>
            </w:r>
            <w:r w:rsidR="00C041F9">
              <w:rPr>
                <w:bCs/>
              </w:rPr>
              <w:t xml:space="preserve">meeting </w:t>
            </w:r>
            <w:r w:rsidRPr="007862D3">
              <w:rPr>
                <w:bCs/>
              </w:rPr>
              <w:t>ha</w:t>
            </w:r>
            <w:r>
              <w:rPr>
                <w:bCs/>
              </w:rPr>
              <w:t xml:space="preserve">s been </w:t>
            </w:r>
            <w:r w:rsidRPr="007862D3">
              <w:rPr>
                <w:bCs/>
              </w:rPr>
              <w:t>read and understood</w:t>
            </w:r>
            <w:r>
              <w:rPr>
                <w:bCs/>
              </w:rPr>
              <w:t>.</w:t>
            </w:r>
          </w:p>
          <w:p w14:paraId="295A6C0C" w14:textId="114004FA" w:rsidR="00304CA9" w:rsidRPr="002D54EC" w:rsidRDefault="00304CA9" w:rsidP="007862D3">
            <w:pPr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646A6DE3" w14:textId="77777777" w:rsidR="00304CA9" w:rsidRPr="00C233CF" w:rsidRDefault="00304CA9" w:rsidP="003F06F2">
            <w:pPr>
              <w:ind w:left="-333" w:firstLine="333"/>
              <w:rPr>
                <w:b/>
                <w:color w:val="519680"/>
              </w:rPr>
            </w:pPr>
          </w:p>
        </w:tc>
        <w:tc>
          <w:tcPr>
            <w:tcW w:w="1134" w:type="dxa"/>
          </w:tcPr>
          <w:p w14:paraId="62068012" w14:textId="77777777" w:rsidR="00304CA9" w:rsidRPr="00C233CF" w:rsidRDefault="00304CA9" w:rsidP="003F06F2">
            <w:pPr>
              <w:ind w:left="-333" w:firstLine="333"/>
              <w:rPr>
                <w:b/>
                <w:color w:val="519680"/>
              </w:rPr>
            </w:pPr>
          </w:p>
        </w:tc>
        <w:tc>
          <w:tcPr>
            <w:tcW w:w="1218" w:type="dxa"/>
          </w:tcPr>
          <w:p w14:paraId="70871964" w14:textId="77777777" w:rsidR="00304CA9" w:rsidRDefault="00304CA9" w:rsidP="003F06F2">
            <w:pPr>
              <w:ind w:left="-333" w:firstLine="333"/>
              <w:jc w:val="center"/>
              <w:rPr>
                <w:b/>
                <w:color w:val="519680"/>
              </w:rPr>
            </w:pPr>
          </w:p>
          <w:p w14:paraId="2E6C0DE1" w14:textId="09E60C24" w:rsidR="00304CA9" w:rsidRPr="00C233CF" w:rsidRDefault="00304CA9" w:rsidP="003F06F2">
            <w:pPr>
              <w:ind w:left="-333" w:firstLine="333"/>
              <w:jc w:val="center"/>
              <w:rPr>
                <w:b/>
                <w:color w:val="519680"/>
              </w:rPr>
            </w:pPr>
            <w:r w:rsidRPr="00F46E35">
              <w:rPr>
                <w:rFonts w:ascii="Calibri" w:eastAsia="Calibri" w:hAnsi="Calibri" w:cs="Arial"/>
                <w:b/>
                <w:color w:val="51968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E35">
              <w:rPr>
                <w:rFonts w:ascii="Calibri" w:eastAsia="Calibri" w:hAnsi="Calibri" w:cs="Arial"/>
                <w:b/>
                <w:color w:val="519680"/>
              </w:rPr>
              <w:instrText xml:space="preserve"> FORMCHECKBOX </w:instrText>
            </w:r>
            <w:r w:rsidR="004A2453">
              <w:rPr>
                <w:rFonts w:ascii="Calibri" w:eastAsia="Calibri" w:hAnsi="Calibri" w:cs="Arial"/>
                <w:b/>
                <w:color w:val="519680"/>
              </w:rPr>
            </w:r>
            <w:r w:rsidR="004A2453">
              <w:rPr>
                <w:rFonts w:ascii="Calibri" w:eastAsia="Calibri" w:hAnsi="Calibri" w:cs="Arial"/>
                <w:b/>
                <w:color w:val="519680"/>
              </w:rPr>
              <w:fldChar w:fldCharType="separate"/>
            </w:r>
            <w:r w:rsidRPr="00F46E35">
              <w:rPr>
                <w:rFonts w:ascii="Calibri" w:eastAsia="Calibri" w:hAnsi="Calibri" w:cs="Arial"/>
                <w:b/>
                <w:color w:val="519680"/>
              </w:rPr>
              <w:fldChar w:fldCharType="end"/>
            </w:r>
          </w:p>
        </w:tc>
      </w:tr>
      <w:tr w:rsidR="00CD2380" w14:paraId="5131D52A" w14:textId="77777777" w:rsidTr="006D4B83">
        <w:trPr>
          <w:trHeight w:val="736"/>
        </w:trPr>
        <w:tc>
          <w:tcPr>
            <w:tcW w:w="1843" w:type="dxa"/>
            <w:vMerge w:val="restart"/>
          </w:tcPr>
          <w:p w14:paraId="6B354C7D" w14:textId="77777777" w:rsidR="00CD2380" w:rsidRDefault="00CD2380" w:rsidP="005D7E8A">
            <w:pPr>
              <w:rPr>
                <w:b/>
                <w:color w:val="519680"/>
              </w:rPr>
            </w:pPr>
          </w:p>
          <w:p w14:paraId="62683620" w14:textId="77777777" w:rsidR="00CD2380" w:rsidRDefault="00CD2380" w:rsidP="005D7E8A">
            <w:pPr>
              <w:rPr>
                <w:b/>
                <w:color w:val="519680"/>
              </w:rPr>
            </w:pPr>
          </w:p>
          <w:p w14:paraId="4CAD27D9" w14:textId="5F0822E0" w:rsidR="00CD2380" w:rsidRPr="00C233CF" w:rsidRDefault="00CD2380" w:rsidP="005D7E8A">
            <w:pPr>
              <w:rPr>
                <w:b/>
                <w:color w:val="519680"/>
              </w:rPr>
            </w:pPr>
            <w:r>
              <w:rPr>
                <w:b/>
                <w:color w:val="519680"/>
              </w:rPr>
              <w:t xml:space="preserve">Final </w:t>
            </w:r>
            <w:r w:rsidR="00C041F9">
              <w:rPr>
                <w:b/>
                <w:color w:val="519680"/>
              </w:rPr>
              <w:t>g</w:t>
            </w:r>
            <w:r>
              <w:rPr>
                <w:b/>
                <w:color w:val="519680"/>
              </w:rPr>
              <w:t>o-live preparations</w:t>
            </w:r>
          </w:p>
          <w:p w14:paraId="29DE858E" w14:textId="77777777" w:rsidR="00CD2380" w:rsidRPr="00C233CF" w:rsidRDefault="00CD2380" w:rsidP="005D7E8A">
            <w:pPr>
              <w:rPr>
                <w:b/>
                <w:color w:val="519680"/>
              </w:rPr>
            </w:pPr>
          </w:p>
          <w:p w14:paraId="58B65B45" w14:textId="77777777" w:rsidR="00CD2380" w:rsidRPr="002D54EC" w:rsidRDefault="00CD2380" w:rsidP="005D7E8A">
            <w:pPr>
              <w:rPr>
                <w:b/>
                <w:color w:val="519680"/>
                <w:sz w:val="16"/>
                <w:szCs w:val="16"/>
              </w:rPr>
            </w:pPr>
          </w:p>
        </w:tc>
        <w:tc>
          <w:tcPr>
            <w:tcW w:w="5387" w:type="dxa"/>
          </w:tcPr>
          <w:p w14:paraId="576D7DCD" w14:textId="77777777" w:rsidR="006A6BCF" w:rsidRDefault="00CD2380" w:rsidP="00DD3739">
            <w:pPr>
              <w:rPr>
                <w:bCs/>
              </w:rPr>
            </w:pPr>
            <w:r>
              <w:rPr>
                <w:bCs/>
              </w:rPr>
              <w:t xml:space="preserve">Review </w:t>
            </w:r>
            <w:r w:rsidRPr="00DD3739">
              <w:rPr>
                <w:bCs/>
              </w:rPr>
              <w:t xml:space="preserve">the </w:t>
            </w:r>
            <w:r w:rsidR="00AD7270">
              <w:rPr>
                <w:bCs/>
              </w:rPr>
              <w:t xml:space="preserve">pharmacy’s SOP in the light of information </w:t>
            </w:r>
            <w:r w:rsidR="00182D1F">
              <w:rPr>
                <w:bCs/>
              </w:rPr>
              <w:t xml:space="preserve">shared at the local meeting, including the local </w:t>
            </w:r>
            <w:r w:rsidR="00D03C22">
              <w:rPr>
                <w:bCs/>
              </w:rPr>
              <w:t xml:space="preserve">referral </w:t>
            </w:r>
            <w:r w:rsidR="00EE3FF5">
              <w:rPr>
                <w:bCs/>
              </w:rPr>
              <w:t xml:space="preserve">process </w:t>
            </w:r>
            <w:r w:rsidR="00182D1F">
              <w:rPr>
                <w:bCs/>
              </w:rPr>
              <w:t>that general practices will use</w:t>
            </w:r>
            <w:r w:rsidR="006A6BCF">
              <w:rPr>
                <w:bCs/>
              </w:rPr>
              <w:t>. Brief relevant staff on any changes to the SOP.</w:t>
            </w:r>
          </w:p>
          <w:p w14:paraId="66D8593B" w14:textId="562EC67D" w:rsidR="00CD2380" w:rsidRPr="008C6816" w:rsidRDefault="0075072C" w:rsidP="00DD3739">
            <w:pPr>
              <w:rPr>
                <w:bCs/>
                <w:sz w:val="16"/>
                <w:szCs w:val="16"/>
              </w:rPr>
            </w:pPr>
            <w:r w:rsidRPr="008C6816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0BDCD114" w14:textId="77777777" w:rsidR="00CD2380" w:rsidRPr="00C233CF" w:rsidRDefault="00CD2380" w:rsidP="003F06F2">
            <w:pPr>
              <w:ind w:left="-333" w:firstLine="333"/>
              <w:rPr>
                <w:b/>
                <w:color w:val="519680"/>
              </w:rPr>
            </w:pPr>
          </w:p>
        </w:tc>
        <w:tc>
          <w:tcPr>
            <w:tcW w:w="1134" w:type="dxa"/>
          </w:tcPr>
          <w:p w14:paraId="314D9FAB" w14:textId="77777777" w:rsidR="00CD2380" w:rsidRPr="00C233CF" w:rsidRDefault="00CD2380" w:rsidP="003F06F2">
            <w:pPr>
              <w:ind w:left="-333" w:firstLine="333"/>
              <w:rPr>
                <w:b/>
                <w:color w:val="519680"/>
              </w:rPr>
            </w:pPr>
          </w:p>
        </w:tc>
        <w:tc>
          <w:tcPr>
            <w:tcW w:w="1218" w:type="dxa"/>
          </w:tcPr>
          <w:p w14:paraId="2F16D066" w14:textId="77777777" w:rsidR="00CD2380" w:rsidRDefault="00CD2380" w:rsidP="003F06F2">
            <w:pPr>
              <w:ind w:left="-333" w:firstLine="333"/>
              <w:jc w:val="center"/>
              <w:rPr>
                <w:b/>
                <w:color w:val="519680"/>
              </w:rPr>
            </w:pPr>
          </w:p>
          <w:p w14:paraId="09F32DD4" w14:textId="1945AE8D" w:rsidR="00CD2380" w:rsidRPr="00C233CF" w:rsidRDefault="00CD2380" w:rsidP="003F06F2">
            <w:pPr>
              <w:ind w:left="-333" w:firstLine="333"/>
              <w:jc w:val="center"/>
              <w:rPr>
                <w:b/>
                <w:color w:val="519680"/>
              </w:rPr>
            </w:pPr>
            <w:r w:rsidRPr="00F46E35">
              <w:rPr>
                <w:rFonts w:ascii="Calibri" w:eastAsia="Calibri" w:hAnsi="Calibri" w:cs="Arial"/>
                <w:b/>
                <w:color w:val="51968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E35">
              <w:rPr>
                <w:rFonts w:ascii="Calibri" w:eastAsia="Calibri" w:hAnsi="Calibri" w:cs="Arial"/>
                <w:b/>
                <w:color w:val="519680"/>
              </w:rPr>
              <w:instrText xml:space="preserve"> FORMCHECKBOX </w:instrText>
            </w:r>
            <w:r w:rsidR="004A2453">
              <w:rPr>
                <w:rFonts w:ascii="Calibri" w:eastAsia="Calibri" w:hAnsi="Calibri" w:cs="Arial"/>
                <w:b/>
                <w:color w:val="519680"/>
              </w:rPr>
            </w:r>
            <w:r w:rsidR="004A2453">
              <w:rPr>
                <w:rFonts w:ascii="Calibri" w:eastAsia="Calibri" w:hAnsi="Calibri" w:cs="Arial"/>
                <w:b/>
                <w:color w:val="519680"/>
              </w:rPr>
              <w:fldChar w:fldCharType="separate"/>
            </w:r>
            <w:r w:rsidRPr="00F46E35">
              <w:rPr>
                <w:rFonts w:ascii="Calibri" w:eastAsia="Calibri" w:hAnsi="Calibri" w:cs="Arial"/>
                <w:b/>
                <w:color w:val="519680"/>
              </w:rPr>
              <w:fldChar w:fldCharType="end"/>
            </w:r>
          </w:p>
        </w:tc>
      </w:tr>
      <w:tr w:rsidR="00CD2380" w14:paraId="7EBAF045" w14:textId="77777777" w:rsidTr="006D4B83">
        <w:trPr>
          <w:trHeight w:val="736"/>
        </w:trPr>
        <w:tc>
          <w:tcPr>
            <w:tcW w:w="1843" w:type="dxa"/>
            <w:vMerge/>
          </w:tcPr>
          <w:p w14:paraId="5974925A" w14:textId="77777777" w:rsidR="00CD2380" w:rsidRDefault="00CD2380" w:rsidP="005D7E8A">
            <w:pPr>
              <w:rPr>
                <w:b/>
                <w:color w:val="519680"/>
              </w:rPr>
            </w:pPr>
          </w:p>
        </w:tc>
        <w:tc>
          <w:tcPr>
            <w:tcW w:w="5387" w:type="dxa"/>
          </w:tcPr>
          <w:p w14:paraId="1B118FBE" w14:textId="6790611F" w:rsidR="00CD2380" w:rsidRDefault="00F0749E" w:rsidP="00BE60E9">
            <w:pPr>
              <w:rPr>
                <w:bCs/>
              </w:rPr>
            </w:pPr>
            <w:r>
              <w:rPr>
                <w:bCs/>
              </w:rPr>
              <w:t xml:space="preserve">Where not already known, use </w:t>
            </w:r>
            <w:hyperlink r:id="rId17" w:anchor="/login" w:history="1">
              <w:r w:rsidR="00CD2380" w:rsidRPr="00DD6052">
                <w:rPr>
                  <w:rStyle w:val="Hyperlink"/>
                  <w:b/>
                  <w:color w:val="519680"/>
                </w:rPr>
                <w:t>NHS Service finder</w:t>
              </w:r>
            </w:hyperlink>
            <w:r w:rsidR="00CD2380">
              <w:rPr>
                <w:bCs/>
              </w:rPr>
              <w:t xml:space="preserve"> to obtain </w:t>
            </w:r>
            <w:r w:rsidR="00CD2380" w:rsidRPr="00BE60E9">
              <w:rPr>
                <w:bCs/>
              </w:rPr>
              <w:t>non-public telephone numbers (where available)</w:t>
            </w:r>
            <w:r w:rsidR="00CD2380">
              <w:rPr>
                <w:bCs/>
              </w:rPr>
              <w:t xml:space="preserve"> and NHSmail addresses for local practices to facilitate referrals back to the practice</w:t>
            </w:r>
            <w:r>
              <w:rPr>
                <w:bCs/>
              </w:rPr>
              <w:t>,</w:t>
            </w:r>
            <w:r w:rsidR="00CD2380">
              <w:rPr>
                <w:bCs/>
              </w:rPr>
              <w:t xml:space="preserve"> whe</w:t>
            </w:r>
            <w:r>
              <w:rPr>
                <w:bCs/>
              </w:rPr>
              <w:t>n</w:t>
            </w:r>
            <w:r w:rsidR="00CD2380">
              <w:rPr>
                <w:bCs/>
              </w:rPr>
              <w:t xml:space="preserve"> ne</w:t>
            </w:r>
            <w:r>
              <w:rPr>
                <w:bCs/>
              </w:rPr>
              <w:t>cessary</w:t>
            </w:r>
            <w:r w:rsidR="00CD2380">
              <w:rPr>
                <w:bCs/>
              </w:rPr>
              <w:t>.</w:t>
            </w:r>
          </w:p>
          <w:p w14:paraId="681F5F42" w14:textId="2DEA92E1" w:rsidR="00CD2380" w:rsidRPr="00CD2380" w:rsidRDefault="00CD2380" w:rsidP="00BE60E9">
            <w:pPr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16965BA5" w14:textId="77777777" w:rsidR="00CD2380" w:rsidRPr="00C233CF" w:rsidRDefault="00CD2380" w:rsidP="003F06F2">
            <w:pPr>
              <w:ind w:left="-333" w:firstLine="333"/>
              <w:rPr>
                <w:b/>
                <w:color w:val="519680"/>
              </w:rPr>
            </w:pPr>
          </w:p>
        </w:tc>
        <w:tc>
          <w:tcPr>
            <w:tcW w:w="1134" w:type="dxa"/>
          </w:tcPr>
          <w:p w14:paraId="2146754D" w14:textId="77777777" w:rsidR="00CD2380" w:rsidRPr="00C233CF" w:rsidRDefault="00CD2380" w:rsidP="003F06F2">
            <w:pPr>
              <w:ind w:left="-333" w:firstLine="333"/>
              <w:rPr>
                <w:b/>
                <w:color w:val="519680"/>
              </w:rPr>
            </w:pPr>
          </w:p>
        </w:tc>
        <w:tc>
          <w:tcPr>
            <w:tcW w:w="1218" w:type="dxa"/>
          </w:tcPr>
          <w:p w14:paraId="09E11A17" w14:textId="77777777" w:rsidR="00CD2380" w:rsidRDefault="00CD2380" w:rsidP="003F06F2">
            <w:pPr>
              <w:ind w:left="-333" w:firstLine="333"/>
              <w:jc w:val="center"/>
              <w:rPr>
                <w:b/>
                <w:color w:val="519680"/>
              </w:rPr>
            </w:pPr>
          </w:p>
          <w:p w14:paraId="270ED2D5" w14:textId="1BB29AD5" w:rsidR="00CD2380" w:rsidRDefault="00CD2380" w:rsidP="003F06F2">
            <w:pPr>
              <w:ind w:left="-333" w:firstLine="333"/>
              <w:jc w:val="center"/>
              <w:rPr>
                <w:b/>
                <w:color w:val="519680"/>
              </w:rPr>
            </w:pPr>
            <w:r w:rsidRPr="00F46E35">
              <w:rPr>
                <w:rFonts w:ascii="Calibri" w:eastAsia="Calibri" w:hAnsi="Calibri" w:cs="Arial"/>
                <w:b/>
                <w:color w:val="51968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E35">
              <w:rPr>
                <w:rFonts w:ascii="Calibri" w:eastAsia="Calibri" w:hAnsi="Calibri" w:cs="Arial"/>
                <w:b/>
                <w:color w:val="519680"/>
              </w:rPr>
              <w:instrText xml:space="preserve"> FORMCHECKBOX </w:instrText>
            </w:r>
            <w:r w:rsidR="004A2453">
              <w:rPr>
                <w:rFonts w:ascii="Calibri" w:eastAsia="Calibri" w:hAnsi="Calibri" w:cs="Arial"/>
                <w:b/>
                <w:color w:val="519680"/>
              </w:rPr>
            </w:r>
            <w:r w:rsidR="004A2453">
              <w:rPr>
                <w:rFonts w:ascii="Calibri" w:eastAsia="Calibri" w:hAnsi="Calibri" w:cs="Arial"/>
                <w:b/>
                <w:color w:val="519680"/>
              </w:rPr>
              <w:fldChar w:fldCharType="separate"/>
            </w:r>
            <w:r w:rsidRPr="00F46E35">
              <w:rPr>
                <w:rFonts w:ascii="Calibri" w:eastAsia="Calibri" w:hAnsi="Calibri" w:cs="Arial"/>
                <w:b/>
                <w:color w:val="519680"/>
              </w:rPr>
              <w:fldChar w:fldCharType="end"/>
            </w:r>
          </w:p>
        </w:tc>
      </w:tr>
      <w:tr w:rsidR="00D03CD4" w14:paraId="6B466301" w14:textId="77777777" w:rsidTr="006D4B83">
        <w:trPr>
          <w:trHeight w:val="750"/>
        </w:trPr>
        <w:tc>
          <w:tcPr>
            <w:tcW w:w="1843" w:type="dxa"/>
          </w:tcPr>
          <w:p w14:paraId="7FCB7A1B" w14:textId="3AB870FB" w:rsidR="00D03CD4" w:rsidRPr="00C233CF" w:rsidRDefault="00304CA9" w:rsidP="005D7E8A">
            <w:pPr>
              <w:rPr>
                <w:b/>
                <w:color w:val="519680"/>
              </w:rPr>
            </w:pPr>
            <w:r>
              <w:rPr>
                <w:b/>
                <w:color w:val="519680"/>
              </w:rPr>
              <w:t>Claim engagement &amp; setup fee</w:t>
            </w:r>
          </w:p>
          <w:p w14:paraId="0C461D26" w14:textId="77777777" w:rsidR="00D03CD4" w:rsidRPr="00304CA9" w:rsidRDefault="00D03CD4" w:rsidP="005D7E8A">
            <w:pPr>
              <w:rPr>
                <w:b/>
                <w:color w:val="519680"/>
                <w:sz w:val="16"/>
                <w:szCs w:val="16"/>
              </w:rPr>
            </w:pPr>
          </w:p>
        </w:tc>
        <w:tc>
          <w:tcPr>
            <w:tcW w:w="5387" w:type="dxa"/>
          </w:tcPr>
          <w:p w14:paraId="5945763E" w14:textId="07B1CE0C" w:rsidR="00D03CD4" w:rsidRDefault="00DB6A1A" w:rsidP="00DB6A1A">
            <w:pPr>
              <w:rPr>
                <w:bCs/>
              </w:rPr>
            </w:pPr>
            <w:r>
              <w:rPr>
                <w:bCs/>
              </w:rPr>
              <w:t xml:space="preserve">Once all the above actions have been completed, </w:t>
            </w:r>
            <w:r w:rsidR="00B31D9C">
              <w:rPr>
                <w:bCs/>
              </w:rPr>
              <w:t xml:space="preserve">check you have completed all the actions in Annex F of the service specification and then </w:t>
            </w:r>
            <w:r>
              <w:rPr>
                <w:bCs/>
              </w:rPr>
              <w:t xml:space="preserve">make </w:t>
            </w:r>
            <w:r w:rsidR="00B40942">
              <w:rPr>
                <w:bCs/>
              </w:rPr>
              <w:t xml:space="preserve">a </w:t>
            </w:r>
            <w:r w:rsidRPr="00DB6A1A">
              <w:rPr>
                <w:bCs/>
              </w:rPr>
              <w:t xml:space="preserve">claim </w:t>
            </w:r>
            <w:r>
              <w:rPr>
                <w:bCs/>
              </w:rPr>
              <w:t xml:space="preserve">via </w:t>
            </w:r>
            <w:hyperlink r:id="rId18" w:history="1">
              <w:r w:rsidRPr="00ED3DC5">
                <w:rPr>
                  <w:rStyle w:val="Hyperlink"/>
                  <w:b/>
                  <w:color w:val="519680"/>
                </w:rPr>
                <w:t>MYS</w:t>
              </w:r>
            </w:hyperlink>
            <w:r w:rsidRPr="00ED3DC5">
              <w:rPr>
                <w:b/>
                <w:color w:val="519680"/>
              </w:rPr>
              <w:t xml:space="preserve"> </w:t>
            </w:r>
            <w:r>
              <w:rPr>
                <w:bCs/>
              </w:rPr>
              <w:t xml:space="preserve">for the </w:t>
            </w:r>
            <w:r w:rsidRPr="00DB6A1A">
              <w:rPr>
                <w:bCs/>
              </w:rPr>
              <w:t xml:space="preserve">£300 </w:t>
            </w:r>
            <w:r w:rsidR="0075051D">
              <w:rPr>
                <w:bCs/>
              </w:rPr>
              <w:t>GP</w:t>
            </w:r>
            <w:r w:rsidR="00C25FC9">
              <w:rPr>
                <w:bCs/>
              </w:rPr>
              <w:t xml:space="preserve"> referral pathway</w:t>
            </w:r>
            <w:r w:rsidR="0075051D">
              <w:rPr>
                <w:bCs/>
              </w:rPr>
              <w:t xml:space="preserve"> </w:t>
            </w:r>
            <w:r w:rsidRPr="00DB6A1A">
              <w:rPr>
                <w:bCs/>
              </w:rPr>
              <w:t>engagement</w:t>
            </w:r>
            <w:r w:rsidR="0075051D">
              <w:rPr>
                <w:bCs/>
              </w:rPr>
              <w:t xml:space="preserve"> and setup</w:t>
            </w:r>
            <w:r w:rsidRPr="00DB6A1A">
              <w:rPr>
                <w:bCs/>
              </w:rPr>
              <w:t xml:space="preserve"> payment</w:t>
            </w:r>
            <w:r w:rsidR="0075051D">
              <w:rPr>
                <w:bCs/>
              </w:rPr>
              <w:t>.</w:t>
            </w:r>
            <w:r w:rsidRPr="00DB6A1A">
              <w:rPr>
                <w:bCs/>
              </w:rPr>
              <w:t xml:space="preserve"> </w:t>
            </w:r>
          </w:p>
          <w:p w14:paraId="78D90162" w14:textId="24EAA840" w:rsidR="00AA5C1E" w:rsidRPr="002D54EC" w:rsidRDefault="00AA5C1E" w:rsidP="00DB6A1A">
            <w:pPr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67EE4599" w14:textId="77777777" w:rsidR="00D03CD4" w:rsidRPr="00C233CF" w:rsidRDefault="00D03CD4" w:rsidP="003F06F2">
            <w:pPr>
              <w:ind w:left="-333" w:firstLine="333"/>
              <w:rPr>
                <w:b/>
                <w:color w:val="519680"/>
              </w:rPr>
            </w:pPr>
          </w:p>
        </w:tc>
        <w:tc>
          <w:tcPr>
            <w:tcW w:w="1134" w:type="dxa"/>
          </w:tcPr>
          <w:p w14:paraId="3AF0E695" w14:textId="77777777" w:rsidR="00D03CD4" w:rsidRPr="00C233CF" w:rsidRDefault="00D03CD4" w:rsidP="003F06F2">
            <w:pPr>
              <w:ind w:left="-333" w:firstLine="333"/>
              <w:rPr>
                <w:b/>
                <w:color w:val="519680"/>
              </w:rPr>
            </w:pPr>
          </w:p>
        </w:tc>
        <w:tc>
          <w:tcPr>
            <w:tcW w:w="1218" w:type="dxa"/>
          </w:tcPr>
          <w:p w14:paraId="18881605" w14:textId="77777777" w:rsidR="00D03CD4" w:rsidRDefault="00D03CD4" w:rsidP="003F06F2">
            <w:pPr>
              <w:ind w:left="-333" w:firstLine="333"/>
              <w:jc w:val="center"/>
              <w:rPr>
                <w:b/>
                <w:color w:val="519680"/>
              </w:rPr>
            </w:pPr>
          </w:p>
          <w:p w14:paraId="46CAC077" w14:textId="37C17650" w:rsidR="00D03CD4" w:rsidRPr="00C233CF" w:rsidRDefault="00D03CD4" w:rsidP="003F06F2">
            <w:pPr>
              <w:ind w:left="-333" w:firstLine="333"/>
              <w:jc w:val="center"/>
              <w:rPr>
                <w:b/>
                <w:color w:val="519680"/>
              </w:rPr>
            </w:pPr>
            <w:r w:rsidRPr="00F46E35">
              <w:rPr>
                <w:rFonts w:ascii="Calibri" w:eastAsia="Calibri" w:hAnsi="Calibri" w:cs="Arial"/>
                <w:b/>
                <w:color w:val="51968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E35">
              <w:rPr>
                <w:rFonts w:ascii="Calibri" w:eastAsia="Calibri" w:hAnsi="Calibri" w:cs="Arial"/>
                <w:b/>
                <w:color w:val="519680"/>
              </w:rPr>
              <w:instrText xml:space="preserve"> FORMCHECKBOX </w:instrText>
            </w:r>
            <w:r w:rsidR="004A2453">
              <w:rPr>
                <w:rFonts w:ascii="Calibri" w:eastAsia="Calibri" w:hAnsi="Calibri" w:cs="Arial"/>
                <w:b/>
                <w:color w:val="519680"/>
              </w:rPr>
            </w:r>
            <w:r w:rsidR="004A2453">
              <w:rPr>
                <w:rFonts w:ascii="Calibri" w:eastAsia="Calibri" w:hAnsi="Calibri" w:cs="Arial"/>
                <w:b/>
                <w:color w:val="519680"/>
              </w:rPr>
              <w:fldChar w:fldCharType="separate"/>
            </w:r>
            <w:r w:rsidRPr="00F46E35">
              <w:rPr>
                <w:rFonts w:ascii="Calibri" w:eastAsia="Calibri" w:hAnsi="Calibri" w:cs="Arial"/>
                <w:b/>
                <w:color w:val="519680"/>
              </w:rPr>
              <w:fldChar w:fldCharType="end"/>
            </w:r>
          </w:p>
        </w:tc>
      </w:tr>
    </w:tbl>
    <w:p w14:paraId="7CB60955" w14:textId="77777777" w:rsidR="001237E0" w:rsidRPr="00C233CF" w:rsidRDefault="001237E0" w:rsidP="001237E0">
      <w:pPr>
        <w:rPr>
          <w:b/>
          <w:color w:val="519680"/>
        </w:rPr>
      </w:pPr>
    </w:p>
    <w:sectPr w:rsidR="001237E0" w:rsidRPr="00C233CF" w:rsidSect="006D4B83">
      <w:headerReference w:type="default" r:id="rId19"/>
      <w:footerReference w:type="default" r:id="rId20"/>
      <w:pgSz w:w="11906" w:h="16838"/>
      <w:pgMar w:top="720" w:right="720" w:bottom="720" w:left="720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4E6EA" w14:textId="77777777" w:rsidR="005902E0" w:rsidRDefault="005902E0" w:rsidP="0059599E">
      <w:pPr>
        <w:spacing w:after="0" w:line="240" w:lineRule="auto"/>
      </w:pPr>
      <w:r>
        <w:separator/>
      </w:r>
    </w:p>
  </w:endnote>
  <w:endnote w:type="continuationSeparator" w:id="0">
    <w:p w14:paraId="367411A0" w14:textId="77777777" w:rsidR="005902E0" w:rsidRDefault="005902E0" w:rsidP="0059599E">
      <w:pPr>
        <w:spacing w:after="0" w:line="240" w:lineRule="auto"/>
      </w:pPr>
      <w:r>
        <w:continuationSeparator/>
      </w:r>
    </w:p>
  </w:endnote>
  <w:endnote w:type="continuationNotice" w:id="1">
    <w:p w14:paraId="0E14869B" w14:textId="77777777" w:rsidR="005902E0" w:rsidRDefault="005902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339035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995CE6" w14:textId="6D686035" w:rsidR="001237E0" w:rsidRDefault="001237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05339" w14:textId="77777777" w:rsidR="005902E0" w:rsidRDefault="005902E0" w:rsidP="0059599E">
      <w:pPr>
        <w:spacing w:after="0" w:line="240" w:lineRule="auto"/>
      </w:pPr>
      <w:r>
        <w:separator/>
      </w:r>
    </w:p>
  </w:footnote>
  <w:footnote w:type="continuationSeparator" w:id="0">
    <w:p w14:paraId="15C25F91" w14:textId="77777777" w:rsidR="005902E0" w:rsidRDefault="005902E0" w:rsidP="0059599E">
      <w:pPr>
        <w:spacing w:after="0" w:line="240" w:lineRule="auto"/>
      </w:pPr>
      <w:r>
        <w:continuationSeparator/>
      </w:r>
    </w:p>
  </w:footnote>
  <w:footnote w:type="continuationNotice" w:id="1">
    <w:p w14:paraId="08A2A29D" w14:textId="77777777" w:rsidR="005902E0" w:rsidRDefault="005902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AC2EA" w14:textId="77777777" w:rsidR="0082373E" w:rsidRDefault="0082373E">
    <w:pPr>
      <w:pStyle w:val="Header"/>
    </w:pPr>
    <w:r w:rsidRPr="0059599E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4060C72" wp14:editId="27185B24">
          <wp:simplePos x="0" y="0"/>
          <wp:positionH relativeFrom="column">
            <wp:posOffset>0</wp:posOffset>
          </wp:positionH>
          <wp:positionV relativeFrom="paragraph">
            <wp:posOffset>8890</wp:posOffset>
          </wp:positionV>
          <wp:extent cx="601980" cy="433705"/>
          <wp:effectExtent l="0" t="0" r="7620" b="4445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87" t="5808" r="5226" b="4100"/>
                  <a:stretch/>
                </pic:blipFill>
                <pic:spPr bwMode="auto">
                  <a:xfrm>
                    <a:off x="0" y="0"/>
                    <a:ext cx="601980" cy="433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59599E"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6C6D32F1" wp14:editId="3448309A">
          <wp:simplePos x="0" y="0"/>
          <wp:positionH relativeFrom="column">
            <wp:posOffset>637540</wp:posOffset>
          </wp:positionH>
          <wp:positionV relativeFrom="paragraph">
            <wp:posOffset>26670</wp:posOffset>
          </wp:positionV>
          <wp:extent cx="655320" cy="386715"/>
          <wp:effectExtent l="0" t="0" r="0" b="0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rt-of-community_purpl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11" t="4620" r="5894" b="11646"/>
                  <a:stretch/>
                </pic:blipFill>
                <pic:spPr bwMode="auto">
                  <a:xfrm>
                    <a:off x="0" y="0"/>
                    <a:ext cx="655320" cy="386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E03BCC"/>
    <w:multiLevelType w:val="multilevel"/>
    <w:tmpl w:val="8368B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A023D1"/>
    <w:multiLevelType w:val="multilevel"/>
    <w:tmpl w:val="61A46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3CF"/>
    <w:rsid w:val="000139F7"/>
    <w:rsid w:val="00015D2D"/>
    <w:rsid w:val="000252BF"/>
    <w:rsid w:val="00025ADE"/>
    <w:rsid w:val="00041340"/>
    <w:rsid w:val="00060600"/>
    <w:rsid w:val="00064804"/>
    <w:rsid w:val="0006494A"/>
    <w:rsid w:val="0006568A"/>
    <w:rsid w:val="000711C4"/>
    <w:rsid w:val="00085477"/>
    <w:rsid w:val="000E79EC"/>
    <w:rsid w:val="00100C44"/>
    <w:rsid w:val="0010714C"/>
    <w:rsid w:val="00115783"/>
    <w:rsid w:val="001237E0"/>
    <w:rsid w:val="00132294"/>
    <w:rsid w:val="0015286D"/>
    <w:rsid w:val="001770A5"/>
    <w:rsid w:val="00177682"/>
    <w:rsid w:val="00182D1F"/>
    <w:rsid w:val="001A093A"/>
    <w:rsid w:val="001B1748"/>
    <w:rsid w:val="001C4B80"/>
    <w:rsid w:val="001C70D4"/>
    <w:rsid w:val="001E228A"/>
    <w:rsid w:val="001E291E"/>
    <w:rsid w:val="001E6030"/>
    <w:rsid w:val="00211EE6"/>
    <w:rsid w:val="0026424A"/>
    <w:rsid w:val="0027467D"/>
    <w:rsid w:val="00275197"/>
    <w:rsid w:val="00281907"/>
    <w:rsid w:val="00293F46"/>
    <w:rsid w:val="002A0D59"/>
    <w:rsid w:val="002A375F"/>
    <w:rsid w:val="002C45F9"/>
    <w:rsid w:val="002D11A4"/>
    <w:rsid w:val="002D54EC"/>
    <w:rsid w:val="002E0D83"/>
    <w:rsid w:val="002E1CA8"/>
    <w:rsid w:val="00304CA9"/>
    <w:rsid w:val="003150B4"/>
    <w:rsid w:val="00316BF5"/>
    <w:rsid w:val="0032728C"/>
    <w:rsid w:val="0033432C"/>
    <w:rsid w:val="00342E48"/>
    <w:rsid w:val="00346941"/>
    <w:rsid w:val="00347E0E"/>
    <w:rsid w:val="003653AD"/>
    <w:rsid w:val="00366A9A"/>
    <w:rsid w:val="003A172A"/>
    <w:rsid w:val="003C3EC5"/>
    <w:rsid w:val="003D18D1"/>
    <w:rsid w:val="003D62A6"/>
    <w:rsid w:val="003F06F2"/>
    <w:rsid w:val="0040178D"/>
    <w:rsid w:val="00402B01"/>
    <w:rsid w:val="004544A2"/>
    <w:rsid w:val="0046198B"/>
    <w:rsid w:val="00467CF4"/>
    <w:rsid w:val="0047660F"/>
    <w:rsid w:val="00486B06"/>
    <w:rsid w:val="004906B0"/>
    <w:rsid w:val="00493634"/>
    <w:rsid w:val="004A2453"/>
    <w:rsid w:val="004D6CCD"/>
    <w:rsid w:val="004E362B"/>
    <w:rsid w:val="004F17EF"/>
    <w:rsid w:val="00571AD5"/>
    <w:rsid w:val="00577C99"/>
    <w:rsid w:val="005826CB"/>
    <w:rsid w:val="005902E0"/>
    <w:rsid w:val="005946BD"/>
    <w:rsid w:val="0059599E"/>
    <w:rsid w:val="005D7E8A"/>
    <w:rsid w:val="005E5844"/>
    <w:rsid w:val="005F2501"/>
    <w:rsid w:val="005F72F3"/>
    <w:rsid w:val="00601831"/>
    <w:rsid w:val="00604290"/>
    <w:rsid w:val="006401EC"/>
    <w:rsid w:val="006430C7"/>
    <w:rsid w:val="00665C48"/>
    <w:rsid w:val="00671DF9"/>
    <w:rsid w:val="006824BA"/>
    <w:rsid w:val="00687D17"/>
    <w:rsid w:val="00692C83"/>
    <w:rsid w:val="006A4005"/>
    <w:rsid w:val="006A6BCF"/>
    <w:rsid w:val="006B48C6"/>
    <w:rsid w:val="006C1D6B"/>
    <w:rsid w:val="006C370C"/>
    <w:rsid w:val="006C4812"/>
    <w:rsid w:val="006D4B83"/>
    <w:rsid w:val="006D6DF2"/>
    <w:rsid w:val="006D72B6"/>
    <w:rsid w:val="006F024D"/>
    <w:rsid w:val="006F3812"/>
    <w:rsid w:val="00701ACE"/>
    <w:rsid w:val="007045AB"/>
    <w:rsid w:val="0071571D"/>
    <w:rsid w:val="0075051D"/>
    <w:rsid w:val="0075072C"/>
    <w:rsid w:val="0075631F"/>
    <w:rsid w:val="007573FA"/>
    <w:rsid w:val="00775C25"/>
    <w:rsid w:val="007862D3"/>
    <w:rsid w:val="00791622"/>
    <w:rsid w:val="007A3E76"/>
    <w:rsid w:val="007A7191"/>
    <w:rsid w:val="007B33B4"/>
    <w:rsid w:val="007B72FE"/>
    <w:rsid w:val="007D2253"/>
    <w:rsid w:val="007D2BF6"/>
    <w:rsid w:val="007D3901"/>
    <w:rsid w:val="007E7FBD"/>
    <w:rsid w:val="00806665"/>
    <w:rsid w:val="00812B3E"/>
    <w:rsid w:val="0082373E"/>
    <w:rsid w:val="00842243"/>
    <w:rsid w:val="008426AD"/>
    <w:rsid w:val="00843179"/>
    <w:rsid w:val="0085149C"/>
    <w:rsid w:val="008530C7"/>
    <w:rsid w:val="008532AC"/>
    <w:rsid w:val="0086266D"/>
    <w:rsid w:val="00874AA3"/>
    <w:rsid w:val="00876680"/>
    <w:rsid w:val="00892703"/>
    <w:rsid w:val="008A7D09"/>
    <w:rsid w:val="008B6F2F"/>
    <w:rsid w:val="008C03FF"/>
    <w:rsid w:val="008C6816"/>
    <w:rsid w:val="008D11AF"/>
    <w:rsid w:val="008D1464"/>
    <w:rsid w:val="00907616"/>
    <w:rsid w:val="00910009"/>
    <w:rsid w:val="0092004E"/>
    <w:rsid w:val="00921A78"/>
    <w:rsid w:val="00922542"/>
    <w:rsid w:val="00955AD0"/>
    <w:rsid w:val="0098274C"/>
    <w:rsid w:val="009A785E"/>
    <w:rsid w:val="009B10A0"/>
    <w:rsid w:val="009B4DBD"/>
    <w:rsid w:val="009E2674"/>
    <w:rsid w:val="009F2498"/>
    <w:rsid w:val="00A03102"/>
    <w:rsid w:val="00A078F3"/>
    <w:rsid w:val="00A92BB5"/>
    <w:rsid w:val="00A93261"/>
    <w:rsid w:val="00AA2A13"/>
    <w:rsid w:val="00AA5C1E"/>
    <w:rsid w:val="00AD4BC0"/>
    <w:rsid w:val="00AD5681"/>
    <w:rsid w:val="00AD5A72"/>
    <w:rsid w:val="00AD7270"/>
    <w:rsid w:val="00AE03A5"/>
    <w:rsid w:val="00AE10C7"/>
    <w:rsid w:val="00AF49ED"/>
    <w:rsid w:val="00B056DC"/>
    <w:rsid w:val="00B161B2"/>
    <w:rsid w:val="00B161BB"/>
    <w:rsid w:val="00B31C1B"/>
    <w:rsid w:val="00B31D9C"/>
    <w:rsid w:val="00B353D8"/>
    <w:rsid w:val="00B40942"/>
    <w:rsid w:val="00B52476"/>
    <w:rsid w:val="00B5257B"/>
    <w:rsid w:val="00B539D3"/>
    <w:rsid w:val="00B73760"/>
    <w:rsid w:val="00B773BE"/>
    <w:rsid w:val="00B821D2"/>
    <w:rsid w:val="00B91F8C"/>
    <w:rsid w:val="00B973FE"/>
    <w:rsid w:val="00BA0110"/>
    <w:rsid w:val="00BB3414"/>
    <w:rsid w:val="00BB5216"/>
    <w:rsid w:val="00BC2823"/>
    <w:rsid w:val="00BD41AE"/>
    <w:rsid w:val="00BE0326"/>
    <w:rsid w:val="00BE4719"/>
    <w:rsid w:val="00BE60E9"/>
    <w:rsid w:val="00BE79A7"/>
    <w:rsid w:val="00BF6176"/>
    <w:rsid w:val="00C041F9"/>
    <w:rsid w:val="00C0549F"/>
    <w:rsid w:val="00C06118"/>
    <w:rsid w:val="00C158D7"/>
    <w:rsid w:val="00C233CF"/>
    <w:rsid w:val="00C25FC9"/>
    <w:rsid w:val="00C3145B"/>
    <w:rsid w:val="00C3465D"/>
    <w:rsid w:val="00C41042"/>
    <w:rsid w:val="00C4650E"/>
    <w:rsid w:val="00C65908"/>
    <w:rsid w:val="00C75F62"/>
    <w:rsid w:val="00CB5BF6"/>
    <w:rsid w:val="00CC06E5"/>
    <w:rsid w:val="00CD2380"/>
    <w:rsid w:val="00D03C22"/>
    <w:rsid w:val="00D03CD4"/>
    <w:rsid w:val="00D066F3"/>
    <w:rsid w:val="00D151FB"/>
    <w:rsid w:val="00D17DBC"/>
    <w:rsid w:val="00D30B3A"/>
    <w:rsid w:val="00D40932"/>
    <w:rsid w:val="00D44C86"/>
    <w:rsid w:val="00D51C04"/>
    <w:rsid w:val="00D54503"/>
    <w:rsid w:val="00D56E36"/>
    <w:rsid w:val="00D61E65"/>
    <w:rsid w:val="00D62AB8"/>
    <w:rsid w:val="00D72083"/>
    <w:rsid w:val="00DA6434"/>
    <w:rsid w:val="00DA6E48"/>
    <w:rsid w:val="00DB6A1A"/>
    <w:rsid w:val="00DB7885"/>
    <w:rsid w:val="00DD3739"/>
    <w:rsid w:val="00DD5FE8"/>
    <w:rsid w:val="00DD6052"/>
    <w:rsid w:val="00DE0206"/>
    <w:rsid w:val="00DE78E0"/>
    <w:rsid w:val="00E21328"/>
    <w:rsid w:val="00E3689B"/>
    <w:rsid w:val="00E42DF8"/>
    <w:rsid w:val="00E746C1"/>
    <w:rsid w:val="00E8510D"/>
    <w:rsid w:val="00EA4328"/>
    <w:rsid w:val="00EA60B6"/>
    <w:rsid w:val="00EA6377"/>
    <w:rsid w:val="00EA78D6"/>
    <w:rsid w:val="00EB226C"/>
    <w:rsid w:val="00EB2769"/>
    <w:rsid w:val="00EC5619"/>
    <w:rsid w:val="00EC58B0"/>
    <w:rsid w:val="00ED3DC5"/>
    <w:rsid w:val="00EE3FF5"/>
    <w:rsid w:val="00EE6346"/>
    <w:rsid w:val="00EF4364"/>
    <w:rsid w:val="00EF741B"/>
    <w:rsid w:val="00F058A2"/>
    <w:rsid w:val="00F0749E"/>
    <w:rsid w:val="00F32B62"/>
    <w:rsid w:val="00F32D22"/>
    <w:rsid w:val="00F34A89"/>
    <w:rsid w:val="00F37ECE"/>
    <w:rsid w:val="00F4168A"/>
    <w:rsid w:val="00F41E6B"/>
    <w:rsid w:val="00F42B87"/>
    <w:rsid w:val="00F62074"/>
    <w:rsid w:val="00F64A7E"/>
    <w:rsid w:val="00F738D1"/>
    <w:rsid w:val="00F90BDC"/>
    <w:rsid w:val="00FA1879"/>
    <w:rsid w:val="00FE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954FEF"/>
  <w15:chartTrackingRefBased/>
  <w15:docId w15:val="{EB5A7CDD-886B-4D32-B700-2F55AD700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C23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233CF"/>
  </w:style>
  <w:style w:type="paragraph" w:styleId="Header">
    <w:name w:val="header"/>
    <w:basedOn w:val="Normal"/>
    <w:link w:val="HeaderChar"/>
    <w:uiPriority w:val="99"/>
    <w:unhideWhenUsed/>
    <w:rsid w:val="00595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99E"/>
  </w:style>
  <w:style w:type="paragraph" w:styleId="Footer">
    <w:name w:val="footer"/>
    <w:basedOn w:val="Normal"/>
    <w:link w:val="FooterChar"/>
    <w:uiPriority w:val="99"/>
    <w:unhideWhenUsed/>
    <w:rsid w:val="00595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99E"/>
  </w:style>
  <w:style w:type="character" w:styleId="Hyperlink">
    <w:name w:val="Hyperlink"/>
    <w:basedOn w:val="DefaultParagraphFont"/>
    <w:uiPriority w:val="99"/>
    <w:unhideWhenUsed/>
    <w:rsid w:val="0006568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568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43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A24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3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snc.org.uk/services-commissioning/advanced-services/community-pharmacist-consultation-service/cpcs-resources-for-pharmacy-teams/" TargetMode="External"/><Relationship Id="rId18" Type="http://schemas.openxmlformats.org/officeDocument/2006/relationships/hyperlink" Target="https://services.nhsbsa.nhs.uk/nhs-prescription-services-submissions/login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england.nhs.uk/publication/advanced-service-specification-nhs-community-pharmacist-consultation-service/" TargetMode="External"/><Relationship Id="rId17" Type="http://schemas.openxmlformats.org/officeDocument/2006/relationships/hyperlink" Target="https://finder.directoryofservices.nhs.uk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hsbsa.nhs.uk/pharmacies-gp-practices-and-appliance-contractors/dispensing-contractors-information/manage-your-service-my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gland.nhs.uk/publication/nhs-community-pharmacist-consultation-service-toolkit-for-pharmacy-staff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rpharms.com/events/cpcs-events/cpcs-information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ngland.nhs.uk/primary-care/pharmacy/community-pharmacist-consultation-service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c7d3551-5694-4f12-b35a-d9a7a462ea4b">
      <UserInfo>
        <DisplayName/>
        <AccountId xsi:nil="true"/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1035E9C3D2F409AF07E8835ED420A" ma:contentTypeVersion="" ma:contentTypeDescription="Create a new document." ma:contentTypeScope="" ma:versionID="0a9360a30b8f457f78769691a7c6bdde">
  <xsd:schema xmlns:xsd="http://www.w3.org/2001/XMLSchema" xmlns:xs="http://www.w3.org/2001/XMLSchema" xmlns:p="http://schemas.microsoft.com/office/2006/metadata/properties" xmlns:ns2="1c7d3551-5694-4f12-b35a-d9a7a462ea4b" xmlns:ns3="e18753c5-2901-411e-a100-706a3d27800e" targetNamespace="http://schemas.microsoft.com/office/2006/metadata/properties" ma:root="true" ma:fieldsID="1f7584bcbf43317edca81add7654084d" ns2:_="" ns3:_="">
    <xsd:import namespace="1c7d3551-5694-4f12-b35a-d9a7a462ea4b"/>
    <xsd:import namespace="e18753c5-2901-411e-a100-706a3d2780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753c5-2901-411e-a100-706a3d278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F8EE33-19D8-421C-82FF-AA5DBE5106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27210F-556D-4031-8374-F1AD508B47EB}">
  <ds:schemaRefs>
    <ds:schemaRef ds:uri="http://schemas.microsoft.com/office/2006/metadata/properties"/>
    <ds:schemaRef ds:uri="http://schemas.microsoft.com/office/infopath/2007/PartnerControls"/>
    <ds:schemaRef ds:uri="1c7d3551-5694-4f12-b35a-d9a7a462ea4b"/>
  </ds:schemaRefs>
</ds:datastoreItem>
</file>

<file path=customXml/itemProps3.xml><?xml version="1.0" encoding="utf-8"?>
<ds:datastoreItem xmlns:ds="http://schemas.openxmlformats.org/officeDocument/2006/customXml" ds:itemID="{F75A2532-B717-426E-8F7F-D858AC5372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2B0BEF-D94B-478E-9414-66B209DB2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e18753c5-2901-411e-a100-706a3d278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Links>
    <vt:vector size="48" baseType="variant">
      <vt:variant>
        <vt:i4>3801195</vt:i4>
      </vt:variant>
      <vt:variant>
        <vt:i4>66</vt:i4>
      </vt:variant>
      <vt:variant>
        <vt:i4>0</vt:i4>
      </vt:variant>
      <vt:variant>
        <vt:i4>5</vt:i4>
      </vt:variant>
      <vt:variant>
        <vt:lpwstr>https://services.nhsbsa.nhs.uk/nhs-prescription-services-submissions/login</vt:lpwstr>
      </vt:variant>
      <vt:variant>
        <vt:lpwstr/>
      </vt:variant>
      <vt:variant>
        <vt:i4>4849729</vt:i4>
      </vt:variant>
      <vt:variant>
        <vt:i4>60</vt:i4>
      </vt:variant>
      <vt:variant>
        <vt:i4>0</vt:i4>
      </vt:variant>
      <vt:variant>
        <vt:i4>5</vt:i4>
      </vt:variant>
      <vt:variant>
        <vt:lpwstr>https://finder.directoryofservices.nhs.uk/</vt:lpwstr>
      </vt:variant>
      <vt:variant>
        <vt:lpwstr>/login</vt:lpwstr>
      </vt:variant>
      <vt:variant>
        <vt:i4>7929890</vt:i4>
      </vt:variant>
      <vt:variant>
        <vt:i4>36</vt:i4>
      </vt:variant>
      <vt:variant>
        <vt:i4>0</vt:i4>
      </vt:variant>
      <vt:variant>
        <vt:i4>5</vt:i4>
      </vt:variant>
      <vt:variant>
        <vt:lpwstr>https://www.nhsbsa.nhs.uk/pharmacies-gp-practices-and-appliance-contractors/dispensing-contractors-information/manage-your-service-mys</vt:lpwstr>
      </vt:variant>
      <vt:variant>
        <vt:lpwstr/>
      </vt:variant>
      <vt:variant>
        <vt:i4>2949152</vt:i4>
      </vt:variant>
      <vt:variant>
        <vt:i4>27</vt:i4>
      </vt:variant>
      <vt:variant>
        <vt:i4>0</vt:i4>
      </vt:variant>
      <vt:variant>
        <vt:i4>5</vt:i4>
      </vt:variant>
      <vt:variant>
        <vt:lpwstr>https://www.rpharms.com/events/cpcs-events/cpcs-information</vt:lpwstr>
      </vt:variant>
      <vt:variant>
        <vt:lpwstr/>
      </vt:variant>
      <vt:variant>
        <vt:i4>4718594</vt:i4>
      </vt:variant>
      <vt:variant>
        <vt:i4>21</vt:i4>
      </vt:variant>
      <vt:variant>
        <vt:i4>0</vt:i4>
      </vt:variant>
      <vt:variant>
        <vt:i4>5</vt:i4>
      </vt:variant>
      <vt:variant>
        <vt:lpwstr>https://www.nhsbsa.nhs.uk/pharmacies-gp-practices-and-appliance-contractors/dispensing-contractors-information/nhs-community-pharmacist-consultation-service-minor-illness-and-urgent-repeat-medicines-supply</vt:lpwstr>
      </vt:variant>
      <vt:variant>
        <vt:lpwstr/>
      </vt:variant>
      <vt:variant>
        <vt:i4>1900559</vt:i4>
      </vt:variant>
      <vt:variant>
        <vt:i4>15</vt:i4>
      </vt:variant>
      <vt:variant>
        <vt:i4>0</vt:i4>
      </vt:variant>
      <vt:variant>
        <vt:i4>5</vt:i4>
      </vt:variant>
      <vt:variant>
        <vt:lpwstr>https://psnc.org.uk/services-commissioning/advanced-services/community-pharmacist-consultation-service/cpcs-resources-for-pharmacy-teams/</vt:lpwstr>
      </vt:variant>
      <vt:variant>
        <vt:lpwstr/>
      </vt:variant>
      <vt:variant>
        <vt:i4>4718594</vt:i4>
      </vt:variant>
      <vt:variant>
        <vt:i4>6</vt:i4>
      </vt:variant>
      <vt:variant>
        <vt:i4>0</vt:i4>
      </vt:variant>
      <vt:variant>
        <vt:i4>5</vt:i4>
      </vt:variant>
      <vt:variant>
        <vt:lpwstr>https://www.nhsbsa.nhs.uk/pharmacies-gp-practices-and-appliance-contractors/dispensing-contractors-information/nhs-community-pharmacist-consultation-service-minor-illness-and-urgent-repeat-medicines-supply</vt:lpwstr>
      </vt:variant>
      <vt:variant>
        <vt:lpwstr/>
      </vt:variant>
      <vt:variant>
        <vt:i4>4718594</vt:i4>
      </vt:variant>
      <vt:variant>
        <vt:i4>0</vt:i4>
      </vt:variant>
      <vt:variant>
        <vt:i4>0</vt:i4>
      </vt:variant>
      <vt:variant>
        <vt:i4>5</vt:i4>
      </vt:variant>
      <vt:variant>
        <vt:lpwstr>https://www.nhsbsa.nhs.uk/pharmacies-gp-practices-and-appliance-contractors/dispensing-contractors-information/nhs-community-pharmacist-consultation-service-minor-illness-and-urgent-repeat-medicines-supply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Taylor</dc:creator>
  <cp:keywords/>
  <dc:description/>
  <cp:lastModifiedBy>David Onuoha</cp:lastModifiedBy>
  <cp:revision>2</cp:revision>
  <dcterms:created xsi:type="dcterms:W3CDTF">2021-03-11T15:02:00Z</dcterms:created>
  <dcterms:modified xsi:type="dcterms:W3CDTF">2021-03-11T15:02:00Z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0x0101006841035E9C3D2F409AF07E8835ED420A</vt:lpwstr>
  </property>
  <property fmtid="{D5CDD505-2E9C-101B-9397-08002B2CF9AE}" pid="3" name="Order">
    <vt:r8>1625600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