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Default="72AE7B36" w:rsidP="5C458A3D">
      <w:pPr>
        <w:jc w:val="both"/>
        <w:rPr>
          <w:rFonts w:ascii="Calibri" w:hAnsi="Calibri" w:cs="Calibri"/>
          <w:color w:val="000000" w:themeColor="text1"/>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Key News and Guidance for LPCs</w:t>
      </w:r>
    </w:p>
    <w:p w14:paraId="28951205" w14:textId="1B4DBF41" w:rsidR="57F7E37C" w:rsidRPr="00B07CE8" w:rsidRDefault="122549B2" w:rsidP="00B07CE8">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ending</w:t>
      </w:r>
      <w:r w:rsidR="0C6F45B3" w:rsidRPr="54D3B109">
        <w:rPr>
          <w:rFonts w:ascii="Calibri" w:hAnsi="Calibri" w:cs="Calibri"/>
          <w:i/>
          <w:iCs/>
        </w:rPr>
        <w:t xml:space="preserve"> </w:t>
      </w:r>
      <w:r w:rsidR="00A150AB">
        <w:rPr>
          <w:rFonts w:ascii="Calibri" w:hAnsi="Calibri" w:cs="Calibri"/>
          <w:i/>
          <w:iCs/>
        </w:rPr>
        <w:t>9th</w:t>
      </w:r>
      <w:r w:rsidR="33076D5E" w:rsidRPr="54D3B109">
        <w:rPr>
          <w:rFonts w:ascii="Calibri" w:hAnsi="Calibri" w:cs="Calibri"/>
          <w:i/>
          <w:iCs/>
        </w:rPr>
        <w:t xml:space="preserve"> </w:t>
      </w:r>
      <w:r w:rsidR="00A150AB">
        <w:rPr>
          <w:rFonts w:ascii="Calibri" w:hAnsi="Calibri" w:cs="Calibri"/>
          <w:i/>
          <w:iCs/>
        </w:rPr>
        <w:t>May</w:t>
      </w:r>
    </w:p>
    <w:p w14:paraId="56AB354A" w14:textId="4ABD7C6C" w:rsidR="0A6D93E2" w:rsidRDefault="0A6D93E2" w:rsidP="00074934">
      <w:pPr>
        <w:spacing w:line="240" w:lineRule="auto"/>
      </w:pPr>
      <w:r w:rsidRPr="57F7E37C">
        <w:rPr>
          <w:rFonts w:ascii="Calibri" w:hAnsi="Calibri" w:cs="Calibri"/>
          <w:b/>
          <w:bCs/>
          <w:u w:val="single"/>
        </w:rPr>
        <w:t>Last week’s news stories:</w:t>
      </w:r>
    </w:p>
    <w:p w14:paraId="4965E160" w14:textId="51CA140A" w:rsidR="57F7E37C" w:rsidRDefault="57F7E37C" w:rsidP="00074934">
      <w:pPr>
        <w:spacing w:line="240" w:lineRule="auto"/>
        <w:rPr>
          <w:rFonts w:ascii="Calibri" w:hAnsi="Calibri" w:cs="Calibri"/>
          <w:b/>
          <w:bCs/>
          <w:u w:val="single"/>
        </w:rPr>
      </w:pPr>
    </w:p>
    <w:p w14:paraId="1B521815" w14:textId="074408DC" w:rsidR="79B985CF" w:rsidRDefault="00A150AB" w:rsidP="00074934">
      <w:pPr>
        <w:spacing w:line="240" w:lineRule="auto"/>
        <w:rPr>
          <w:rStyle w:val="Strong"/>
          <w:rFonts w:asciiTheme="minorHAnsi" w:hAnsiTheme="minorHAnsi" w:cstheme="minorHAnsi"/>
          <w:u w:val="single"/>
        </w:rPr>
      </w:pPr>
      <w:r w:rsidRPr="00A150AB">
        <w:rPr>
          <w:rFonts w:asciiTheme="minorHAnsi" w:hAnsiTheme="minorHAnsi" w:cstheme="minorHAnsi"/>
          <w:b/>
          <w:bCs/>
          <w:u w:val="single"/>
        </w:rPr>
        <w:t>MHRA Class 4 Medicines Defect Information:</w:t>
      </w:r>
      <w:r w:rsidRPr="00A150AB">
        <w:rPr>
          <w:rFonts w:asciiTheme="minorHAnsi" w:hAnsiTheme="minorHAnsi" w:cstheme="minorHAnsi"/>
          <w:u w:val="single"/>
        </w:rPr>
        <w:t xml:space="preserve"> </w:t>
      </w:r>
      <w:r w:rsidRPr="00A150AB">
        <w:rPr>
          <w:rStyle w:val="Strong"/>
          <w:rFonts w:asciiTheme="minorHAnsi" w:hAnsiTheme="minorHAnsi" w:cstheme="minorHAnsi"/>
          <w:u w:val="single"/>
        </w:rPr>
        <w:t>Syonell 250mg &amp; 500mg gastro-resistant tablets</w:t>
      </w:r>
    </w:p>
    <w:p w14:paraId="5814A1A2" w14:textId="272073A8" w:rsidR="00A150AB" w:rsidRPr="00A150AB" w:rsidRDefault="00A150AB" w:rsidP="00074934">
      <w:pPr>
        <w:spacing w:line="240" w:lineRule="auto"/>
        <w:rPr>
          <w:rStyle w:val="Strong"/>
          <w:rFonts w:asciiTheme="minorHAnsi" w:hAnsiTheme="minorHAnsi" w:cstheme="minorHAnsi"/>
          <w:b w:val="0"/>
          <w:bCs w:val="0"/>
          <w:u w:val="single"/>
        </w:rPr>
      </w:pPr>
      <w:r w:rsidRPr="00A150AB">
        <w:rPr>
          <w:rFonts w:asciiTheme="minorHAnsi" w:hAnsiTheme="minorHAnsi" w:cstheme="minorHAnsi"/>
        </w:rPr>
        <w:t xml:space="preserve">The Medicines and Health products Regulatory Agency (MHRA) has issued Class 4 Medicines Defect Information for </w:t>
      </w:r>
      <w:r w:rsidRPr="00A150AB">
        <w:rPr>
          <w:rStyle w:val="Strong"/>
          <w:rFonts w:asciiTheme="minorHAnsi" w:hAnsiTheme="minorHAnsi" w:cstheme="minorHAnsi"/>
          <w:b w:val="0"/>
          <w:bCs w:val="0"/>
        </w:rPr>
        <w:t xml:space="preserve">Syonell 250mg &amp; 500mg gastro-resistant tablets. Read more here: </w:t>
      </w:r>
      <w:hyperlink r:id="rId11" w:history="1">
        <w:r w:rsidRPr="005C5545">
          <w:rPr>
            <w:rStyle w:val="Hyperlink"/>
            <w:rFonts w:asciiTheme="minorHAnsi" w:hAnsiTheme="minorHAnsi" w:cstheme="minorHAnsi"/>
            <w:b/>
            <w:bCs/>
            <w:color w:val="4E3487"/>
          </w:rPr>
          <w:t>https://psnc.org.uk/our-news/mhra-class-4-medicines-defect-information-syonell-250mg-500mg-gastro-resistant-tablets/</w:t>
        </w:r>
      </w:hyperlink>
    </w:p>
    <w:p w14:paraId="2B0FF5D8" w14:textId="0CA4E55B" w:rsidR="00A150AB" w:rsidRDefault="00A150AB" w:rsidP="00074934">
      <w:pPr>
        <w:spacing w:line="240" w:lineRule="auto"/>
        <w:rPr>
          <w:rStyle w:val="Strong"/>
          <w:rFonts w:asciiTheme="minorHAnsi" w:hAnsiTheme="minorHAnsi" w:cstheme="minorHAnsi"/>
          <w:u w:val="single"/>
        </w:rPr>
      </w:pPr>
    </w:p>
    <w:p w14:paraId="2CFF99E5" w14:textId="1FA5D96E" w:rsidR="00A150AB" w:rsidRPr="00A150AB" w:rsidRDefault="00A150AB" w:rsidP="00074934">
      <w:pPr>
        <w:spacing w:line="240" w:lineRule="auto"/>
        <w:rPr>
          <w:rFonts w:asciiTheme="minorHAnsi" w:hAnsiTheme="minorHAnsi" w:cstheme="minorHAnsi"/>
          <w:b/>
          <w:bCs/>
          <w:u w:val="single"/>
        </w:rPr>
      </w:pPr>
      <w:r w:rsidRPr="00A150AB">
        <w:rPr>
          <w:rFonts w:asciiTheme="minorHAnsi" w:hAnsiTheme="minorHAnsi" w:cstheme="minorHAnsi"/>
          <w:b/>
          <w:bCs/>
          <w:u w:val="single"/>
        </w:rPr>
        <w:t>LPC News: Updated template PNA questionnaire 2021</w:t>
      </w:r>
    </w:p>
    <w:p w14:paraId="72B842F8" w14:textId="18E86AEA" w:rsidR="028ABB05" w:rsidRPr="005C5545" w:rsidRDefault="00A150AB" w:rsidP="00074934">
      <w:pPr>
        <w:spacing w:line="240" w:lineRule="auto"/>
        <w:rPr>
          <w:rFonts w:asciiTheme="minorHAnsi" w:hAnsiTheme="minorHAnsi" w:cstheme="minorHAnsi"/>
          <w:b/>
          <w:bCs/>
          <w:color w:val="4E3487"/>
          <w:u w:val="single"/>
        </w:rPr>
      </w:pPr>
      <w:r w:rsidRPr="00A150AB">
        <w:rPr>
          <w:rFonts w:asciiTheme="minorHAnsi" w:hAnsiTheme="minorHAnsi" w:cstheme="minorHAnsi"/>
        </w:rPr>
        <w:t>PSNC has updated its template questionnaire to help support the local development of Pharmaceutical Needs Assessments (PNAs). Read more here:</w:t>
      </w:r>
      <w:r>
        <w:rPr>
          <w:rFonts w:asciiTheme="minorHAnsi" w:hAnsiTheme="minorHAnsi" w:cstheme="minorHAnsi"/>
        </w:rPr>
        <w:t xml:space="preserve"> </w:t>
      </w:r>
      <w:hyperlink r:id="rId12" w:history="1">
        <w:r w:rsidRPr="005C5545">
          <w:rPr>
            <w:rStyle w:val="Hyperlink"/>
            <w:rFonts w:asciiTheme="minorHAnsi" w:hAnsiTheme="minorHAnsi" w:cstheme="minorHAnsi"/>
            <w:b/>
            <w:bCs/>
            <w:color w:val="4E3487"/>
          </w:rPr>
          <w:t>https://psnc.org.uk/our-news/lpc-news-updated-template-pna-questionnaire-2021/</w:t>
        </w:r>
      </w:hyperlink>
    </w:p>
    <w:p w14:paraId="07774595" w14:textId="69ED904A" w:rsidR="00A150AB" w:rsidRDefault="00A150AB" w:rsidP="00074934">
      <w:pPr>
        <w:spacing w:line="240" w:lineRule="auto"/>
        <w:rPr>
          <w:rFonts w:asciiTheme="minorHAnsi" w:hAnsiTheme="minorHAnsi" w:cstheme="minorHAnsi"/>
          <w:b/>
          <w:bCs/>
          <w:u w:val="single"/>
        </w:rPr>
      </w:pPr>
    </w:p>
    <w:p w14:paraId="004FFA23" w14:textId="77777777" w:rsidR="00A150AB" w:rsidRDefault="00A150AB" w:rsidP="00074934">
      <w:pPr>
        <w:spacing w:line="240" w:lineRule="auto"/>
        <w:rPr>
          <w:rFonts w:asciiTheme="minorHAnsi" w:hAnsiTheme="minorHAnsi" w:cstheme="minorHAnsi"/>
          <w:b/>
          <w:bCs/>
          <w:u w:val="single"/>
        </w:rPr>
      </w:pPr>
      <w:r w:rsidRPr="00A150AB">
        <w:rPr>
          <w:rFonts w:asciiTheme="minorHAnsi" w:hAnsiTheme="minorHAnsi" w:cstheme="minorHAnsi"/>
          <w:b/>
          <w:bCs/>
          <w:u w:val="single"/>
        </w:rPr>
        <w:t>SSP011 for Competact® 15mg/850mg tablets extended</w:t>
      </w:r>
    </w:p>
    <w:p w14:paraId="0C28A2BD" w14:textId="3DE35669" w:rsidR="00A150AB" w:rsidRPr="005C5545" w:rsidRDefault="00A150AB" w:rsidP="00074934">
      <w:pPr>
        <w:spacing w:line="240" w:lineRule="auto"/>
        <w:rPr>
          <w:rFonts w:asciiTheme="minorHAnsi" w:eastAsia="Times New Roman" w:hAnsiTheme="minorHAnsi" w:cstheme="minorHAnsi"/>
          <w:b/>
          <w:bCs/>
          <w:color w:val="4E3487"/>
          <w:u w:val="single"/>
          <w:lang w:val="en-US"/>
        </w:rPr>
      </w:pPr>
      <w:r w:rsidRPr="00A150AB">
        <w:rPr>
          <w:rFonts w:asciiTheme="minorHAnsi" w:eastAsia="Times New Roman" w:hAnsiTheme="minorHAnsi" w:cstheme="minorHAnsi"/>
          <w:lang w:val="en-US"/>
        </w:rPr>
        <w:t>SSP011 for Competact® 15mg/850mg tablets was previously expected to expire on 7th May 2021 but the end date has been extended to 14th May 2021.</w:t>
      </w:r>
      <w:r>
        <w:rPr>
          <w:rFonts w:asciiTheme="minorHAnsi" w:eastAsia="Times New Roman" w:hAnsiTheme="minorHAnsi" w:cstheme="minorHAnsi"/>
          <w:lang w:val="en-US"/>
        </w:rPr>
        <w:t xml:space="preserve"> Read more here: </w:t>
      </w:r>
      <w:hyperlink r:id="rId13" w:history="1">
        <w:r w:rsidRPr="005C5545">
          <w:rPr>
            <w:rStyle w:val="Hyperlink"/>
            <w:rFonts w:asciiTheme="minorHAnsi" w:eastAsia="Times New Roman" w:hAnsiTheme="minorHAnsi" w:cstheme="minorHAnsi"/>
            <w:b/>
            <w:bCs/>
            <w:color w:val="4E3487"/>
            <w:lang w:val="en-US"/>
          </w:rPr>
          <w:t>https://psnc.org.uk/our-news/contractor-notice-ssp011-competact-15mg-850mg-tablets-extended/</w:t>
        </w:r>
      </w:hyperlink>
    </w:p>
    <w:p w14:paraId="26D95216" w14:textId="4CD4E660" w:rsidR="00A150AB" w:rsidRDefault="00A150AB" w:rsidP="00074934">
      <w:pPr>
        <w:spacing w:line="240" w:lineRule="auto"/>
        <w:rPr>
          <w:rFonts w:asciiTheme="minorHAnsi" w:eastAsia="Times New Roman" w:hAnsiTheme="minorHAnsi" w:cstheme="minorHAnsi"/>
          <w:b/>
          <w:bCs/>
          <w:u w:val="single"/>
          <w:lang w:val="en-US"/>
        </w:rPr>
      </w:pPr>
    </w:p>
    <w:p w14:paraId="1E96E10C" w14:textId="0819943B" w:rsidR="00A150AB" w:rsidRDefault="00A150AB" w:rsidP="00074934">
      <w:pPr>
        <w:spacing w:line="240" w:lineRule="auto"/>
        <w:rPr>
          <w:rFonts w:asciiTheme="minorHAnsi" w:eastAsia="Times New Roman" w:hAnsiTheme="minorHAnsi" w:cstheme="minorHAnsi"/>
          <w:b/>
          <w:bCs/>
          <w:u w:val="single"/>
          <w:lang w:val="en-US"/>
        </w:rPr>
      </w:pPr>
      <w:r>
        <w:rPr>
          <w:rFonts w:asciiTheme="minorHAnsi" w:eastAsia="Times New Roman" w:hAnsiTheme="minorHAnsi" w:cstheme="minorHAnsi"/>
          <w:b/>
          <w:bCs/>
          <w:u w:val="single"/>
          <w:lang w:val="en-US"/>
        </w:rPr>
        <w:t>April CPN magazine published</w:t>
      </w:r>
    </w:p>
    <w:p w14:paraId="585850A2" w14:textId="74CE8280" w:rsidR="00A150AB" w:rsidRPr="005C5545" w:rsidRDefault="00A150AB" w:rsidP="00074934">
      <w:pPr>
        <w:spacing w:line="240" w:lineRule="auto"/>
        <w:rPr>
          <w:rFonts w:asciiTheme="minorHAnsi" w:hAnsiTheme="minorHAnsi" w:cstheme="minorHAnsi"/>
          <w:b/>
          <w:bCs/>
          <w:color w:val="4E3487"/>
          <w:u w:val="single"/>
        </w:rPr>
      </w:pPr>
      <w:r w:rsidRPr="00A150AB">
        <w:rPr>
          <w:rFonts w:asciiTheme="minorHAnsi" w:hAnsiTheme="minorHAnsi" w:cstheme="minorHAnsi"/>
        </w:rPr>
        <w:t>The April 2021 edition of PSNC’s Community Pharmacy News (CPN) is now available.</w:t>
      </w:r>
      <w:r>
        <w:rPr>
          <w:rFonts w:asciiTheme="minorHAnsi" w:hAnsiTheme="minorHAnsi" w:cstheme="minorHAnsi"/>
        </w:rPr>
        <w:t xml:space="preserve"> Read the April 2021 edition of CPN here: </w:t>
      </w:r>
      <w:hyperlink r:id="rId14" w:history="1">
        <w:r w:rsidRPr="005C5545">
          <w:rPr>
            <w:rStyle w:val="Hyperlink"/>
            <w:rFonts w:asciiTheme="minorHAnsi" w:hAnsiTheme="minorHAnsi" w:cstheme="minorHAnsi"/>
            <w:b/>
            <w:bCs/>
            <w:color w:val="4E3487"/>
          </w:rPr>
          <w:t>https://psnc.org.uk/our-news/april-cpn-magazine-published/</w:t>
        </w:r>
      </w:hyperlink>
    </w:p>
    <w:p w14:paraId="769DDACE" w14:textId="55FDD295" w:rsidR="00A150AB" w:rsidRDefault="00A150AB" w:rsidP="00074934">
      <w:pPr>
        <w:spacing w:line="240" w:lineRule="auto"/>
        <w:rPr>
          <w:rFonts w:asciiTheme="minorHAnsi" w:hAnsiTheme="minorHAnsi" w:cstheme="minorHAnsi"/>
          <w:b/>
          <w:bCs/>
          <w:u w:val="single"/>
        </w:rPr>
      </w:pPr>
    </w:p>
    <w:p w14:paraId="05847D11" w14:textId="11FBDC80" w:rsidR="00A150AB" w:rsidRPr="00A150AB" w:rsidRDefault="00A150AB" w:rsidP="00074934">
      <w:pPr>
        <w:spacing w:line="240" w:lineRule="auto"/>
        <w:rPr>
          <w:rFonts w:asciiTheme="minorHAnsi" w:hAnsiTheme="minorHAnsi" w:cstheme="minorHAnsi"/>
          <w:b/>
          <w:bCs/>
          <w:u w:val="single"/>
        </w:rPr>
      </w:pPr>
      <w:r>
        <w:rPr>
          <w:rFonts w:asciiTheme="minorHAnsi" w:hAnsiTheme="minorHAnsi" w:cstheme="minorHAnsi"/>
          <w:b/>
          <w:bCs/>
          <w:u w:val="single"/>
        </w:rPr>
        <w:t>NHS Prescription Services “Hints and Tips” – Issue 43</w:t>
      </w:r>
    </w:p>
    <w:p w14:paraId="3ED0C39F" w14:textId="5C09E404" w:rsidR="00A150AB" w:rsidRDefault="00A150AB" w:rsidP="00074934">
      <w:pPr>
        <w:spacing w:line="240" w:lineRule="auto"/>
        <w:rPr>
          <w:rFonts w:asciiTheme="minorHAnsi" w:hAnsiTheme="minorHAnsi" w:cstheme="minorHAnsi"/>
          <w:b/>
          <w:bCs/>
          <w:u w:val="single"/>
        </w:rPr>
      </w:pPr>
      <w:r w:rsidRPr="005C5545">
        <w:rPr>
          <w:rFonts w:asciiTheme="minorHAnsi" w:hAnsiTheme="minorHAnsi" w:cstheme="minorHAnsi"/>
        </w:rPr>
        <w:t>The latest edition of NHS Prescription Services quarterly newsletter</w:t>
      </w:r>
      <w:r w:rsidR="005C5545" w:rsidRPr="005C5545">
        <w:rPr>
          <w:rFonts w:asciiTheme="minorHAnsi" w:hAnsiTheme="minorHAnsi" w:cstheme="minorHAnsi"/>
        </w:rPr>
        <w:t>, “Hints &amp; Tips for dispensing contractors”,</w:t>
      </w:r>
      <w:r w:rsidRPr="005C5545">
        <w:rPr>
          <w:rFonts w:asciiTheme="minorHAnsi" w:hAnsiTheme="minorHAnsi" w:cstheme="minorHAnsi"/>
        </w:rPr>
        <w:t xml:space="preserve"> is now available.</w:t>
      </w:r>
      <w:r w:rsidR="005C5545" w:rsidRPr="005C5545">
        <w:rPr>
          <w:rFonts w:asciiTheme="minorHAnsi" w:hAnsiTheme="minorHAnsi" w:cstheme="minorHAnsi"/>
        </w:rPr>
        <w:t xml:space="preserve"> Read more here: </w:t>
      </w:r>
      <w:hyperlink r:id="rId15" w:history="1">
        <w:r w:rsidR="005C5545" w:rsidRPr="005C5545">
          <w:rPr>
            <w:rStyle w:val="Hyperlink"/>
            <w:rFonts w:asciiTheme="minorHAnsi" w:hAnsiTheme="minorHAnsi" w:cstheme="minorHAnsi"/>
            <w:b/>
            <w:bCs/>
            <w:color w:val="4E3487"/>
          </w:rPr>
          <w:t>https://psnc.org.uk/our-news/nhs-prescription-services-hints-tips-issue-43/</w:t>
        </w:r>
      </w:hyperlink>
    </w:p>
    <w:p w14:paraId="1DA6335F" w14:textId="7C488EB7" w:rsidR="005C5545" w:rsidRDefault="005C5545" w:rsidP="00074934">
      <w:pPr>
        <w:spacing w:line="240" w:lineRule="auto"/>
        <w:rPr>
          <w:rFonts w:asciiTheme="minorHAnsi" w:hAnsiTheme="minorHAnsi" w:cstheme="minorHAnsi"/>
          <w:b/>
          <w:bCs/>
          <w:u w:val="single"/>
        </w:rPr>
      </w:pPr>
    </w:p>
    <w:p w14:paraId="06980130" w14:textId="7088935C" w:rsidR="005C5545" w:rsidRDefault="005C5545" w:rsidP="00074934">
      <w:pPr>
        <w:spacing w:line="240" w:lineRule="auto"/>
        <w:rPr>
          <w:rFonts w:asciiTheme="minorHAnsi" w:hAnsiTheme="minorHAnsi" w:cstheme="minorHAnsi"/>
          <w:b/>
          <w:bCs/>
          <w:u w:val="single"/>
        </w:rPr>
      </w:pPr>
      <w:r>
        <w:rPr>
          <w:rFonts w:asciiTheme="minorHAnsi" w:hAnsiTheme="minorHAnsi" w:cstheme="minorHAnsi"/>
          <w:b/>
          <w:bCs/>
          <w:u w:val="single"/>
        </w:rPr>
        <w:t>Post-Payment Verification for the Pandemic Delivery Service</w:t>
      </w:r>
    </w:p>
    <w:p w14:paraId="428A28AF" w14:textId="479DD907" w:rsidR="005C5545" w:rsidRPr="005C5545" w:rsidRDefault="005C5545" w:rsidP="00074934">
      <w:pPr>
        <w:spacing w:line="240" w:lineRule="auto"/>
        <w:rPr>
          <w:rFonts w:asciiTheme="minorHAnsi" w:hAnsiTheme="minorHAnsi" w:cstheme="minorHAnsi"/>
          <w:b/>
          <w:bCs/>
          <w:color w:val="4E3487"/>
          <w:u w:val="single"/>
        </w:rPr>
      </w:pPr>
      <w:r w:rsidRPr="005C5545">
        <w:rPr>
          <w:rFonts w:asciiTheme="minorHAnsi" w:hAnsiTheme="minorHAnsi" w:cstheme="minorHAnsi"/>
        </w:rPr>
        <w:t xml:space="preserve">The NHS Business Services Authority (NHSBSA) has started undertaking a post-payment verification process for the Advanced Service component of the Pandemic Delivery Service. Read more here: </w:t>
      </w:r>
      <w:hyperlink r:id="rId16" w:history="1">
        <w:r w:rsidRPr="005C5545">
          <w:rPr>
            <w:rStyle w:val="Hyperlink"/>
            <w:rFonts w:asciiTheme="minorHAnsi" w:hAnsiTheme="minorHAnsi" w:cstheme="minorHAnsi"/>
            <w:b/>
            <w:bCs/>
            <w:color w:val="4E3487"/>
          </w:rPr>
          <w:t>https://psnc.org.uk/our-news/post-payment-verification-for-the-pandemic-delivery-service/</w:t>
        </w:r>
      </w:hyperlink>
    </w:p>
    <w:p w14:paraId="59733618" w14:textId="267816AE" w:rsidR="005C5545" w:rsidRDefault="005C5545" w:rsidP="00074934">
      <w:pPr>
        <w:spacing w:line="240" w:lineRule="auto"/>
        <w:rPr>
          <w:rFonts w:asciiTheme="minorHAnsi" w:hAnsiTheme="minorHAnsi" w:cstheme="minorHAnsi"/>
          <w:b/>
          <w:bCs/>
          <w:u w:val="single"/>
        </w:rPr>
      </w:pPr>
    </w:p>
    <w:p w14:paraId="680AC5F5" w14:textId="24B90308" w:rsidR="005C5545" w:rsidRDefault="005C5545" w:rsidP="00074934">
      <w:pPr>
        <w:spacing w:line="240" w:lineRule="auto"/>
        <w:rPr>
          <w:rFonts w:asciiTheme="minorHAnsi" w:hAnsiTheme="minorHAnsi" w:cstheme="minorHAnsi"/>
          <w:b/>
          <w:bCs/>
          <w:u w:val="single"/>
        </w:rPr>
      </w:pPr>
      <w:r>
        <w:rPr>
          <w:rFonts w:asciiTheme="minorHAnsi" w:hAnsiTheme="minorHAnsi" w:cstheme="minorHAnsi"/>
          <w:b/>
          <w:bCs/>
          <w:u w:val="single"/>
        </w:rPr>
        <w:t>Smartcard admin portal (CIS) upgrade</w:t>
      </w:r>
    </w:p>
    <w:p w14:paraId="51A77BF9" w14:textId="5CF5D122" w:rsidR="028ABB05" w:rsidRPr="0061642A" w:rsidRDefault="005C5545" w:rsidP="00074934">
      <w:pPr>
        <w:spacing w:line="240" w:lineRule="auto"/>
        <w:rPr>
          <w:rStyle w:val="Hyperlink"/>
          <w:rFonts w:asciiTheme="minorHAnsi" w:hAnsiTheme="minorHAnsi" w:cstheme="minorHAnsi"/>
          <w:b/>
          <w:bCs/>
          <w:color w:val="4E3487"/>
        </w:rPr>
      </w:pPr>
      <w:r w:rsidRPr="005C5545">
        <w:rPr>
          <w:rFonts w:asciiTheme="minorHAnsi" w:hAnsiTheme="minorHAnsi" w:cstheme="minorHAnsi"/>
        </w:rPr>
        <w:t xml:space="preserve">The Care Identity Service (CIS) will shortly be moving to an online ‘cloud-based’ environment to improve system performance and user experience. NHS Digital has confirmed that the upgrade is scheduled to take place from 6.30pm on Friday 7th May 2021 through to 8.00pm on Monday 10th May 2021. Read more here: </w:t>
      </w:r>
      <w:hyperlink r:id="rId17" w:history="1">
        <w:r w:rsidRPr="0061642A">
          <w:rPr>
            <w:rStyle w:val="Hyperlink"/>
            <w:rFonts w:asciiTheme="minorHAnsi" w:hAnsiTheme="minorHAnsi" w:cstheme="minorHAnsi"/>
            <w:b/>
            <w:bCs/>
            <w:color w:val="4E3487"/>
          </w:rPr>
          <w:t>https://psnc.org.uk/our-news/smartcard-admin-portal-cis-upgrade/</w:t>
        </w:r>
      </w:hyperlink>
    </w:p>
    <w:p w14:paraId="5D64EA81" w14:textId="038538F3" w:rsidR="0061642A" w:rsidRDefault="0061642A" w:rsidP="00074934">
      <w:pPr>
        <w:spacing w:line="240" w:lineRule="auto"/>
        <w:rPr>
          <w:rStyle w:val="Hyperlink"/>
          <w:rFonts w:asciiTheme="minorHAnsi" w:hAnsiTheme="minorHAnsi" w:cstheme="minorHAnsi"/>
          <w:b/>
          <w:bCs/>
          <w:color w:val="4E3487"/>
        </w:rPr>
      </w:pPr>
    </w:p>
    <w:p w14:paraId="2A7DE4C8" w14:textId="77777777" w:rsidR="0061642A" w:rsidRDefault="0061642A" w:rsidP="0061642A">
      <w:pPr>
        <w:spacing w:line="240" w:lineRule="auto"/>
        <w:rPr>
          <w:rStyle w:val="Hyperlink"/>
          <w:rFonts w:asciiTheme="minorHAnsi" w:hAnsiTheme="minorHAnsi" w:cstheme="minorHAnsi"/>
          <w:b/>
          <w:bCs/>
          <w:color w:val="auto"/>
        </w:rPr>
      </w:pPr>
      <w:r w:rsidRPr="0061642A">
        <w:rPr>
          <w:rStyle w:val="Hyperlink"/>
          <w:rFonts w:asciiTheme="minorHAnsi" w:hAnsiTheme="minorHAnsi" w:cstheme="minorHAnsi"/>
          <w:b/>
          <w:bCs/>
          <w:color w:val="auto"/>
        </w:rPr>
        <w:t>RSG announces series of engagement events</w:t>
      </w:r>
    </w:p>
    <w:p w14:paraId="58E15EFE" w14:textId="4CBA849A" w:rsidR="0061642A" w:rsidRPr="0061642A" w:rsidRDefault="0061642A" w:rsidP="0061642A">
      <w:pPr>
        <w:spacing w:line="240" w:lineRule="auto"/>
        <w:rPr>
          <w:rFonts w:asciiTheme="minorHAnsi" w:hAnsiTheme="minorHAnsi" w:cstheme="minorHAnsi"/>
          <w:b/>
          <w:bCs/>
          <w:u w:val="single"/>
        </w:rPr>
      </w:pPr>
      <w:r w:rsidRPr="0061642A">
        <w:rPr>
          <w:rFonts w:asciiTheme="minorHAnsi" w:hAnsiTheme="minorHAnsi" w:cstheme="minorHAnsi"/>
        </w:rPr>
        <w:lastRenderedPageBreak/>
        <w:t>The community pharmacy Review Steering Group (RSG) has issued an update and announced a series of stakeholder engagement events as part of its remit to take forward work following recommendations made in the </w:t>
      </w:r>
      <w:hyperlink r:id="rId18" w:tgtFrame="_blank" w:history="1">
        <w:r w:rsidRPr="0061642A">
          <w:rPr>
            <w:rStyle w:val="Hyperlink"/>
            <w:rFonts w:asciiTheme="minorHAnsi" w:hAnsiTheme="minorHAnsi" w:cstheme="minorHAnsi"/>
            <w:b/>
            <w:bCs/>
            <w:color w:val="4F3388"/>
          </w:rPr>
          <w:t>Independent Review of Community Pharmacy Contractor Representation and Support: Providing best value for contractors</w:t>
        </w:r>
      </w:hyperlink>
      <w:r>
        <w:rPr>
          <w:rFonts w:ascii="Helvetica" w:hAnsi="Helvetica" w:cs="Helvetica"/>
          <w:color w:val="444444"/>
        </w:rPr>
        <w:t xml:space="preserve">. </w:t>
      </w:r>
      <w:r w:rsidRPr="0061642A">
        <w:rPr>
          <w:rFonts w:asciiTheme="minorHAnsi" w:hAnsiTheme="minorHAnsi" w:cstheme="minorHAnsi"/>
        </w:rPr>
        <w:t>Read more here:</w:t>
      </w:r>
      <w:r w:rsidRPr="0061642A">
        <w:rPr>
          <w:rFonts w:ascii="Helvetica" w:hAnsi="Helvetica" w:cs="Helvetica"/>
        </w:rPr>
        <w:t xml:space="preserve"> </w:t>
      </w:r>
      <w:r w:rsidRPr="0061642A">
        <w:rPr>
          <w:rFonts w:asciiTheme="minorHAnsi" w:hAnsiTheme="minorHAnsi" w:cstheme="minorHAnsi"/>
          <w:b/>
          <w:bCs/>
          <w:color w:val="4E3487"/>
          <w:u w:val="single"/>
        </w:rPr>
        <w:t>https://psnc.org.uk/our-news/rsg-announces-series-of-engagement-events/</w:t>
      </w:r>
    </w:p>
    <w:p w14:paraId="6EB38095" w14:textId="3ABEA885" w:rsidR="005C5545" w:rsidRDefault="005C5545" w:rsidP="00074934">
      <w:pPr>
        <w:spacing w:line="240" w:lineRule="auto"/>
        <w:rPr>
          <w:rFonts w:asciiTheme="minorHAnsi" w:hAnsiTheme="minorHAnsi" w:cstheme="minorHAnsi"/>
          <w:b/>
          <w:bCs/>
          <w:color w:val="4E3487"/>
          <w:u w:val="single"/>
          <w:lang w:val="en-US"/>
        </w:rPr>
      </w:pPr>
    </w:p>
    <w:p w14:paraId="3F53C451" w14:textId="64E0CDB0" w:rsidR="0061642A" w:rsidRDefault="0061642A" w:rsidP="00074934">
      <w:pPr>
        <w:spacing w:line="240" w:lineRule="auto"/>
        <w:rPr>
          <w:rFonts w:asciiTheme="minorHAnsi" w:hAnsiTheme="minorHAnsi" w:cstheme="minorHAnsi"/>
          <w:b/>
          <w:bCs/>
          <w:u w:val="single"/>
          <w:lang w:val="en-US"/>
        </w:rPr>
      </w:pPr>
      <w:r w:rsidRPr="0061642A">
        <w:rPr>
          <w:rFonts w:asciiTheme="minorHAnsi" w:hAnsiTheme="minorHAnsi" w:cstheme="minorHAnsi"/>
          <w:b/>
          <w:bCs/>
          <w:u w:val="single"/>
          <w:lang w:val="en-US"/>
        </w:rPr>
        <w:t>FAQs on the HEE workforce survey</w:t>
      </w:r>
    </w:p>
    <w:p w14:paraId="75B3298D" w14:textId="603B3767" w:rsidR="0061642A" w:rsidRDefault="0061642A" w:rsidP="00074934">
      <w:pPr>
        <w:spacing w:line="240" w:lineRule="auto"/>
        <w:rPr>
          <w:rFonts w:asciiTheme="minorHAnsi" w:hAnsiTheme="minorHAnsi" w:cstheme="minorHAnsi"/>
          <w:b/>
          <w:bCs/>
          <w:color w:val="4E3487"/>
          <w:u w:val="single"/>
          <w:lang w:val="en-US"/>
        </w:rPr>
      </w:pPr>
      <w:r w:rsidRPr="0061642A">
        <w:rPr>
          <w:rFonts w:asciiTheme="minorHAnsi" w:hAnsiTheme="minorHAnsi" w:cstheme="minorHAnsi"/>
        </w:rPr>
        <w:t xml:space="preserve">The 2021 Health Education England (HEE) Community Pharmacy Workforce Survey commenced on 7th May 2021. </w:t>
      </w:r>
      <w:r w:rsidR="00BA6657">
        <w:rPr>
          <w:rFonts w:asciiTheme="minorHAnsi" w:hAnsiTheme="minorHAnsi" w:cstheme="minorHAnsi"/>
        </w:rPr>
        <w:t>HEE</w:t>
      </w:r>
      <w:r w:rsidRPr="0061642A">
        <w:rPr>
          <w:rFonts w:asciiTheme="minorHAnsi" w:hAnsiTheme="minorHAnsi" w:cstheme="minorHAnsi"/>
        </w:rPr>
        <w:t xml:space="preserve"> has compiled a list of FAQs about the survey. Read more here: </w:t>
      </w:r>
      <w:r w:rsidRPr="0061642A">
        <w:rPr>
          <w:rFonts w:asciiTheme="minorHAnsi" w:hAnsiTheme="minorHAnsi" w:cstheme="minorHAnsi"/>
          <w:b/>
          <w:bCs/>
          <w:color w:val="4E3487"/>
          <w:u w:val="single"/>
        </w:rPr>
        <w:t>https://psnc.org.uk/our-news/faqs-on-the-hee-workforce-survey/</w:t>
      </w:r>
    </w:p>
    <w:p w14:paraId="4E3C6B34" w14:textId="77777777" w:rsidR="0061642A" w:rsidRPr="0061642A" w:rsidRDefault="0061642A" w:rsidP="00074934">
      <w:pPr>
        <w:spacing w:line="240" w:lineRule="auto"/>
        <w:rPr>
          <w:rFonts w:asciiTheme="minorHAnsi" w:hAnsiTheme="minorHAnsi" w:cstheme="minorHAnsi"/>
          <w:b/>
          <w:bCs/>
          <w:color w:val="4E3487"/>
          <w:u w:val="single"/>
          <w:lang w:val="en-US"/>
        </w:rPr>
      </w:pPr>
    </w:p>
    <w:p w14:paraId="61F54763" w14:textId="3F7BF51D" w:rsidR="54750988" w:rsidRDefault="122549B2" w:rsidP="54750988">
      <w:pPr>
        <w:jc w:val="both"/>
      </w:pPr>
      <w:r w:rsidRPr="3264F588">
        <w:rPr>
          <w:rFonts w:ascii="Calibri" w:hAnsi="Calibri" w:cs="Calibri"/>
          <w:b/>
          <w:bCs/>
          <w:color w:val="5B518E"/>
          <w:sz w:val="28"/>
          <w:szCs w:val="28"/>
        </w:rPr>
        <w:t>COVID-19 Appendix</w:t>
      </w:r>
    </w:p>
    <w:p w14:paraId="590E9AEC" w14:textId="60158E36" w:rsidR="122549B2" w:rsidRDefault="122549B2" w:rsidP="54750988">
      <w:pPr>
        <w:jc w:val="both"/>
      </w:pPr>
      <w:r w:rsidRPr="54750988">
        <w:rPr>
          <w:rFonts w:ascii="Calibri" w:hAnsi="Calibri" w:cs="Calibri"/>
          <w:b/>
          <w:bCs/>
          <w:u w:val="single"/>
        </w:rPr>
        <w:t>Remember: Key actions to take during the pandemic</w:t>
      </w:r>
    </w:p>
    <w:p w14:paraId="5EE85C2F" w14:textId="01347AFC" w:rsidR="122549B2" w:rsidRDefault="122549B2" w:rsidP="54750988">
      <w:pPr>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the </w:t>
      </w:r>
      <w:hyperlink r:id="rId19">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14:paraId="0CE5F239" w14:textId="7EF24FB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Clearly display the </w:t>
      </w:r>
      <w:hyperlink r:id="rId20">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14:paraId="5C5FE05B" w14:textId="29E1320F"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your </w:t>
      </w:r>
      <w:hyperlink r:id="rId21">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Keep up to date with developments by regularly checking the information on </w:t>
      </w:r>
      <w:hyperlink r:id="rId22">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3">
        <w:r w:rsidRPr="54750988">
          <w:rPr>
            <w:rStyle w:val="Hyperlink"/>
            <w:rFonts w:ascii="Calibri" w:hAnsi="Calibri" w:cs="Calibri"/>
            <w:b/>
            <w:bCs/>
            <w:color w:val="000000" w:themeColor="text1"/>
          </w:rPr>
          <w:t xml:space="preserve">NHSE&amp;I </w:t>
        </w:r>
      </w:hyperlink>
      <w:hyperlink r:id="rId24">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14:paraId="3F1A84DE" w14:textId="4738D1EA"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Where possible, display the </w:t>
      </w:r>
      <w:hyperlink r:id="rId25">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54750988">
      <w:pPr>
        <w:jc w:val="both"/>
      </w:pPr>
      <w:r w:rsidRPr="54750988">
        <w:rPr>
          <w:rFonts w:ascii="Calibri" w:hAnsi="Calibri" w:cs="Calibri"/>
          <w:b/>
          <w:bCs/>
          <w:u w:val="single"/>
        </w:rPr>
        <w:t>Guidance for healthcare professionals</w:t>
      </w:r>
    </w:p>
    <w:p w14:paraId="6DA29E1F" w14:textId="65F7D93C" w:rsidR="122549B2" w:rsidRDefault="122549B2" w:rsidP="54750988">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54750988">
      <w:pPr>
        <w:jc w:val="both"/>
        <w:rPr>
          <w:rFonts w:ascii="Calibri" w:hAnsi="Calibri" w:cs="Calibri"/>
        </w:rPr>
      </w:pPr>
    </w:p>
    <w:p w14:paraId="7C3AC6E9" w14:textId="1FF7A6A9" w:rsidR="122549B2" w:rsidRDefault="00141E24" w:rsidP="54750988">
      <w:pPr>
        <w:jc w:val="both"/>
      </w:pPr>
      <w:hyperlink r:id="rId26">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54750988">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7">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54750988">
      <w:pPr>
        <w:jc w:val="both"/>
        <w:rPr>
          <w:rFonts w:ascii="Calibri" w:hAnsi="Calibri" w:cs="Calibri"/>
        </w:rPr>
      </w:pPr>
    </w:p>
    <w:p w14:paraId="739815DB" w14:textId="19A6E223" w:rsidR="122549B2" w:rsidRDefault="00141E24" w:rsidP="54750988">
      <w:pPr>
        <w:jc w:val="both"/>
      </w:pPr>
      <w:hyperlink r:id="rId28">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9"/>
      <w:footerReference w:type="default" r:id="rId30"/>
      <w:headerReference w:type="first" r:id="rId31"/>
      <w:footerReference w:type="first" r:id="rId3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BCA6" w14:textId="77777777" w:rsidR="00141E24" w:rsidRDefault="00141E24" w:rsidP="00E472BA">
      <w:pPr>
        <w:spacing w:line="240" w:lineRule="auto"/>
      </w:pPr>
      <w:r>
        <w:separator/>
      </w:r>
    </w:p>
  </w:endnote>
  <w:endnote w:type="continuationSeparator" w:id="0">
    <w:p w14:paraId="653D2EFA" w14:textId="77777777" w:rsidR="00141E24" w:rsidRDefault="00141E2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2497" w14:textId="77777777" w:rsidR="00141E24" w:rsidRDefault="00141E24" w:rsidP="00E472BA">
      <w:pPr>
        <w:spacing w:line="240" w:lineRule="auto"/>
      </w:pPr>
      <w:r>
        <w:separator/>
      </w:r>
    </w:p>
  </w:footnote>
  <w:footnote w:type="continuationSeparator" w:id="0">
    <w:p w14:paraId="3DC5B6F0" w14:textId="77777777" w:rsidR="00141E24" w:rsidRDefault="00141E2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3"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4934"/>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41E24"/>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5E6C"/>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5545"/>
    <w:rsid w:val="005C71B4"/>
    <w:rsid w:val="005D75F2"/>
    <w:rsid w:val="005F1400"/>
    <w:rsid w:val="005F68B7"/>
    <w:rsid w:val="0060698F"/>
    <w:rsid w:val="00611838"/>
    <w:rsid w:val="0061642A"/>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23ABD"/>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150AB"/>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07CE8"/>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6657"/>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540C1"/>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43E3"/>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38947197">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contractor-notice-ssp011-competact-15mg-850mg-tablets-extended/" TargetMode="External"/><Relationship Id="rId18" Type="http://schemas.openxmlformats.org/officeDocument/2006/relationships/hyperlink" Target="https://pharmacyreview175657019.files.wordpress.com/2020/06/independent-review-of-community-pharmacy-contractor-representation-and-support.pdf"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psnc.org.uk/contract-it/essential-service-clinical-governance/emergency-plan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snc.org.uk/our-news/lpc-news-updated-template-pna-questionnaire-2021/" TargetMode="External"/><Relationship Id="rId17" Type="http://schemas.openxmlformats.org/officeDocument/2006/relationships/hyperlink" Target="https://psnc.org.uk/our-news/smartcard-admin-portal-cis-upgrade/" TargetMode="External"/><Relationship Id="rId25" Type="http://schemas.openxmlformats.org/officeDocument/2006/relationships/hyperlink" Target="https://campaignresources.phe.gov.uk/resources/campaigns/101/resources/50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post-payment-verification-for-the-pandemic-delivery-service/" TargetMode="External"/><Relationship Id="rId20" Type="http://schemas.openxmlformats.org/officeDocument/2006/relationships/hyperlink" Target="https://psnc.org.uk/the-healthcare-landscape/covid19/information-for-the-publ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hra-class-4-medicines-defect-information-syonell-250mg-500mg-gastro-resistant-tablets/" TargetMode="External"/><Relationship Id="rId24" Type="http://schemas.openxmlformats.org/officeDocument/2006/relationships/hyperlink" Target="https://www.england.nhs.uk/coronavirus/primary-car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nhs-prescription-services-hints-tips-issue-43/" TargetMode="External"/><Relationship Id="rId23" Type="http://schemas.openxmlformats.org/officeDocument/2006/relationships/hyperlink" Target="https://www.england.nhs.uk/coronavirus/primary-care/" TargetMode="External"/><Relationship Id="rId28"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the-healthcare-landscape/covid19/contractor-guidance-and-suppor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april-cpn-magazine-published/"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gov.uk/government/collections/wuhan-novel-coronaviru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14</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4</cp:revision>
  <cp:lastPrinted>2018-01-08T12:15:00Z</cp:lastPrinted>
  <dcterms:created xsi:type="dcterms:W3CDTF">2021-05-10T07:42:00Z</dcterms:created>
  <dcterms:modified xsi:type="dcterms:W3CDTF">2021-05-10T07:55:00Z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