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Default="72AE7B36" w:rsidP="5C458A3D">
      <w:pPr>
        <w:jc w:val="both"/>
        <w:rPr>
          <w:rFonts w:ascii="Calibri" w:hAnsi="Calibri" w:cs="Calibri"/>
          <w:color w:val="000000" w:themeColor="text1"/>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Key News and Guidance for LPCs</w:t>
      </w:r>
    </w:p>
    <w:p w14:paraId="28951205" w14:textId="46A46DAF" w:rsidR="57F7E37C" w:rsidRPr="00B07CE8" w:rsidRDefault="122549B2" w:rsidP="00B07CE8">
      <w:pPr>
        <w:ind w:firstLine="720"/>
        <w:jc w:val="right"/>
        <w:rPr>
          <w:rFonts w:ascii="Calibri" w:hAnsi="Calibri" w:cs="Calibri"/>
          <w:i/>
          <w:iCs/>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ending</w:t>
      </w:r>
      <w:r w:rsidR="0C6F45B3" w:rsidRPr="54D3B109">
        <w:rPr>
          <w:rFonts w:ascii="Calibri" w:hAnsi="Calibri" w:cs="Calibri"/>
          <w:i/>
          <w:iCs/>
        </w:rPr>
        <w:t xml:space="preserve"> </w:t>
      </w:r>
      <w:r w:rsidR="0021712D">
        <w:rPr>
          <w:rFonts w:ascii="Calibri" w:hAnsi="Calibri" w:cs="Calibri"/>
          <w:i/>
          <w:iCs/>
        </w:rPr>
        <w:t>16</w:t>
      </w:r>
      <w:r w:rsidR="00A150AB">
        <w:rPr>
          <w:rFonts w:ascii="Calibri" w:hAnsi="Calibri" w:cs="Calibri"/>
          <w:i/>
          <w:iCs/>
        </w:rPr>
        <w:t>th</w:t>
      </w:r>
      <w:r w:rsidR="33076D5E" w:rsidRPr="54D3B109">
        <w:rPr>
          <w:rFonts w:ascii="Calibri" w:hAnsi="Calibri" w:cs="Calibri"/>
          <w:i/>
          <w:iCs/>
        </w:rPr>
        <w:t xml:space="preserve"> </w:t>
      </w:r>
      <w:r w:rsidR="00A150AB">
        <w:rPr>
          <w:rFonts w:ascii="Calibri" w:hAnsi="Calibri" w:cs="Calibri"/>
          <w:i/>
          <w:iCs/>
        </w:rPr>
        <w:t>May</w:t>
      </w:r>
    </w:p>
    <w:p w14:paraId="56AB354A" w14:textId="4ABD7C6C" w:rsidR="0A6D93E2" w:rsidRDefault="0A6D93E2" w:rsidP="0021712D">
      <w:pPr>
        <w:spacing w:line="240" w:lineRule="auto"/>
      </w:pPr>
      <w:r w:rsidRPr="57F7E37C">
        <w:rPr>
          <w:rFonts w:ascii="Calibri" w:hAnsi="Calibri" w:cs="Calibri"/>
          <w:b/>
          <w:bCs/>
          <w:u w:val="single"/>
        </w:rPr>
        <w:t>Last week’s news stories:</w:t>
      </w:r>
    </w:p>
    <w:p w14:paraId="4965E160" w14:textId="51CA140A" w:rsidR="57F7E37C" w:rsidRDefault="57F7E37C" w:rsidP="0021712D">
      <w:pPr>
        <w:spacing w:line="240" w:lineRule="auto"/>
        <w:rPr>
          <w:rFonts w:ascii="Calibri" w:hAnsi="Calibri" w:cs="Calibri"/>
          <w:b/>
          <w:bCs/>
          <w:u w:val="single"/>
        </w:rPr>
      </w:pPr>
    </w:p>
    <w:p w14:paraId="686F0B0D" w14:textId="77777777" w:rsidR="0091217C" w:rsidRPr="0091217C" w:rsidRDefault="0091217C" w:rsidP="0021712D">
      <w:pPr>
        <w:spacing w:line="240" w:lineRule="auto"/>
        <w:rPr>
          <w:rFonts w:asciiTheme="minorHAnsi" w:hAnsiTheme="minorHAnsi" w:cstheme="minorHAnsi"/>
          <w:b/>
          <w:bCs/>
          <w:u w:val="single"/>
        </w:rPr>
      </w:pPr>
      <w:r w:rsidRPr="0091217C">
        <w:rPr>
          <w:rFonts w:asciiTheme="minorHAnsi" w:hAnsiTheme="minorHAnsi" w:cstheme="minorHAnsi"/>
          <w:b/>
          <w:bCs/>
          <w:u w:val="single"/>
        </w:rPr>
        <w:t>Have you completed the DMS DoC?</w:t>
      </w:r>
    </w:p>
    <w:p w14:paraId="09471171" w14:textId="75B20A1B" w:rsidR="0091217C" w:rsidRPr="0091217C" w:rsidRDefault="0091217C" w:rsidP="0021712D">
      <w:pPr>
        <w:spacing w:line="240" w:lineRule="auto"/>
        <w:rPr>
          <w:rFonts w:asciiTheme="minorHAnsi" w:eastAsia="Times New Roman" w:hAnsiTheme="minorHAnsi" w:cstheme="minorHAnsi"/>
          <w:b/>
          <w:bCs/>
          <w:u w:val="single"/>
          <w:lang w:val="en-US"/>
        </w:rPr>
      </w:pPr>
      <w:r w:rsidRPr="0091217C">
        <w:rPr>
          <w:rFonts w:asciiTheme="minorHAnsi" w:eastAsia="Times New Roman" w:hAnsiTheme="minorHAnsi" w:cstheme="minorHAnsi"/>
          <w:lang w:val="en-US"/>
        </w:rPr>
        <w:t xml:space="preserve">Pharmacists and pharmacy technicians are reminded that they must complete the Discharge Medicines Service (DMS) Declaration of Competence (DoC) before providing DMS, which became an Essential service earlier this year. Read more here: </w:t>
      </w:r>
      <w:hyperlink r:id="rId11" w:history="1">
        <w:r w:rsidRPr="0091217C">
          <w:rPr>
            <w:rStyle w:val="Hyperlink"/>
            <w:rFonts w:asciiTheme="minorHAnsi" w:eastAsia="Times New Roman" w:hAnsiTheme="minorHAnsi" w:cstheme="minorHAnsi"/>
            <w:b/>
            <w:bCs/>
            <w:color w:val="4E3487"/>
            <w:lang w:val="en-US"/>
          </w:rPr>
          <w:t>https://psnc.org.uk/our-news/have-you-completed-the-dms-doc/</w:t>
        </w:r>
      </w:hyperlink>
    </w:p>
    <w:p w14:paraId="11450D36" w14:textId="55686A3F" w:rsidR="0091217C" w:rsidRPr="0091217C" w:rsidRDefault="0091217C" w:rsidP="0021712D">
      <w:pPr>
        <w:spacing w:line="240" w:lineRule="auto"/>
        <w:rPr>
          <w:rFonts w:asciiTheme="minorHAnsi" w:eastAsia="Times New Roman" w:hAnsiTheme="minorHAnsi" w:cstheme="minorHAnsi"/>
          <w:b/>
          <w:bCs/>
          <w:u w:val="single"/>
          <w:lang w:val="en-US"/>
        </w:rPr>
      </w:pPr>
    </w:p>
    <w:p w14:paraId="21C0D618" w14:textId="7134797A" w:rsidR="0091217C" w:rsidRPr="0091217C" w:rsidRDefault="0091217C" w:rsidP="0021712D">
      <w:pPr>
        <w:spacing w:line="240" w:lineRule="auto"/>
        <w:rPr>
          <w:rFonts w:asciiTheme="minorHAnsi" w:eastAsia="Times New Roman" w:hAnsiTheme="minorHAnsi" w:cstheme="minorHAnsi"/>
          <w:b/>
          <w:bCs/>
          <w:u w:val="single"/>
          <w:lang w:val="en-US"/>
        </w:rPr>
      </w:pPr>
      <w:r w:rsidRPr="0091217C">
        <w:rPr>
          <w:rFonts w:asciiTheme="minorHAnsi" w:eastAsia="Times New Roman" w:hAnsiTheme="minorHAnsi" w:cstheme="minorHAnsi"/>
          <w:b/>
          <w:bCs/>
          <w:u w:val="single"/>
          <w:lang w:val="en-US"/>
        </w:rPr>
        <w:t>Pharmacists asked to take part in Self Care Forum COVID-19 survey</w:t>
      </w:r>
    </w:p>
    <w:p w14:paraId="0525324A" w14:textId="71EDC27D" w:rsidR="0091217C" w:rsidRPr="0091217C" w:rsidRDefault="0091217C" w:rsidP="0021712D">
      <w:pPr>
        <w:spacing w:line="240" w:lineRule="auto"/>
        <w:rPr>
          <w:rFonts w:asciiTheme="minorHAnsi" w:hAnsiTheme="minorHAnsi" w:cstheme="minorHAnsi"/>
          <w:b/>
          <w:bCs/>
          <w:color w:val="4E3487"/>
          <w:u w:val="single"/>
        </w:rPr>
      </w:pPr>
      <w:r w:rsidRPr="0091217C">
        <w:rPr>
          <w:rFonts w:asciiTheme="minorHAnsi" w:hAnsiTheme="minorHAnsi" w:cstheme="minorHAnsi"/>
        </w:rPr>
        <w:t>The Self Care Forum is inviting everyone involved in the delivery of healthcare throughout the COVID-19 pandemic including community pharmacy teams to complete a </w:t>
      </w:r>
      <w:hyperlink r:id="rId12" w:tgtFrame="_blank" w:history="1">
        <w:r w:rsidRPr="0091217C">
          <w:rPr>
            <w:rStyle w:val="Hyperlink"/>
            <w:rFonts w:asciiTheme="minorHAnsi" w:hAnsiTheme="minorHAnsi" w:cstheme="minorHAnsi"/>
            <w:b/>
            <w:bCs/>
            <w:color w:val="4E3487"/>
          </w:rPr>
          <w:t>short questionnaire</w:t>
        </w:r>
      </w:hyperlink>
      <w:r w:rsidRPr="0091217C">
        <w:rPr>
          <w:rFonts w:asciiTheme="minorHAnsi" w:hAnsiTheme="minorHAnsi" w:cstheme="minorHAnsi"/>
        </w:rPr>
        <w:t xml:space="preserve">. Read more here: </w:t>
      </w:r>
      <w:hyperlink r:id="rId13" w:history="1">
        <w:r w:rsidRPr="0091217C">
          <w:rPr>
            <w:rStyle w:val="Hyperlink"/>
            <w:rFonts w:asciiTheme="minorHAnsi" w:hAnsiTheme="minorHAnsi" w:cstheme="minorHAnsi"/>
            <w:b/>
            <w:bCs/>
            <w:color w:val="4E3487"/>
          </w:rPr>
          <w:t>https://psnc.org.uk/our-news/pharmacists-asked-to-take-part-in-self-care-forum-covid-19-survey/</w:t>
        </w:r>
      </w:hyperlink>
    </w:p>
    <w:p w14:paraId="1437F2D5" w14:textId="6530CD31" w:rsidR="0091217C" w:rsidRPr="0091217C" w:rsidRDefault="0091217C" w:rsidP="0021712D">
      <w:pPr>
        <w:spacing w:line="240" w:lineRule="auto"/>
        <w:rPr>
          <w:rFonts w:asciiTheme="minorHAnsi" w:hAnsiTheme="minorHAnsi" w:cstheme="minorHAnsi"/>
          <w:b/>
          <w:bCs/>
          <w:u w:val="single"/>
        </w:rPr>
      </w:pPr>
    </w:p>
    <w:p w14:paraId="1C3CBA3A" w14:textId="789B8A1E" w:rsidR="0091217C" w:rsidRPr="0091217C" w:rsidRDefault="0091217C" w:rsidP="0021712D">
      <w:pPr>
        <w:spacing w:line="240" w:lineRule="auto"/>
        <w:rPr>
          <w:rFonts w:asciiTheme="minorHAnsi" w:hAnsiTheme="minorHAnsi" w:cstheme="minorHAnsi"/>
          <w:u w:val="single"/>
        </w:rPr>
      </w:pPr>
      <w:r w:rsidRPr="0091217C">
        <w:rPr>
          <w:rFonts w:asciiTheme="minorHAnsi" w:hAnsiTheme="minorHAnsi" w:cstheme="minorHAnsi"/>
          <w:b/>
          <w:bCs/>
          <w:u w:val="single"/>
        </w:rPr>
        <w:t>Medicine Supply Notification: Flixotide (</w:t>
      </w:r>
      <w:r w:rsidRPr="0091217C">
        <w:rPr>
          <w:rStyle w:val="Strong"/>
          <w:rFonts w:asciiTheme="minorHAnsi" w:hAnsiTheme="minorHAnsi" w:cstheme="minorHAnsi"/>
          <w:u w:val="single"/>
        </w:rPr>
        <w:t>fluticasone propionate) 100 microgram Accuhaler</w:t>
      </w:r>
    </w:p>
    <w:p w14:paraId="4AAC34FF" w14:textId="35B31217" w:rsidR="0091217C" w:rsidRPr="0091217C" w:rsidRDefault="0091217C" w:rsidP="0021712D">
      <w:pPr>
        <w:spacing w:line="240" w:lineRule="auto"/>
        <w:rPr>
          <w:rFonts w:asciiTheme="minorHAnsi" w:hAnsiTheme="minorHAnsi" w:cstheme="minorHAnsi"/>
          <w:b/>
          <w:bCs/>
        </w:rPr>
      </w:pPr>
      <w:r w:rsidRPr="0091217C">
        <w:rPr>
          <w:rFonts w:asciiTheme="minorHAnsi" w:hAnsiTheme="minorHAnsi" w:cstheme="minorHAnsi"/>
        </w:rPr>
        <w:t xml:space="preserve">The Department of Health and Social Care </w:t>
      </w:r>
      <w:r>
        <w:rPr>
          <w:rFonts w:asciiTheme="minorHAnsi" w:hAnsiTheme="minorHAnsi" w:cstheme="minorHAnsi"/>
        </w:rPr>
        <w:t xml:space="preserve">(DHSC) </w:t>
      </w:r>
      <w:r w:rsidRPr="0091217C">
        <w:rPr>
          <w:rFonts w:asciiTheme="minorHAnsi" w:hAnsiTheme="minorHAnsi" w:cstheme="minorHAnsi"/>
        </w:rPr>
        <w:t xml:space="preserve">has issued a Medicine Supply Notification for </w:t>
      </w:r>
      <w:r w:rsidRPr="0091217C">
        <w:rPr>
          <w:rStyle w:val="Strong"/>
          <w:rFonts w:asciiTheme="minorHAnsi" w:hAnsiTheme="minorHAnsi" w:cstheme="minorHAnsi"/>
          <w:b w:val="0"/>
          <w:bCs w:val="0"/>
        </w:rPr>
        <w:t>Flixotide</w:t>
      </w:r>
      <w:r w:rsidRPr="0091217C">
        <w:rPr>
          <w:rStyle w:val="Strong"/>
          <w:rFonts w:asciiTheme="minorHAnsi" w:hAnsiTheme="minorHAnsi" w:cstheme="minorHAnsi"/>
          <w:b w:val="0"/>
          <w:bCs w:val="0"/>
          <w:vertAlign w:val="superscript"/>
        </w:rPr>
        <w:t>®</w:t>
      </w:r>
      <w:r w:rsidRPr="0091217C">
        <w:rPr>
          <w:rStyle w:val="Strong"/>
          <w:rFonts w:asciiTheme="minorHAnsi" w:hAnsiTheme="minorHAnsi" w:cstheme="minorHAnsi"/>
          <w:b w:val="0"/>
          <w:bCs w:val="0"/>
        </w:rPr>
        <w:t xml:space="preserve"> (fluticasone propionate) 100 microgram Accuhaler. Read more here: </w:t>
      </w:r>
      <w:r w:rsidRPr="0091217C">
        <w:rPr>
          <w:rStyle w:val="Strong"/>
          <w:rFonts w:asciiTheme="minorHAnsi" w:hAnsiTheme="minorHAnsi" w:cstheme="minorHAnsi"/>
          <w:color w:val="4E3487"/>
          <w:u w:val="single"/>
        </w:rPr>
        <w:t>https://psnc.org.uk/our-news/medicine-supply-notification-flixotide-fluticasone-propionate-100-microgram-accuhaler/</w:t>
      </w:r>
    </w:p>
    <w:p w14:paraId="1EBC13FB" w14:textId="30574140" w:rsidR="0091217C" w:rsidRPr="0091217C" w:rsidRDefault="0091217C" w:rsidP="0021712D">
      <w:pPr>
        <w:spacing w:line="240" w:lineRule="auto"/>
        <w:rPr>
          <w:rFonts w:asciiTheme="minorHAnsi" w:hAnsiTheme="minorHAnsi" w:cstheme="minorHAnsi"/>
        </w:rPr>
      </w:pPr>
    </w:p>
    <w:p w14:paraId="1E6F0F84" w14:textId="04720AE8" w:rsidR="0091217C" w:rsidRDefault="0091217C" w:rsidP="0021712D">
      <w:pPr>
        <w:spacing w:line="240" w:lineRule="auto"/>
        <w:rPr>
          <w:rStyle w:val="Strong"/>
          <w:rFonts w:asciiTheme="minorHAnsi" w:hAnsiTheme="minorHAnsi" w:cstheme="minorHAnsi"/>
          <w:u w:val="single"/>
        </w:rPr>
      </w:pPr>
      <w:r w:rsidRPr="0091217C">
        <w:rPr>
          <w:rFonts w:asciiTheme="minorHAnsi" w:hAnsiTheme="minorHAnsi" w:cstheme="minorHAnsi"/>
          <w:b/>
          <w:bCs/>
          <w:u w:val="single"/>
        </w:rPr>
        <w:t>Medicine Supply Notification</w:t>
      </w:r>
      <w:r>
        <w:rPr>
          <w:rFonts w:asciiTheme="minorHAnsi" w:hAnsiTheme="minorHAnsi" w:cstheme="minorHAnsi"/>
          <w:b/>
          <w:bCs/>
          <w:u w:val="single"/>
        </w:rPr>
        <w:t xml:space="preserve"> Update</w:t>
      </w:r>
      <w:r w:rsidRPr="0091217C">
        <w:rPr>
          <w:rFonts w:asciiTheme="minorHAnsi" w:hAnsiTheme="minorHAnsi" w:cstheme="minorHAnsi"/>
          <w:b/>
          <w:bCs/>
          <w:u w:val="single"/>
        </w:rPr>
        <w:t>:</w:t>
      </w:r>
      <w:r w:rsidRPr="0091217C">
        <w:rPr>
          <w:rFonts w:asciiTheme="minorHAnsi" w:hAnsiTheme="minorHAnsi" w:cstheme="minorHAnsi"/>
          <w:u w:val="single"/>
        </w:rPr>
        <w:t xml:space="preserve"> </w:t>
      </w:r>
      <w:r w:rsidRPr="0091217C">
        <w:rPr>
          <w:rStyle w:val="Strong"/>
          <w:rFonts w:asciiTheme="minorHAnsi" w:hAnsiTheme="minorHAnsi" w:cstheme="minorHAnsi"/>
          <w:u w:val="single"/>
        </w:rPr>
        <w:t>Irbesartan/hydrochlorothiazide 150mg/12.5mg tablets</w:t>
      </w:r>
    </w:p>
    <w:p w14:paraId="288E7B96" w14:textId="0539E24D" w:rsidR="0091217C" w:rsidRPr="000B254E" w:rsidRDefault="0091217C" w:rsidP="0021712D">
      <w:pPr>
        <w:spacing w:line="240" w:lineRule="auto"/>
        <w:rPr>
          <w:rStyle w:val="Strong"/>
          <w:rFonts w:asciiTheme="minorHAnsi" w:hAnsiTheme="minorHAnsi" w:cstheme="minorHAnsi"/>
          <w:b w:val="0"/>
          <w:bCs w:val="0"/>
          <w:color w:val="4E3487"/>
          <w:u w:val="single"/>
        </w:rPr>
      </w:pPr>
      <w:r w:rsidRPr="000B254E">
        <w:rPr>
          <w:rFonts w:asciiTheme="minorHAnsi" w:hAnsiTheme="minorHAnsi" w:cstheme="minorHAnsi"/>
        </w:rPr>
        <w:t xml:space="preserve">DHSC </w:t>
      </w:r>
      <w:r w:rsidR="000B254E" w:rsidRPr="000B254E">
        <w:rPr>
          <w:rFonts w:asciiTheme="minorHAnsi" w:hAnsiTheme="minorHAnsi" w:cstheme="minorHAnsi"/>
        </w:rPr>
        <w:t xml:space="preserve">has issued a Medicine Supply Notification for </w:t>
      </w:r>
      <w:r w:rsidR="000B254E" w:rsidRPr="000B254E">
        <w:rPr>
          <w:rStyle w:val="Strong"/>
          <w:rFonts w:asciiTheme="minorHAnsi" w:hAnsiTheme="minorHAnsi" w:cstheme="minorHAnsi"/>
          <w:b w:val="0"/>
          <w:bCs w:val="0"/>
        </w:rPr>
        <w:t>Irbesartan/hydrochlorothiazide 150mg/12.5mg tablets</w:t>
      </w:r>
      <w:r w:rsidR="000B254E">
        <w:rPr>
          <w:rStyle w:val="Strong"/>
          <w:rFonts w:asciiTheme="minorHAnsi" w:hAnsiTheme="minorHAnsi" w:cstheme="minorHAnsi"/>
          <w:b w:val="0"/>
          <w:bCs w:val="0"/>
        </w:rPr>
        <w:t xml:space="preserve">. Resupply of this product is now expected to be in early June 2021. Read more here: </w:t>
      </w:r>
      <w:hyperlink r:id="rId14" w:history="1">
        <w:r w:rsidR="000B254E" w:rsidRPr="000B254E">
          <w:rPr>
            <w:rStyle w:val="Hyperlink"/>
            <w:rFonts w:asciiTheme="minorHAnsi" w:hAnsiTheme="minorHAnsi" w:cstheme="minorHAnsi"/>
            <w:b/>
            <w:bCs/>
            <w:color w:val="4E3487"/>
          </w:rPr>
          <w:t>https://psnc.org.uk/our-news/medicine-supply-notification-irbesartan-hydrochlorothiazide-150mg-12-5mg-tablets/</w:t>
        </w:r>
      </w:hyperlink>
    </w:p>
    <w:p w14:paraId="17342375" w14:textId="5CBCEC31" w:rsidR="000B254E" w:rsidRDefault="000B254E" w:rsidP="0021712D">
      <w:pPr>
        <w:spacing w:line="240" w:lineRule="auto"/>
        <w:rPr>
          <w:rStyle w:val="Strong"/>
          <w:rFonts w:asciiTheme="minorHAnsi" w:hAnsiTheme="minorHAnsi" w:cstheme="minorHAnsi"/>
          <w:b w:val="0"/>
          <w:bCs w:val="0"/>
          <w:color w:val="4E3487"/>
          <w:u w:val="single"/>
        </w:rPr>
      </w:pPr>
    </w:p>
    <w:p w14:paraId="56BE0DA2" w14:textId="5F316C5C" w:rsidR="000B254E" w:rsidRPr="000B254E" w:rsidRDefault="000B254E" w:rsidP="0021712D">
      <w:pPr>
        <w:spacing w:line="240" w:lineRule="auto"/>
        <w:rPr>
          <w:rStyle w:val="Strong"/>
          <w:rFonts w:asciiTheme="minorHAnsi" w:hAnsiTheme="minorHAnsi" w:cstheme="minorHAnsi"/>
          <w:u w:val="single"/>
        </w:rPr>
      </w:pPr>
      <w:r w:rsidRPr="000B254E">
        <w:rPr>
          <w:rStyle w:val="Strong"/>
          <w:rFonts w:asciiTheme="minorHAnsi" w:hAnsiTheme="minorHAnsi" w:cstheme="minorHAnsi"/>
          <w:u w:val="single"/>
        </w:rPr>
        <w:t>Sigma to provide COVID-19 tests as part of LFD distribution service</w:t>
      </w:r>
    </w:p>
    <w:p w14:paraId="4C43B67E" w14:textId="400E85D4" w:rsidR="000B254E" w:rsidRPr="000B254E" w:rsidRDefault="000B254E" w:rsidP="0021712D">
      <w:pPr>
        <w:spacing w:line="240" w:lineRule="auto"/>
        <w:rPr>
          <w:rFonts w:asciiTheme="minorHAnsi" w:hAnsiTheme="minorHAnsi" w:cstheme="minorHAnsi"/>
          <w:b/>
          <w:bCs/>
          <w:color w:val="4E3487"/>
          <w:u w:val="single"/>
        </w:rPr>
      </w:pPr>
      <w:r w:rsidRPr="000B254E">
        <w:rPr>
          <w:rFonts w:asciiTheme="minorHAnsi" w:hAnsiTheme="minorHAnsi" w:cstheme="minorHAnsi"/>
        </w:rPr>
        <w:t>NHS Test and Trace has confirmed that Sigma Pharmaceuticals has agreed to provide lateral flow device (LFD) test kits to community pharmacies as part of the NHS community pharmacy COVID-19 lateral flow device distribution service (Pharmacy Collect).</w:t>
      </w:r>
      <w:r>
        <w:rPr>
          <w:rFonts w:asciiTheme="minorHAnsi" w:hAnsiTheme="minorHAnsi" w:cstheme="minorHAnsi"/>
        </w:rPr>
        <w:t xml:space="preserve"> Read more here: </w:t>
      </w:r>
      <w:r w:rsidRPr="000B254E">
        <w:rPr>
          <w:rFonts w:asciiTheme="minorHAnsi" w:hAnsiTheme="minorHAnsi" w:cstheme="minorHAnsi"/>
          <w:b/>
          <w:bCs/>
          <w:color w:val="4E3487"/>
          <w:u w:val="single"/>
        </w:rPr>
        <w:t>https://psnc.org.uk/our-news/sigma-to-provide-covid-19-tests-as-part-of-lfd-distribution-service/</w:t>
      </w:r>
    </w:p>
    <w:p w14:paraId="5DD073DB" w14:textId="77777777" w:rsidR="0091217C" w:rsidRPr="0091217C" w:rsidRDefault="0091217C" w:rsidP="0021712D">
      <w:pPr>
        <w:spacing w:line="240" w:lineRule="auto"/>
        <w:rPr>
          <w:rStyle w:val="Hyperlink"/>
          <w:rFonts w:asciiTheme="minorHAnsi" w:hAnsiTheme="minorHAnsi" w:cstheme="minorHAnsi"/>
          <w:color w:val="auto"/>
        </w:rPr>
      </w:pPr>
    </w:p>
    <w:p w14:paraId="4E3C6B34" w14:textId="773AE0A9" w:rsidR="0061642A" w:rsidRPr="000B254E" w:rsidRDefault="000B254E" w:rsidP="0021712D">
      <w:pPr>
        <w:spacing w:line="240" w:lineRule="auto"/>
        <w:rPr>
          <w:rFonts w:asciiTheme="minorHAnsi" w:hAnsiTheme="minorHAnsi" w:cstheme="minorHAnsi"/>
          <w:b/>
          <w:bCs/>
          <w:u w:val="single"/>
          <w:lang w:val="en-US"/>
        </w:rPr>
      </w:pPr>
      <w:r w:rsidRPr="000B254E">
        <w:rPr>
          <w:rFonts w:asciiTheme="minorHAnsi" w:hAnsiTheme="minorHAnsi" w:cstheme="minorHAnsi"/>
          <w:b/>
          <w:bCs/>
          <w:u w:val="single"/>
          <w:lang w:val="en-US"/>
        </w:rPr>
        <w:t xml:space="preserve">Medicine Supply Notification Update: </w:t>
      </w:r>
      <w:r w:rsidRPr="000B254E">
        <w:rPr>
          <w:rStyle w:val="Strong"/>
          <w:rFonts w:asciiTheme="minorHAnsi" w:hAnsiTheme="minorHAnsi" w:cstheme="minorHAnsi"/>
          <w:u w:val="single"/>
        </w:rPr>
        <w:t>VFEND (Voriconazole) 40mg/ml powder for oral suspension</w:t>
      </w:r>
    </w:p>
    <w:p w14:paraId="58AD338E" w14:textId="1EB21F1E" w:rsidR="000B254E" w:rsidRPr="000B254E" w:rsidRDefault="000B254E" w:rsidP="0021712D">
      <w:pPr>
        <w:spacing w:line="240" w:lineRule="auto"/>
        <w:rPr>
          <w:rFonts w:asciiTheme="minorHAnsi" w:hAnsiTheme="minorHAnsi" w:cstheme="minorHAnsi"/>
          <w:color w:val="4E3487"/>
          <w:u w:val="single"/>
          <w:lang w:val="en-US"/>
        </w:rPr>
      </w:pPr>
      <w:r w:rsidRPr="000B254E">
        <w:rPr>
          <w:rFonts w:asciiTheme="minorHAnsi" w:hAnsiTheme="minorHAnsi" w:cstheme="minorHAnsi"/>
          <w:lang w:val="en-US"/>
        </w:rPr>
        <w:t xml:space="preserve">DHSC has issued a Medicine Supply Notification for </w:t>
      </w:r>
      <w:r w:rsidRPr="000B254E">
        <w:rPr>
          <w:rStyle w:val="Strong"/>
          <w:rFonts w:asciiTheme="minorHAnsi" w:hAnsiTheme="minorHAnsi" w:cstheme="minorHAnsi"/>
          <w:b w:val="0"/>
          <w:bCs w:val="0"/>
        </w:rPr>
        <w:t xml:space="preserve">VFEND (Voriconazole) 40mg/ml powder for oral suspension. Read more here: </w:t>
      </w:r>
      <w:r w:rsidRPr="000B254E">
        <w:rPr>
          <w:rStyle w:val="Strong"/>
          <w:rFonts w:asciiTheme="minorHAnsi" w:hAnsiTheme="minorHAnsi" w:cstheme="minorHAnsi"/>
          <w:color w:val="4E3487"/>
          <w:u w:val="single"/>
        </w:rPr>
        <w:t>https://psnc.org.uk/our-news/medicine-supply-notification-vfend-voriconazole-40mg-ml-powder-for-oral-suspension/</w:t>
      </w:r>
    </w:p>
    <w:p w14:paraId="497093F6" w14:textId="77777777" w:rsidR="000B254E" w:rsidRPr="000B254E" w:rsidRDefault="000B254E" w:rsidP="0021712D">
      <w:pPr>
        <w:pStyle w:val="NormalWeb"/>
        <w:spacing w:before="240" w:beforeAutospacing="0" w:after="0" w:afterAutospacing="0"/>
        <w:rPr>
          <w:rFonts w:asciiTheme="minorHAnsi" w:hAnsiTheme="minorHAnsi" w:cstheme="minorHAnsi"/>
          <w:b/>
          <w:bCs/>
          <w:sz w:val="22"/>
          <w:szCs w:val="22"/>
          <w:u w:val="single"/>
          <w:lang w:val="en-US" w:eastAsia="en-US"/>
        </w:rPr>
      </w:pPr>
      <w:r w:rsidRPr="000B254E">
        <w:rPr>
          <w:rFonts w:asciiTheme="minorHAnsi" w:hAnsiTheme="minorHAnsi" w:cstheme="minorHAnsi"/>
          <w:b/>
          <w:bCs/>
          <w:sz w:val="22"/>
          <w:szCs w:val="22"/>
          <w:u w:val="single"/>
          <w:lang w:val="en-US"/>
        </w:rPr>
        <w:t xml:space="preserve">Supply Disruption Alert: </w:t>
      </w:r>
      <w:r w:rsidRPr="000B254E">
        <w:rPr>
          <w:rFonts w:asciiTheme="minorHAnsi" w:hAnsiTheme="minorHAnsi" w:cstheme="minorHAnsi"/>
          <w:b/>
          <w:bCs/>
          <w:sz w:val="22"/>
          <w:szCs w:val="22"/>
          <w:u w:val="single"/>
          <w:lang w:val="en-US" w:eastAsia="en-US"/>
        </w:rPr>
        <w:t>Repaglinide 1mg and 2mg tablets</w:t>
      </w:r>
    </w:p>
    <w:p w14:paraId="06DDD77B" w14:textId="46C86A6A" w:rsidR="000B254E" w:rsidRPr="000B254E" w:rsidRDefault="000B254E" w:rsidP="0021712D">
      <w:pPr>
        <w:spacing w:line="240" w:lineRule="auto"/>
        <w:rPr>
          <w:rFonts w:asciiTheme="minorHAnsi" w:hAnsiTheme="minorHAnsi" w:cstheme="minorHAnsi"/>
          <w:b/>
          <w:bCs/>
          <w:color w:val="4E3487"/>
          <w:u w:val="single"/>
          <w:lang w:val="en-US"/>
        </w:rPr>
      </w:pPr>
      <w:r w:rsidRPr="000B254E">
        <w:rPr>
          <w:rFonts w:asciiTheme="minorHAnsi" w:hAnsiTheme="minorHAnsi" w:cstheme="minorHAnsi"/>
          <w:lang w:val="en-US"/>
        </w:rPr>
        <w:t xml:space="preserve">DHSC has issued a medicine supply disruption alert for Repaglinide 1mg and 2mg tablets. Read more here: </w:t>
      </w:r>
      <w:r w:rsidRPr="000B254E">
        <w:rPr>
          <w:rFonts w:asciiTheme="minorHAnsi" w:hAnsiTheme="minorHAnsi" w:cstheme="minorHAnsi"/>
          <w:b/>
          <w:bCs/>
          <w:color w:val="4E3487"/>
          <w:u w:val="single"/>
          <w:lang w:val="en-US"/>
        </w:rPr>
        <w:t xml:space="preserve">https://psnc.org.uk/our-news/supply-disruption-alert-repaglinide-1mg-and-2mg-tablets/ </w:t>
      </w:r>
    </w:p>
    <w:p w14:paraId="15ADD103" w14:textId="11A74EC2" w:rsidR="000B254E" w:rsidRDefault="000B254E" w:rsidP="0021712D">
      <w:pPr>
        <w:spacing w:line="240" w:lineRule="auto"/>
        <w:rPr>
          <w:rFonts w:asciiTheme="minorHAnsi" w:hAnsiTheme="minorHAnsi" w:cstheme="minorHAnsi"/>
          <w:color w:val="4E3487"/>
          <w:lang w:val="en-US"/>
        </w:rPr>
      </w:pPr>
    </w:p>
    <w:p w14:paraId="5D502CC0" w14:textId="67D1ADA5" w:rsidR="000B254E" w:rsidRDefault="000B254E" w:rsidP="0021712D">
      <w:pPr>
        <w:spacing w:line="240" w:lineRule="auto"/>
        <w:rPr>
          <w:rFonts w:asciiTheme="minorHAnsi" w:hAnsiTheme="minorHAnsi" w:cstheme="minorHAnsi"/>
          <w:b/>
          <w:bCs/>
          <w:u w:val="single"/>
          <w:lang w:val="en-US"/>
        </w:rPr>
      </w:pPr>
      <w:r>
        <w:rPr>
          <w:rFonts w:asciiTheme="minorHAnsi" w:hAnsiTheme="minorHAnsi" w:cstheme="minorHAnsi"/>
          <w:b/>
          <w:bCs/>
          <w:u w:val="single"/>
          <w:lang w:val="en-US"/>
        </w:rPr>
        <w:t>End of Smartcard access to MYS portal</w:t>
      </w:r>
    </w:p>
    <w:p w14:paraId="71FF825B" w14:textId="2EC03DD5" w:rsidR="000B254E" w:rsidRPr="000B254E" w:rsidRDefault="000B254E" w:rsidP="0021712D">
      <w:pPr>
        <w:spacing w:line="240" w:lineRule="auto"/>
        <w:rPr>
          <w:rFonts w:asciiTheme="minorHAnsi" w:hAnsiTheme="minorHAnsi" w:cstheme="minorHAnsi"/>
          <w:lang w:val="en-US"/>
        </w:rPr>
      </w:pPr>
      <w:r w:rsidRPr="000B254E">
        <w:rPr>
          <w:rFonts w:asciiTheme="minorHAnsi" w:hAnsiTheme="minorHAnsi" w:cstheme="minorHAnsi"/>
          <w:lang w:val="en-US"/>
        </w:rPr>
        <w:lastRenderedPageBreak/>
        <w:t xml:space="preserve">Smartcard access to the Manage Your Service (MYS) portal expired on Sunday 16th May 2021 at 11.59pm. Read more here: </w:t>
      </w:r>
      <w:r w:rsidRPr="000B254E">
        <w:rPr>
          <w:rFonts w:asciiTheme="minorHAnsi" w:hAnsiTheme="minorHAnsi" w:cstheme="minorHAnsi"/>
          <w:b/>
          <w:bCs/>
          <w:color w:val="4E3487"/>
          <w:u w:val="single"/>
          <w:lang w:val="en-US"/>
        </w:rPr>
        <w:t>https://psnc.org.uk/our-news/reminder-one-week-to-go-before-smartcard-access-to-mys-portal-ends/</w:t>
      </w:r>
    </w:p>
    <w:p w14:paraId="5A8531AE" w14:textId="596D0254" w:rsidR="000B254E" w:rsidRDefault="000B254E" w:rsidP="0021712D">
      <w:pPr>
        <w:spacing w:line="240" w:lineRule="auto"/>
        <w:rPr>
          <w:rFonts w:asciiTheme="minorHAnsi" w:hAnsiTheme="minorHAnsi" w:cstheme="minorHAnsi"/>
          <w:b/>
          <w:bCs/>
          <w:u w:val="single"/>
          <w:lang w:val="en-US"/>
        </w:rPr>
      </w:pPr>
      <w:r>
        <w:rPr>
          <w:rFonts w:asciiTheme="minorHAnsi" w:hAnsiTheme="minorHAnsi" w:cstheme="minorHAnsi"/>
          <w:b/>
          <w:bCs/>
          <w:u w:val="single"/>
          <w:lang w:val="en-US"/>
        </w:rPr>
        <w:t xml:space="preserve"> </w:t>
      </w:r>
    </w:p>
    <w:p w14:paraId="45FF34C5" w14:textId="0F07D040" w:rsidR="000B254E" w:rsidRDefault="000B254E" w:rsidP="0021712D">
      <w:pPr>
        <w:spacing w:line="240" w:lineRule="auto"/>
        <w:rPr>
          <w:rStyle w:val="Strong"/>
          <w:rFonts w:asciiTheme="minorHAnsi" w:hAnsiTheme="minorHAnsi" w:cstheme="minorHAnsi"/>
          <w:u w:val="single"/>
        </w:rPr>
      </w:pPr>
      <w:r w:rsidRPr="000B254E">
        <w:rPr>
          <w:rFonts w:asciiTheme="minorHAnsi" w:hAnsiTheme="minorHAnsi" w:cstheme="minorHAnsi"/>
          <w:b/>
          <w:bCs/>
          <w:u w:val="single"/>
          <w:lang w:val="en-US"/>
        </w:rPr>
        <w:t xml:space="preserve">Expiry of SSP011 for </w:t>
      </w:r>
      <w:r w:rsidRPr="000B254E">
        <w:rPr>
          <w:rStyle w:val="Strong"/>
          <w:rFonts w:asciiTheme="minorHAnsi" w:hAnsiTheme="minorHAnsi" w:cstheme="minorHAnsi"/>
          <w:u w:val="single"/>
        </w:rPr>
        <w:t>Competact 15mg/850mg tablets</w:t>
      </w:r>
    </w:p>
    <w:p w14:paraId="39CCE54B" w14:textId="13363FC3" w:rsidR="000B254E" w:rsidRPr="0021712D" w:rsidRDefault="0021712D" w:rsidP="0021712D">
      <w:pPr>
        <w:spacing w:line="240" w:lineRule="auto"/>
        <w:rPr>
          <w:rFonts w:asciiTheme="minorHAnsi" w:hAnsiTheme="minorHAnsi" w:cstheme="minorHAnsi"/>
          <w:color w:val="4E3487"/>
          <w:u w:val="single"/>
          <w:lang w:val="en-US"/>
        </w:rPr>
      </w:pPr>
      <w:r w:rsidRPr="0021712D">
        <w:rPr>
          <w:rFonts w:asciiTheme="minorHAnsi" w:hAnsiTheme="minorHAnsi" w:cstheme="minorHAnsi"/>
        </w:rPr>
        <w:t>The Serious Shortage Protocol, </w:t>
      </w:r>
      <w:r w:rsidRPr="0021712D">
        <w:rPr>
          <w:rStyle w:val="Strong"/>
          <w:rFonts w:asciiTheme="minorHAnsi" w:hAnsiTheme="minorHAnsi" w:cstheme="minorHAnsi"/>
          <w:b w:val="0"/>
          <w:bCs w:val="0"/>
        </w:rPr>
        <w:t>SSP011</w:t>
      </w:r>
      <w:r w:rsidRPr="0021712D">
        <w:rPr>
          <w:rFonts w:asciiTheme="minorHAnsi" w:hAnsiTheme="minorHAnsi" w:cstheme="minorHAnsi"/>
          <w:b/>
          <w:bCs/>
        </w:rPr>
        <w:t>,</w:t>
      </w:r>
      <w:r w:rsidRPr="0021712D">
        <w:rPr>
          <w:rStyle w:val="Strong"/>
          <w:rFonts w:asciiTheme="minorHAnsi" w:hAnsiTheme="minorHAnsi" w:cstheme="minorHAnsi"/>
          <w:b w:val="0"/>
          <w:bCs w:val="0"/>
        </w:rPr>
        <w:t xml:space="preserve"> for Competact 15mg/850mg tablets expired at 23.59pm on Friday 14 May 2021. Read more here: </w:t>
      </w:r>
      <w:r w:rsidRPr="0021712D">
        <w:rPr>
          <w:rStyle w:val="Strong"/>
          <w:rFonts w:asciiTheme="minorHAnsi" w:hAnsiTheme="minorHAnsi" w:cstheme="minorHAnsi"/>
          <w:color w:val="4E3487"/>
          <w:u w:val="single"/>
        </w:rPr>
        <w:t>https://psnc.org.uk/our-news/contractor-notice-expiry-of-ssp011-for-competact-15mg-850mg-tablets/</w:t>
      </w:r>
    </w:p>
    <w:p w14:paraId="38CA97BF" w14:textId="59D6BEAB" w:rsidR="000B254E" w:rsidRDefault="000B254E" w:rsidP="0021712D">
      <w:pPr>
        <w:spacing w:line="240" w:lineRule="auto"/>
        <w:rPr>
          <w:rFonts w:asciiTheme="minorHAnsi" w:hAnsiTheme="minorHAnsi" w:cstheme="minorHAnsi"/>
          <w:color w:val="4E3487"/>
          <w:lang w:val="en-US"/>
        </w:rPr>
      </w:pPr>
    </w:p>
    <w:p w14:paraId="1E5D800A" w14:textId="75961789" w:rsidR="0021712D" w:rsidRDefault="0021712D" w:rsidP="0021712D">
      <w:pPr>
        <w:spacing w:line="240" w:lineRule="auto"/>
        <w:rPr>
          <w:rFonts w:asciiTheme="minorHAnsi" w:hAnsiTheme="minorHAnsi" w:cstheme="minorHAnsi"/>
          <w:b/>
          <w:bCs/>
          <w:u w:val="single"/>
          <w:lang w:val="en-US"/>
        </w:rPr>
      </w:pPr>
      <w:r>
        <w:rPr>
          <w:rFonts w:asciiTheme="minorHAnsi" w:hAnsiTheme="minorHAnsi" w:cstheme="minorHAnsi"/>
          <w:b/>
          <w:bCs/>
          <w:u w:val="single"/>
          <w:lang w:val="en-US"/>
        </w:rPr>
        <w:t>Briefing MPs on the COVID-19 LFD distribution service</w:t>
      </w:r>
    </w:p>
    <w:p w14:paraId="41C49F17" w14:textId="799C054C" w:rsidR="000B254E" w:rsidRPr="0021712D" w:rsidRDefault="0021712D" w:rsidP="0021712D">
      <w:pPr>
        <w:spacing w:line="240" w:lineRule="auto"/>
        <w:rPr>
          <w:rFonts w:asciiTheme="minorHAnsi" w:hAnsiTheme="minorHAnsi" w:cstheme="minorHAnsi"/>
          <w:b/>
          <w:bCs/>
          <w:color w:val="4E3487"/>
          <w:u w:val="single"/>
          <w:lang w:val="en-US"/>
        </w:rPr>
      </w:pPr>
      <w:r w:rsidRPr="0021712D">
        <w:rPr>
          <w:rFonts w:asciiTheme="minorHAnsi" w:hAnsiTheme="minorHAnsi" w:cstheme="minorHAnsi"/>
          <w:shd w:val="clear" w:color="auto" w:fill="FFFFFF"/>
        </w:rPr>
        <w:t>As part of PSNC’s ongoing work to keep MPs informed about the value of community pharmacies, we will soon be highlighting to them some key information about the NHS community pharmacy COVID-19 LFD distribution service (or Pharmacy Collect). </w:t>
      </w:r>
      <w:r>
        <w:rPr>
          <w:rFonts w:asciiTheme="minorHAnsi" w:hAnsiTheme="minorHAnsi" w:cstheme="minorHAnsi"/>
          <w:shd w:val="clear" w:color="auto" w:fill="FFFFFF"/>
        </w:rPr>
        <w:t xml:space="preserve">Read more here: </w:t>
      </w:r>
      <w:r w:rsidRPr="0021712D">
        <w:rPr>
          <w:rFonts w:asciiTheme="minorHAnsi" w:hAnsiTheme="minorHAnsi" w:cstheme="minorHAnsi"/>
          <w:b/>
          <w:bCs/>
          <w:color w:val="4E3487"/>
          <w:u w:val="single"/>
          <w:shd w:val="clear" w:color="auto" w:fill="FFFFFF"/>
        </w:rPr>
        <w:t>https://psnc.org.uk/our-news/briefing-mps-on-the-c-19-lfd-distribution-service/</w:t>
      </w:r>
    </w:p>
    <w:p w14:paraId="4642E2E9" w14:textId="77777777" w:rsidR="000B254E" w:rsidRPr="000B254E" w:rsidRDefault="000B254E" w:rsidP="0021712D">
      <w:pPr>
        <w:spacing w:line="240" w:lineRule="auto"/>
        <w:rPr>
          <w:rFonts w:asciiTheme="minorHAnsi" w:hAnsiTheme="minorHAnsi" w:cstheme="minorHAnsi"/>
          <w:color w:val="4E3487"/>
          <w:lang w:val="en-US"/>
        </w:rPr>
      </w:pPr>
    </w:p>
    <w:p w14:paraId="61F54763" w14:textId="3F7BF51D" w:rsidR="54750988" w:rsidRDefault="122549B2" w:rsidP="0021712D">
      <w:pPr>
        <w:spacing w:line="240" w:lineRule="auto"/>
        <w:jc w:val="both"/>
      </w:pPr>
      <w:r w:rsidRPr="3264F588">
        <w:rPr>
          <w:rFonts w:ascii="Calibri" w:hAnsi="Calibri" w:cs="Calibri"/>
          <w:b/>
          <w:bCs/>
          <w:color w:val="5B518E"/>
          <w:sz w:val="28"/>
          <w:szCs w:val="28"/>
        </w:rPr>
        <w:t>COVID-19 Appendix</w:t>
      </w:r>
    </w:p>
    <w:p w14:paraId="590E9AEC" w14:textId="60158E36" w:rsidR="122549B2" w:rsidRDefault="122549B2" w:rsidP="0021712D">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21712D">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21712D">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5">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14:paraId="0CE5F239" w14:textId="7EF24FB3" w:rsidR="122549B2" w:rsidRDefault="122549B2" w:rsidP="0021712D">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6">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14:paraId="5C5FE05B" w14:textId="29E1320F" w:rsidR="122549B2" w:rsidRDefault="122549B2" w:rsidP="0021712D">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7">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21712D">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8">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9">
        <w:r w:rsidRPr="54750988">
          <w:rPr>
            <w:rStyle w:val="Hyperlink"/>
            <w:rFonts w:ascii="Calibri" w:hAnsi="Calibri" w:cs="Calibri"/>
            <w:b/>
            <w:bCs/>
            <w:color w:val="000000" w:themeColor="text1"/>
          </w:rPr>
          <w:t xml:space="preserve">NHSE&amp;I </w:t>
        </w:r>
      </w:hyperlink>
      <w:hyperlink r:id="rId20">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14:paraId="3F1A84DE" w14:textId="4738D1EA" w:rsidR="122549B2" w:rsidRDefault="122549B2" w:rsidP="00D44697">
      <w:pPr>
        <w:pStyle w:val="ListParagraph"/>
        <w:numPr>
          <w:ilvl w:val="0"/>
          <w:numId w:val="4"/>
        </w:numPr>
        <w:spacing w:line="240" w:lineRule="auto"/>
        <w:rPr>
          <w:rFonts w:ascii="Calibri" w:hAnsi="Calibri" w:cs="Calibri"/>
        </w:rPr>
      </w:pPr>
      <w:r w:rsidRPr="54750988">
        <w:rPr>
          <w:rFonts w:ascii="Calibri" w:hAnsi="Calibri" w:cs="Calibri"/>
        </w:rPr>
        <w:t xml:space="preserve">Where possible, display the </w:t>
      </w:r>
      <w:hyperlink r:id="rId21">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14:paraId="043FAF15" w14:textId="1F27EF65" w:rsidR="122549B2" w:rsidRDefault="122549B2" w:rsidP="0021712D">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21712D">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21712D">
      <w:pPr>
        <w:spacing w:line="240" w:lineRule="auto"/>
        <w:jc w:val="both"/>
        <w:rPr>
          <w:rFonts w:ascii="Calibri" w:hAnsi="Calibri" w:cs="Calibri"/>
        </w:rPr>
      </w:pPr>
    </w:p>
    <w:p w14:paraId="7C3AC6E9" w14:textId="1FF7A6A9" w:rsidR="122549B2" w:rsidRDefault="00F12281" w:rsidP="0021712D">
      <w:pPr>
        <w:spacing w:line="240" w:lineRule="auto"/>
        <w:jc w:val="both"/>
      </w:pPr>
      <w:hyperlink r:id="rId22">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21712D">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3">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21712D">
      <w:pPr>
        <w:spacing w:line="240" w:lineRule="auto"/>
        <w:jc w:val="both"/>
        <w:rPr>
          <w:rFonts w:ascii="Calibri" w:hAnsi="Calibri" w:cs="Calibri"/>
        </w:rPr>
      </w:pPr>
    </w:p>
    <w:p w14:paraId="739815DB" w14:textId="19A6E223" w:rsidR="122549B2" w:rsidRDefault="00F12281" w:rsidP="0021712D">
      <w:pPr>
        <w:spacing w:line="240" w:lineRule="auto"/>
        <w:jc w:val="both"/>
      </w:pPr>
      <w:hyperlink r:id="rId24">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0021712D">
      <w:pPr>
        <w:spacing w:line="240" w:lineRule="auto"/>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0021712D">
      <w:pPr>
        <w:spacing w:after="120" w:line="240" w:lineRule="auto"/>
        <w:jc w:val="both"/>
        <w:rPr>
          <w:rFonts w:ascii="Calibri" w:hAnsi="Calibri" w:cs="Calibri"/>
          <w:i/>
          <w:iCs/>
        </w:rPr>
      </w:pPr>
    </w:p>
    <w:sectPr w:rsidR="7A930170" w:rsidSect="00B364CE">
      <w:headerReference w:type="default" r:id="rId25"/>
      <w:footerReference w:type="default" r:id="rId26"/>
      <w:headerReference w:type="first" r:id="rId27"/>
      <w:footerReference w:type="first" r:id="rId28"/>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3DB7" w14:textId="77777777" w:rsidR="00F12281" w:rsidRDefault="00F12281" w:rsidP="00E472BA">
      <w:pPr>
        <w:spacing w:line="240" w:lineRule="auto"/>
      </w:pPr>
      <w:r>
        <w:separator/>
      </w:r>
    </w:p>
  </w:endnote>
  <w:endnote w:type="continuationSeparator" w:id="0">
    <w:p w14:paraId="047771A0" w14:textId="77777777" w:rsidR="00F12281" w:rsidRDefault="00F12281"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B787" w14:textId="77777777" w:rsidR="00F12281" w:rsidRDefault="00F12281" w:rsidP="00E472BA">
      <w:pPr>
        <w:spacing w:line="240" w:lineRule="auto"/>
      </w:pPr>
      <w:r>
        <w:separator/>
      </w:r>
    </w:p>
  </w:footnote>
  <w:footnote w:type="continuationSeparator" w:id="0">
    <w:p w14:paraId="3AF0AA34" w14:textId="77777777" w:rsidR="00F12281" w:rsidRDefault="00F12281"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3"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4934"/>
    <w:rsid w:val="00075CD5"/>
    <w:rsid w:val="00083D3B"/>
    <w:rsid w:val="00084D94"/>
    <w:rsid w:val="00084F69"/>
    <w:rsid w:val="000868D4"/>
    <w:rsid w:val="000873E6"/>
    <w:rsid w:val="00087625"/>
    <w:rsid w:val="00095379"/>
    <w:rsid w:val="000971C4"/>
    <w:rsid w:val="000B254E"/>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41E24"/>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12D"/>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5E6C"/>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5545"/>
    <w:rsid w:val="005C71B4"/>
    <w:rsid w:val="005D75F2"/>
    <w:rsid w:val="005F1400"/>
    <w:rsid w:val="005F68B7"/>
    <w:rsid w:val="0060698F"/>
    <w:rsid w:val="00611838"/>
    <w:rsid w:val="0061642A"/>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23ABD"/>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217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150AB"/>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07CE8"/>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6657"/>
    <w:rsid w:val="00BA7A4C"/>
    <w:rsid w:val="00BB0FF5"/>
    <w:rsid w:val="00BB1271"/>
    <w:rsid w:val="00BC2757"/>
    <w:rsid w:val="00BE140B"/>
    <w:rsid w:val="00BF2363"/>
    <w:rsid w:val="00C06A9F"/>
    <w:rsid w:val="00C1331A"/>
    <w:rsid w:val="00C15ECE"/>
    <w:rsid w:val="00C31BD1"/>
    <w:rsid w:val="00C33E18"/>
    <w:rsid w:val="00C36E62"/>
    <w:rsid w:val="00C438B8"/>
    <w:rsid w:val="00C50C34"/>
    <w:rsid w:val="00C535A6"/>
    <w:rsid w:val="00C53A95"/>
    <w:rsid w:val="00C540C1"/>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7D50"/>
    <w:rsid w:val="00CE1007"/>
    <w:rsid w:val="00CE2AFF"/>
    <w:rsid w:val="00CE43E3"/>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44697"/>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12281"/>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1764754">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6901863">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5583681">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38947197">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pharmacists-asked-to-take-part-in-self-care-forum-covid-19-survey/" TargetMode="External"/><Relationship Id="rId18" Type="http://schemas.openxmlformats.org/officeDocument/2006/relationships/hyperlink" Target="https://www.gov.uk/government/collections/wuhan-novel-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mpaignresources.phe.gov.uk/resources/campaigns/101/resources/5016" TargetMode="External"/><Relationship Id="rId7" Type="http://schemas.openxmlformats.org/officeDocument/2006/relationships/settings" Target="settings.xml"/><Relationship Id="rId12" Type="http://schemas.openxmlformats.org/officeDocument/2006/relationships/hyperlink" Target="https://imperial.eu.qualtrics.com/jfe/form/SV_1AL3nq2UJDCWgjH" TargetMode="External"/><Relationship Id="rId17" Type="http://schemas.openxmlformats.org/officeDocument/2006/relationships/hyperlink" Target="https://psnc.org.uk/contract-it/essential-service-clinical-governance/emergency-plan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nc.org.uk/the-healthcare-landscape/covid19/information-for-the-public/" TargetMode="External"/><Relationship Id="rId20" Type="http://schemas.openxmlformats.org/officeDocument/2006/relationships/hyperlink" Target="https://www.england.nhs.uk/coronavirus/primary-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have-you-completed-the-dms-doc/" TargetMode="External"/><Relationship Id="rId24" Type="http://schemas.openxmlformats.org/officeDocument/2006/relationships/hyperlink" Target="https://www.england.nhs.uk/coronavirus/primary-care/" TargetMode="External"/><Relationship Id="rId5" Type="http://schemas.openxmlformats.org/officeDocument/2006/relationships/numbering" Target="numbering.xml"/><Relationship Id="rId15" Type="http://schemas.openxmlformats.org/officeDocument/2006/relationships/hyperlink" Target="https://psnc.org.uk/the-healthcare-landscape/covid19/contractor-guidance-and-support/" TargetMode="External"/><Relationship Id="rId23" Type="http://schemas.openxmlformats.org/officeDocument/2006/relationships/hyperlink" Target="https://www.gov.uk/government/collections/wuhan-novel-coronavir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medicine-supply-notification-irbesartan-hydrochlorothiazide-150mg-12-5mg-tablets/" TargetMode="External"/><Relationship Id="rId22" Type="http://schemas.openxmlformats.org/officeDocument/2006/relationships/hyperlink" Target="https://www.gov.uk/government/collections/wuhan-novel-coronaviru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7</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3</cp:revision>
  <cp:lastPrinted>2018-01-08T12:15:00Z</cp:lastPrinted>
  <dcterms:created xsi:type="dcterms:W3CDTF">2021-05-16T14:55:00Z</dcterms:created>
  <dcterms:modified xsi:type="dcterms:W3CDTF">2021-05-16T14:59:00Z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