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49DC8DA9"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7603DA">
        <w:rPr>
          <w:rFonts w:ascii="Calibri" w:hAnsi="Calibri" w:cs="Calibri"/>
          <w:i/>
          <w:iCs/>
        </w:rPr>
        <w:t>11</w:t>
      </w:r>
      <w:r w:rsidR="00444379">
        <w:rPr>
          <w:rFonts w:ascii="Calibri" w:hAnsi="Calibri" w:cs="Calibri"/>
          <w:i/>
          <w:iCs/>
        </w:rPr>
        <w:t>th</w:t>
      </w:r>
      <w:r w:rsidR="00DA6B9C">
        <w:rPr>
          <w:rFonts w:ascii="Calibri" w:hAnsi="Calibri" w:cs="Calibri"/>
          <w:i/>
          <w:iCs/>
        </w:rPr>
        <w:t xml:space="preserve"> </w:t>
      </w:r>
      <w:proofErr w:type="gramStart"/>
      <w:r w:rsidR="00B36F1D">
        <w:rPr>
          <w:rFonts w:ascii="Calibri" w:hAnsi="Calibri" w:cs="Calibri"/>
          <w:i/>
          <w:iCs/>
        </w:rPr>
        <w:t>Ju</w:t>
      </w:r>
      <w:r w:rsidR="007603DA">
        <w:rPr>
          <w:rFonts w:ascii="Calibri" w:hAnsi="Calibri" w:cs="Calibri"/>
          <w:i/>
          <w:iCs/>
        </w:rPr>
        <w:t>ly</w:t>
      </w:r>
      <w:proofErr w:type="gramEnd"/>
    </w:p>
    <w:p w14:paraId="5A80D09B" w14:textId="77777777" w:rsidR="00507461" w:rsidRPr="00507461" w:rsidRDefault="00507461" w:rsidP="00507461">
      <w:pPr>
        <w:ind w:firstLine="720"/>
        <w:jc w:val="right"/>
        <w:rPr>
          <w:rFonts w:ascii="Calibri" w:hAnsi="Calibri" w:cs="Calibri"/>
          <w:i/>
          <w:iCs/>
          <w:vertAlign w:val="superscript"/>
        </w:rPr>
      </w:pPr>
    </w:p>
    <w:p w14:paraId="4965E160" w14:textId="6639D168" w:rsidR="57F7E37C" w:rsidRPr="003C4C1B" w:rsidRDefault="0A6D93E2" w:rsidP="006E6309">
      <w:pPr>
        <w:spacing w:line="240" w:lineRule="auto"/>
        <w:jc w:val="both"/>
      </w:pPr>
      <w:r w:rsidRPr="57F7E37C">
        <w:rPr>
          <w:rFonts w:ascii="Calibri" w:hAnsi="Calibri" w:cs="Calibri"/>
          <w:b/>
          <w:bCs/>
          <w:u w:val="single"/>
        </w:rPr>
        <w:t>Last week’s news stories:</w:t>
      </w:r>
    </w:p>
    <w:p w14:paraId="2460C39C" w14:textId="157C8B38" w:rsidR="00241E61" w:rsidRDefault="00241E61" w:rsidP="006E6309">
      <w:pPr>
        <w:spacing w:line="240" w:lineRule="auto"/>
        <w:jc w:val="both"/>
        <w:rPr>
          <w:rFonts w:asciiTheme="minorHAnsi" w:hAnsiTheme="minorHAnsi" w:cstheme="minorHAnsi"/>
          <w:b/>
          <w:bCs/>
          <w:u w:val="single"/>
        </w:rPr>
      </w:pPr>
    </w:p>
    <w:p w14:paraId="7DAD099C" w14:textId="7F5FC20C" w:rsidR="004303C1" w:rsidRDefault="007603DA" w:rsidP="00ED0BB4">
      <w:pPr>
        <w:spacing w:line="240" w:lineRule="auto"/>
        <w:jc w:val="both"/>
        <w:rPr>
          <w:rFonts w:asciiTheme="minorHAnsi" w:hAnsiTheme="minorHAnsi" w:cstheme="minorHAnsi"/>
          <w:b/>
          <w:bCs/>
          <w:u w:val="single"/>
        </w:rPr>
      </w:pPr>
      <w:r>
        <w:rPr>
          <w:rFonts w:asciiTheme="minorHAnsi" w:hAnsiTheme="minorHAnsi" w:cstheme="minorHAnsi"/>
          <w:b/>
          <w:bCs/>
          <w:u w:val="single"/>
        </w:rPr>
        <w:t>3 weeks left to complete CPAF 2021/22</w:t>
      </w:r>
    </w:p>
    <w:p w14:paraId="17A44AFC" w14:textId="6DD1B90F" w:rsidR="007603DA" w:rsidRPr="007603DA" w:rsidRDefault="007603DA" w:rsidP="00ED0BB4">
      <w:pPr>
        <w:spacing w:line="240" w:lineRule="auto"/>
        <w:jc w:val="both"/>
        <w:rPr>
          <w:rFonts w:asciiTheme="minorHAnsi" w:hAnsiTheme="minorHAnsi" w:cstheme="minorHAnsi"/>
          <w:b/>
          <w:bCs/>
          <w:u w:val="single"/>
        </w:rPr>
      </w:pPr>
      <w:r w:rsidRPr="007603DA">
        <w:rPr>
          <w:rFonts w:asciiTheme="minorHAnsi" w:hAnsiTheme="minorHAnsi" w:cstheme="minorHAnsi"/>
          <w:shd w:val="clear" w:color="auto" w:fill="FFFFFF"/>
        </w:rPr>
        <w:t>Community pharmacy contractors are reminded that they have until </w:t>
      </w:r>
      <w:r w:rsidRPr="007603DA">
        <w:rPr>
          <w:rStyle w:val="Strong"/>
          <w:rFonts w:asciiTheme="minorHAnsi" w:hAnsiTheme="minorHAnsi" w:cstheme="minorHAnsi"/>
          <w:shd w:val="clear" w:color="auto" w:fill="FFFFFF"/>
        </w:rPr>
        <w:t>midnight on Saturday 24th July 2021</w:t>
      </w:r>
      <w:r w:rsidRPr="007603DA">
        <w:rPr>
          <w:rFonts w:asciiTheme="minorHAnsi" w:hAnsiTheme="minorHAnsi" w:cstheme="minorHAnsi"/>
          <w:shd w:val="clear" w:color="auto" w:fill="FFFFFF"/>
        </w:rPr>
        <w:t> to complete the Community Pharmacy Assurance Framework (CPAF) screening questionnaire for each of their NHS pharmacies: 3,558 pharmacies have already done so.</w:t>
      </w:r>
      <w:r w:rsidRPr="007603DA">
        <w:rPr>
          <w:rFonts w:asciiTheme="minorHAnsi" w:hAnsiTheme="minorHAnsi" w:cstheme="minorHAnsi"/>
        </w:rPr>
        <w:t xml:space="preserve"> </w:t>
      </w:r>
      <w:r w:rsidRPr="007603DA">
        <w:rPr>
          <w:rFonts w:asciiTheme="minorHAnsi" w:hAnsiTheme="minorHAnsi" w:cstheme="minorHAnsi"/>
          <w:shd w:val="clear" w:color="auto" w:fill="FFFFFF"/>
        </w:rPr>
        <w:t>Contractors yet to complete the questionnaire should read </w:t>
      </w:r>
      <w:hyperlink r:id="rId11" w:history="1">
        <w:r w:rsidRPr="007603DA">
          <w:rPr>
            <w:rStyle w:val="Strong"/>
            <w:rFonts w:asciiTheme="minorHAnsi" w:hAnsiTheme="minorHAnsi" w:cstheme="minorHAnsi"/>
            <w:color w:val="4E3487"/>
            <w:u w:val="single"/>
            <w:shd w:val="clear" w:color="auto" w:fill="FFFFFF"/>
          </w:rPr>
          <w:t>PSNC's Briefing on the CPAF screening process for 2021/22</w:t>
        </w:r>
      </w:hyperlink>
      <w:r w:rsidRPr="007603DA">
        <w:rPr>
          <w:rFonts w:asciiTheme="minorHAnsi" w:hAnsiTheme="minorHAnsi" w:cstheme="minorHAnsi"/>
          <w:shd w:val="clear" w:color="auto" w:fill="FFFFFF"/>
        </w:rPr>
        <w:t>,</w:t>
      </w:r>
      <w:r w:rsidRPr="007603DA">
        <w:rPr>
          <w:rFonts w:asciiTheme="minorHAnsi" w:hAnsiTheme="minorHAnsi" w:cstheme="minorHAnsi"/>
          <w:color w:val="303030"/>
          <w:shd w:val="clear" w:color="auto" w:fill="FFFFFF"/>
        </w:rPr>
        <w:t xml:space="preserve"> </w:t>
      </w:r>
      <w:r w:rsidRPr="007603DA">
        <w:rPr>
          <w:rFonts w:asciiTheme="minorHAnsi" w:hAnsiTheme="minorHAnsi" w:cstheme="minorHAnsi"/>
          <w:shd w:val="clear" w:color="auto" w:fill="FFFFFF"/>
        </w:rPr>
        <w:t>as this explains the changes from the last CPAF process and provides guidance on the new questions.</w:t>
      </w:r>
      <w:r w:rsidRPr="007603DA">
        <w:rPr>
          <w:rFonts w:asciiTheme="minorHAnsi" w:hAnsiTheme="minorHAnsi" w:cstheme="minorHAnsi"/>
          <w:shd w:val="clear" w:color="auto" w:fill="FFFFFF"/>
        </w:rPr>
        <w:t xml:space="preserve"> Read more here: </w:t>
      </w:r>
      <w:proofErr w:type="gramStart"/>
      <w:r w:rsidRPr="005079E4">
        <w:rPr>
          <w:rFonts w:asciiTheme="minorHAnsi" w:hAnsiTheme="minorHAnsi" w:cstheme="minorHAnsi"/>
          <w:b/>
          <w:bCs/>
          <w:color w:val="4E3487"/>
          <w:u w:val="single"/>
          <w:shd w:val="clear" w:color="auto" w:fill="FFFFFF"/>
        </w:rPr>
        <w:t>https://psnc.org.uk/our-news/3-weeks-left-to-complete-cpaf-2021-2022/</w:t>
      </w:r>
      <w:proofErr w:type="gramEnd"/>
    </w:p>
    <w:p w14:paraId="26E3291C" w14:textId="326330E2" w:rsidR="007603DA" w:rsidRDefault="007603DA" w:rsidP="00ED0BB4">
      <w:pPr>
        <w:spacing w:line="240" w:lineRule="auto"/>
        <w:jc w:val="both"/>
        <w:rPr>
          <w:rFonts w:asciiTheme="minorHAnsi" w:hAnsiTheme="minorHAnsi" w:cstheme="minorHAnsi"/>
          <w:b/>
          <w:bCs/>
          <w:u w:val="single"/>
        </w:rPr>
      </w:pPr>
    </w:p>
    <w:p w14:paraId="2257234C" w14:textId="576EC3D4" w:rsidR="007603DA" w:rsidRDefault="007603DA" w:rsidP="00ED0BB4">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COVID-19 Costs: claiming period </w:t>
      </w:r>
      <w:proofErr w:type="gramStart"/>
      <w:r>
        <w:rPr>
          <w:rFonts w:asciiTheme="minorHAnsi" w:hAnsiTheme="minorHAnsi" w:cstheme="minorHAnsi"/>
          <w:b/>
          <w:bCs/>
          <w:u w:val="single"/>
        </w:rPr>
        <w:t>begins</w:t>
      </w:r>
      <w:proofErr w:type="gramEnd"/>
    </w:p>
    <w:p w14:paraId="1DC7C686" w14:textId="74A24596" w:rsidR="007603DA" w:rsidRPr="007603DA" w:rsidRDefault="007603DA" w:rsidP="00ED0BB4">
      <w:pPr>
        <w:spacing w:line="240" w:lineRule="auto"/>
        <w:jc w:val="both"/>
        <w:rPr>
          <w:rFonts w:asciiTheme="minorHAnsi" w:hAnsiTheme="minorHAnsi" w:cstheme="minorHAnsi"/>
          <w:shd w:val="clear" w:color="auto" w:fill="FFFFFF"/>
        </w:rPr>
      </w:pPr>
      <w:r w:rsidRPr="007603DA">
        <w:rPr>
          <w:rFonts w:asciiTheme="minorHAnsi" w:hAnsiTheme="minorHAnsi" w:cstheme="minorHAnsi"/>
          <w:shd w:val="clear" w:color="auto" w:fill="FFFFFF"/>
        </w:rPr>
        <w:t>The six-week period for community pharmacy contractors to claim for the extra costs they incurred due to the COVID-19 pandemic </w:t>
      </w:r>
      <w:r w:rsidRPr="007603DA">
        <w:rPr>
          <w:rFonts w:asciiTheme="minorHAnsi" w:hAnsiTheme="minorHAnsi" w:cstheme="minorHAnsi"/>
          <w:shd w:val="clear" w:color="auto" w:fill="FFFFFF"/>
        </w:rPr>
        <w:t xml:space="preserve">began on </w:t>
      </w:r>
      <w:r w:rsidRPr="007603DA">
        <w:rPr>
          <w:rStyle w:val="Strong"/>
          <w:rFonts w:asciiTheme="minorHAnsi" w:hAnsiTheme="minorHAnsi" w:cstheme="minorHAnsi"/>
          <w:shd w:val="clear" w:color="auto" w:fill="FFFFFF"/>
        </w:rPr>
        <w:t>Monday 5th July 2021</w:t>
      </w:r>
      <w:r w:rsidRPr="007603DA">
        <w:rPr>
          <w:rFonts w:asciiTheme="minorHAnsi" w:hAnsiTheme="minorHAnsi" w:cstheme="minorHAnsi"/>
          <w:shd w:val="clear" w:color="auto" w:fill="FFFFFF"/>
        </w:rPr>
        <w:t>.</w:t>
      </w:r>
      <w:r w:rsidRPr="007603DA">
        <w:rPr>
          <w:rFonts w:asciiTheme="minorHAnsi" w:hAnsiTheme="minorHAnsi" w:cstheme="minorHAnsi"/>
        </w:rPr>
        <w:t xml:space="preserve"> </w:t>
      </w:r>
      <w:r w:rsidRPr="007603DA">
        <w:rPr>
          <w:rFonts w:asciiTheme="minorHAnsi" w:hAnsiTheme="minorHAnsi" w:cstheme="minorHAnsi"/>
          <w:shd w:val="clear" w:color="auto" w:fill="FFFFFF"/>
        </w:rPr>
        <w:t>Under the </w:t>
      </w:r>
      <w:hyperlink r:id="rId12" w:tgtFrame="_blank" w:history="1">
        <w:r w:rsidRPr="007603DA">
          <w:rPr>
            <w:rStyle w:val="Hyperlink"/>
            <w:rFonts w:asciiTheme="minorHAnsi" w:hAnsiTheme="minorHAnsi" w:cstheme="minorHAnsi"/>
            <w:b/>
            <w:bCs/>
            <w:color w:val="4E3487"/>
            <w:shd w:val="clear" w:color="auto" w:fill="FFFFFF"/>
          </w:rPr>
          <w:t>deal reached between PSNC and HM Government</w:t>
        </w:r>
      </w:hyperlink>
      <w:r>
        <w:rPr>
          <w:rFonts w:asciiTheme="minorHAnsi" w:hAnsiTheme="minorHAnsi" w:cstheme="minorHAnsi"/>
        </w:rPr>
        <w:t>,</w:t>
      </w:r>
      <w:r w:rsidRPr="007603DA">
        <w:rPr>
          <w:rFonts w:asciiTheme="minorHAnsi" w:hAnsiTheme="minorHAnsi" w:cstheme="minorHAnsi"/>
          <w:color w:val="303030"/>
          <w:shd w:val="clear" w:color="auto" w:fill="FFFFFF"/>
        </w:rPr>
        <w:t xml:space="preserve"> </w:t>
      </w:r>
      <w:r w:rsidRPr="007603DA">
        <w:rPr>
          <w:rFonts w:asciiTheme="minorHAnsi" w:hAnsiTheme="minorHAnsi" w:cstheme="minorHAnsi"/>
          <w:shd w:val="clear" w:color="auto" w:fill="FFFFFF"/>
        </w:rPr>
        <w:t>contractors can claim for specific categories of COVID-19 related costs incurred between </w:t>
      </w:r>
      <w:r w:rsidRPr="007603DA">
        <w:rPr>
          <w:rStyle w:val="Strong"/>
          <w:rFonts w:asciiTheme="minorHAnsi" w:hAnsiTheme="minorHAnsi" w:cstheme="minorHAnsi"/>
          <w:shd w:val="clear" w:color="auto" w:fill="FFFFFF"/>
        </w:rPr>
        <w:t>1st March 2020 and 31st March 2021</w:t>
      </w:r>
      <w:r w:rsidRPr="007603DA">
        <w:rPr>
          <w:rFonts w:asciiTheme="minorHAnsi" w:hAnsiTheme="minorHAnsi" w:cstheme="minorHAnsi"/>
          <w:shd w:val="clear" w:color="auto" w:fill="FFFFFF"/>
        </w:rPr>
        <w:t> for the delivery of NHS pharmaceutical services using an agreed claim form provided by the NHS Business Services Authority (NHSBSA).</w:t>
      </w:r>
      <w:r w:rsidRPr="007603DA">
        <w:rPr>
          <w:rFonts w:asciiTheme="minorHAnsi" w:hAnsiTheme="minorHAnsi" w:cstheme="minorHAnsi"/>
          <w:shd w:val="clear" w:color="auto" w:fill="FFFFFF"/>
        </w:rPr>
        <w:t xml:space="preserve"> Read more here: </w:t>
      </w:r>
      <w:proofErr w:type="gramStart"/>
      <w:r w:rsidRPr="005079E4">
        <w:rPr>
          <w:rFonts w:asciiTheme="minorHAnsi" w:hAnsiTheme="minorHAnsi" w:cstheme="minorHAnsi"/>
          <w:b/>
          <w:bCs/>
          <w:color w:val="4E3487"/>
          <w:u w:val="single"/>
          <w:shd w:val="clear" w:color="auto" w:fill="FFFFFF"/>
        </w:rPr>
        <w:t>https://psnc.org.uk/our-news/covid-19-costs-claiming-period-begins/</w:t>
      </w:r>
      <w:proofErr w:type="gramEnd"/>
    </w:p>
    <w:p w14:paraId="65240866" w14:textId="77777777" w:rsidR="007603DA" w:rsidRPr="007603DA" w:rsidRDefault="007603DA" w:rsidP="00ED0BB4">
      <w:pPr>
        <w:spacing w:line="240" w:lineRule="auto"/>
        <w:jc w:val="both"/>
        <w:rPr>
          <w:rFonts w:asciiTheme="minorHAnsi" w:hAnsiTheme="minorHAnsi" w:cstheme="minorHAnsi"/>
          <w:b/>
          <w:bCs/>
          <w:u w:val="single"/>
        </w:rPr>
      </w:pPr>
    </w:p>
    <w:p w14:paraId="4AACE886" w14:textId="61F838F2" w:rsidR="007603DA" w:rsidRDefault="007603DA" w:rsidP="00ED0BB4">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Deadline extended to claim for the GP CPCS engagement and set-up </w:t>
      </w:r>
      <w:proofErr w:type="gramStart"/>
      <w:r>
        <w:rPr>
          <w:rFonts w:asciiTheme="minorHAnsi" w:hAnsiTheme="minorHAnsi" w:cstheme="minorHAnsi"/>
          <w:b/>
          <w:bCs/>
          <w:u w:val="single"/>
        </w:rPr>
        <w:t>payment</w:t>
      </w:r>
      <w:proofErr w:type="gramEnd"/>
    </w:p>
    <w:p w14:paraId="0AAD972D" w14:textId="0A8D017A" w:rsidR="007603DA" w:rsidRPr="00CF621C" w:rsidRDefault="007603DA" w:rsidP="00ED0BB4">
      <w:pPr>
        <w:spacing w:line="240" w:lineRule="auto"/>
        <w:jc w:val="both"/>
        <w:rPr>
          <w:rFonts w:asciiTheme="minorHAnsi" w:hAnsiTheme="minorHAnsi" w:cstheme="minorHAnsi"/>
          <w:b/>
          <w:bCs/>
          <w:u w:val="single"/>
        </w:rPr>
      </w:pPr>
      <w:r w:rsidRPr="00CF621C">
        <w:rPr>
          <w:rFonts w:asciiTheme="minorHAnsi" w:hAnsiTheme="minorHAnsi" w:cstheme="minorHAnsi"/>
          <w:shd w:val="clear" w:color="auto" w:fill="FFFFFF"/>
        </w:rPr>
        <w:t>The deadline for claiming the £300 engagement and set up payment for the GP Community Pharmacist Consultation Service (GP CPCS)</w:t>
      </w:r>
      <w:r w:rsidRPr="00CF621C">
        <w:rPr>
          <w:rFonts w:asciiTheme="minorHAnsi" w:hAnsiTheme="minorHAnsi" w:cstheme="minorHAnsi"/>
          <w:shd w:val="clear" w:color="auto" w:fill="FFFFFF"/>
        </w:rPr>
        <w:t xml:space="preserve"> </w:t>
      </w:r>
      <w:r w:rsidR="00CF621C" w:rsidRPr="00CF621C">
        <w:rPr>
          <w:rFonts w:asciiTheme="minorHAnsi" w:hAnsiTheme="minorHAnsi" w:cstheme="minorHAnsi"/>
          <w:shd w:val="clear" w:color="auto" w:fill="FFFFFF"/>
        </w:rPr>
        <w:t>was</w:t>
      </w:r>
      <w:r w:rsidR="00CF621C" w:rsidRPr="00CF621C">
        <w:rPr>
          <w:rFonts w:asciiTheme="minorHAnsi" w:hAnsiTheme="minorHAnsi" w:cstheme="minorHAnsi"/>
          <w:shd w:val="clear" w:color="auto" w:fill="FFFFFF"/>
        </w:rPr>
        <w:t> extended until </w:t>
      </w:r>
      <w:r w:rsidR="00CF621C" w:rsidRPr="00CF621C">
        <w:rPr>
          <w:rStyle w:val="Strong"/>
          <w:rFonts w:asciiTheme="minorHAnsi" w:hAnsiTheme="minorHAnsi" w:cstheme="minorHAnsi"/>
          <w:shd w:val="clear" w:color="auto" w:fill="FFFFFF"/>
        </w:rPr>
        <w:t>11.59pm on Wednesday 7th July 2021</w:t>
      </w:r>
      <w:r w:rsidR="00CF621C" w:rsidRPr="00CF621C">
        <w:rPr>
          <w:rFonts w:asciiTheme="minorHAnsi" w:hAnsiTheme="minorHAnsi" w:cstheme="minorHAnsi"/>
          <w:shd w:val="clear" w:color="auto" w:fill="FFFFFF"/>
        </w:rPr>
        <w:t>.</w:t>
      </w:r>
    </w:p>
    <w:p w14:paraId="39DFE4B7" w14:textId="22C254D3" w:rsidR="007603DA" w:rsidRDefault="007603DA" w:rsidP="00ED0BB4">
      <w:pPr>
        <w:spacing w:line="240" w:lineRule="auto"/>
        <w:jc w:val="both"/>
        <w:rPr>
          <w:rFonts w:asciiTheme="minorHAnsi" w:hAnsiTheme="minorHAnsi" w:cstheme="minorHAnsi"/>
          <w:b/>
          <w:bCs/>
          <w:u w:val="single"/>
        </w:rPr>
      </w:pPr>
    </w:p>
    <w:p w14:paraId="143CE09F" w14:textId="42AA54D4" w:rsidR="00CF621C" w:rsidRDefault="00CF621C" w:rsidP="00ED0BB4">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MHRA Class 4 Medicines Defect Information: </w:t>
      </w:r>
      <w:proofErr w:type="spellStart"/>
      <w:r>
        <w:rPr>
          <w:rFonts w:asciiTheme="minorHAnsi" w:hAnsiTheme="minorHAnsi" w:cstheme="minorHAnsi"/>
          <w:b/>
          <w:bCs/>
          <w:u w:val="single"/>
        </w:rPr>
        <w:t>Tetralysal</w:t>
      </w:r>
      <w:proofErr w:type="spellEnd"/>
      <w:r>
        <w:rPr>
          <w:rFonts w:asciiTheme="minorHAnsi" w:hAnsiTheme="minorHAnsi" w:cstheme="minorHAnsi"/>
          <w:b/>
          <w:bCs/>
          <w:u w:val="single"/>
        </w:rPr>
        <w:t xml:space="preserve"> 300mg Hard Capsules</w:t>
      </w:r>
    </w:p>
    <w:p w14:paraId="48C9E9A7" w14:textId="0632AB74" w:rsidR="007603DA" w:rsidRPr="005079E4" w:rsidRDefault="00CF621C" w:rsidP="00ED0BB4">
      <w:pPr>
        <w:spacing w:line="240" w:lineRule="auto"/>
        <w:jc w:val="both"/>
        <w:rPr>
          <w:rFonts w:asciiTheme="minorHAnsi" w:hAnsiTheme="minorHAnsi" w:cstheme="minorHAnsi"/>
          <w:b/>
          <w:bCs/>
          <w:color w:val="4E3487"/>
          <w:u w:val="single"/>
        </w:rPr>
      </w:pPr>
      <w:r w:rsidRPr="00CF621C">
        <w:rPr>
          <w:rFonts w:asciiTheme="minorHAnsi" w:hAnsiTheme="minorHAnsi" w:cstheme="minorHAnsi"/>
          <w:shd w:val="clear" w:color="auto" w:fill="FFFFFF"/>
        </w:rPr>
        <w:t>Galderma UK would like to notify pharmacy teams of an error identified with regards to specific batches of </w:t>
      </w:r>
      <w:proofErr w:type="spellStart"/>
      <w:r w:rsidRPr="00CF621C">
        <w:rPr>
          <w:rStyle w:val="Strong"/>
          <w:rFonts w:asciiTheme="minorHAnsi" w:hAnsiTheme="minorHAnsi" w:cstheme="minorHAnsi"/>
          <w:shd w:val="clear" w:color="auto" w:fill="FFFFFF"/>
        </w:rPr>
        <w:t>Tetralysal</w:t>
      </w:r>
      <w:proofErr w:type="spellEnd"/>
      <w:r w:rsidRPr="00CF621C">
        <w:rPr>
          <w:rStyle w:val="Strong"/>
          <w:rFonts w:asciiTheme="minorHAnsi" w:hAnsiTheme="minorHAnsi" w:cstheme="minorHAnsi"/>
          <w:shd w:val="clear" w:color="auto" w:fill="FFFFFF"/>
        </w:rPr>
        <w:t xml:space="preserve"> 300mg Hard Capsules</w:t>
      </w:r>
      <w:r w:rsidRPr="00CF621C">
        <w:rPr>
          <w:rFonts w:asciiTheme="minorHAnsi" w:hAnsiTheme="minorHAnsi" w:cstheme="minorHAnsi"/>
          <w:shd w:val="clear" w:color="auto" w:fill="FFFFFF"/>
        </w:rPr>
        <w:t>, sold and distributed in the UK.</w:t>
      </w:r>
      <w:r w:rsidRPr="00CF621C">
        <w:rPr>
          <w:rFonts w:asciiTheme="minorHAnsi" w:hAnsiTheme="minorHAnsi" w:cstheme="minorHAnsi"/>
          <w:shd w:val="clear" w:color="auto" w:fill="FFFFFF"/>
        </w:rPr>
        <w:t xml:space="preserve"> Read more here: </w:t>
      </w:r>
      <w:proofErr w:type="gramStart"/>
      <w:r w:rsidRPr="005079E4">
        <w:rPr>
          <w:rFonts w:asciiTheme="minorHAnsi" w:hAnsiTheme="minorHAnsi" w:cstheme="minorHAnsi"/>
          <w:b/>
          <w:bCs/>
          <w:color w:val="4E3487"/>
          <w:u w:val="single"/>
          <w:shd w:val="clear" w:color="auto" w:fill="FFFFFF"/>
        </w:rPr>
        <w:t>https://psnc.org.uk/our-news/mhra-class-4-medicines-defect-information-tetralysal-300mg-hard-capsules-pl-10590-0019/</w:t>
      </w:r>
      <w:proofErr w:type="gramEnd"/>
    </w:p>
    <w:p w14:paraId="28058300" w14:textId="767F6333" w:rsidR="007603DA" w:rsidRDefault="007603DA" w:rsidP="00ED0BB4">
      <w:pPr>
        <w:spacing w:line="240" w:lineRule="auto"/>
        <w:jc w:val="both"/>
        <w:rPr>
          <w:rFonts w:asciiTheme="minorHAnsi" w:hAnsiTheme="minorHAnsi" w:cstheme="minorHAnsi"/>
          <w:b/>
          <w:bCs/>
          <w:u w:val="single"/>
        </w:rPr>
      </w:pPr>
    </w:p>
    <w:p w14:paraId="100D9151" w14:textId="2D0FC659" w:rsidR="007603DA" w:rsidRDefault="00CF621C" w:rsidP="00ED0BB4">
      <w:pPr>
        <w:spacing w:line="240" w:lineRule="auto"/>
        <w:jc w:val="both"/>
        <w:rPr>
          <w:rFonts w:asciiTheme="minorHAnsi" w:hAnsiTheme="minorHAnsi" w:cstheme="minorHAnsi"/>
          <w:b/>
          <w:bCs/>
          <w:u w:val="single"/>
        </w:rPr>
      </w:pPr>
      <w:r>
        <w:rPr>
          <w:rFonts w:asciiTheme="minorHAnsi" w:hAnsiTheme="minorHAnsi" w:cstheme="minorHAnsi"/>
          <w:b/>
          <w:bCs/>
          <w:u w:val="single"/>
        </w:rPr>
        <w:t>PSNC webinar on Dispensing Controlled Drugs</w:t>
      </w:r>
    </w:p>
    <w:p w14:paraId="5139164E" w14:textId="2343B127" w:rsidR="00CF621C" w:rsidRPr="005079E4" w:rsidRDefault="00CF621C" w:rsidP="00ED0BB4">
      <w:pPr>
        <w:spacing w:line="240" w:lineRule="auto"/>
        <w:jc w:val="both"/>
        <w:rPr>
          <w:rFonts w:asciiTheme="minorHAnsi" w:hAnsiTheme="minorHAnsi" w:cstheme="minorHAnsi"/>
          <w:b/>
          <w:bCs/>
          <w:color w:val="4E3487"/>
          <w:u w:val="single"/>
        </w:rPr>
      </w:pPr>
      <w:r w:rsidRPr="00CF621C">
        <w:rPr>
          <w:rFonts w:asciiTheme="minorHAnsi" w:hAnsiTheme="minorHAnsi" w:cstheme="minorHAnsi"/>
          <w:shd w:val="clear" w:color="auto" w:fill="FFFFFF"/>
        </w:rPr>
        <w:t>PSNC will be holding a webinar on Dispensing Controlled Drugs on </w:t>
      </w:r>
      <w:r w:rsidRPr="00CF621C">
        <w:rPr>
          <w:rStyle w:val="Strong"/>
          <w:rFonts w:asciiTheme="minorHAnsi" w:hAnsiTheme="minorHAnsi" w:cstheme="minorHAnsi"/>
          <w:shd w:val="clear" w:color="auto" w:fill="FFFFFF"/>
        </w:rPr>
        <w:t>Tuesday 27 July at 7pm</w:t>
      </w:r>
      <w:r w:rsidRPr="00CF621C">
        <w:rPr>
          <w:rFonts w:asciiTheme="minorHAnsi" w:hAnsiTheme="minorHAnsi" w:cstheme="minorHAnsi"/>
          <w:shd w:val="clear" w:color="auto" w:fill="FFFFFF"/>
        </w:rPr>
        <w:t>. The one-hour webinar aims to provide staff working in community pharmacy settings with information on dispensing, endorsing and submission of Controlled Drug (CD) prescriptions.</w:t>
      </w:r>
      <w:r w:rsidRPr="00CF621C">
        <w:rPr>
          <w:rFonts w:asciiTheme="minorHAnsi" w:hAnsiTheme="minorHAnsi" w:cstheme="minorHAnsi"/>
          <w:shd w:val="clear" w:color="auto" w:fill="FFFFFF"/>
        </w:rPr>
        <w:t xml:space="preserve"> Read more here: </w:t>
      </w:r>
      <w:proofErr w:type="gramStart"/>
      <w:r w:rsidRPr="005079E4">
        <w:rPr>
          <w:rFonts w:asciiTheme="minorHAnsi" w:hAnsiTheme="minorHAnsi" w:cstheme="minorHAnsi"/>
          <w:b/>
          <w:bCs/>
          <w:color w:val="4E3487"/>
          <w:u w:val="single"/>
          <w:shd w:val="clear" w:color="auto" w:fill="FFFFFF"/>
        </w:rPr>
        <w:t>https://psnc.org.uk/our-news/book-now-for-our-dispensing-controlled-drugs-webinar/</w:t>
      </w:r>
      <w:proofErr w:type="gramEnd"/>
    </w:p>
    <w:p w14:paraId="73C662E5" w14:textId="76EFF7D0" w:rsidR="007603DA" w:rsidRDefault="007603DA" w:rsidP="00ED0BB4">
      <w:pPr>
        <w:spacing w:line="240" w:lineRule="auto"/>
        <w:jc w:val="both"/>
        <w:rPr>
          <w:rFonts w:asciiTheme="minorHAnsi" w:hAnsiTheme="minorHAnsi" w:cstheme="minorHAnsi"/>
          <w:b/>
          <w:bCs/>
          <w:u w:val="single"/>
        </w:rPr>
      </w:pPr>
    </w:p>
    <w:p w14:paraId="6F02CDD0" w14:textId="780EAE03" w:rsidR="00CF621C" w:rsidRDefault="00CF621C" w:rsidP="00ED0BB4">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COVID-19 Costs Claims online contractor </w:t>
      </w:r>
      <w:proofErr w:type="gramStart"/>
      <w:r>
        <w:rPr>
          <w:rFonts w:asciiTheme="minorHAnsi" w:hAnsiTheme="minorHAnsi" w:cstheme="minorHAnsi"/>
          <w:b/>
          <w:bCs/>
          <w:u w:val="single"/>
        </w:rPr>
        <w:t>workshops</w:t>
      </w:r>
      <w:proofErr w:type="gramEnd"/>
    </w:p>
    <w:p w14:paraId="4A11DE45" w14:textId="5FF9E850" w:rsidR="00CF621C" w:rsidRPr="00CF621C" w:rsidRDefault="00CF621C" w:rsidP="00ED0BB4">
      <w:pPr>
        <w:spacing w:line="240" w:lineRule="auto"/>
        <w:jc w:val="both"/>
        <w:rPr>
          <w:rFonts w:asciiTheme="minorHAnsi" w:eastAsia="Times New Roman" w:hAnsiTheme="minorHAnsi" w:cstheme="minorHAnsi"/>
          <w:lang w:val="en-US"/>
        </w:rPr>
      </w:pPr>
      <w:r w:rsidRPr="00CF621C">
        <w:rPr>
          <w:rFonts w:asciiTheme="minorHAnsi" w:eastAsia="Times New Roman" w:hAnsiTheme="minorHAnsi" w:cstheme="minorHAnsi"/>
          <w:shd w:val="clear" w:color="auto" w:fill="FFFFFF"/>
          <w:lang w:val="en-US"/>
        </w:rPr>
        <w:t>PSNC will be holding two COVID-19 Cost Claim Workshops for community pharmacy contractors, on </w:t>
      </w:r>
      <w:r w:rsidRPr="00CF621C">
        <w:rPr>
          <w:rFonts w:asciiTheme="minorHAnsi" w:eastAsia="Times New Roman" w:hAnsiTheme="minorHAnsi" w:cstheme="minorHAnsi"/>
          <w:b/>
          <w:bCs/>
          <w:shd w:val="clear" w:color="auto" w:fill="FFFFFF"/>
          <w:lang w:val="en-US"/>
        </w:rPr>
        <w:t>Wednesday 14th July</w:t>
      </w:r>
      <w:r w:rsidRPr="00CF621C">
        <w:rPr>
          <w:rFonts w:asciiTheme="minorHAnsi" w:eastAsia="Times New Roman" w:hAnsiTheme="minorHAnsi" w:cstheme="minorHAnsi"/>
          <w:shd w:val="clear" w:color="auto" w:fill="FFFFFF"/>
          <w:lang w:val="en-US"/>
        </w:rPr>
        <w:t> and </w:t>
      </w:r>
      <w:r w:rsidRPr="00CF621C">
        <w:rPr>
          <w:rFonts w:asciiTheme="minorHAnsi" w:eastAsia="Times New Roman" w:hAnsiTheme="minorHAnsi" w:cstheme="minorHAnsi"/>
          <w:b/>
          <w:bCs/>
          <w:shd w:val="clear" w:color="auto" w:fill="FFFFFF"/>
          <w:lang w:val="en-US"/>
        </w:rPr>
        <w:t>Monday 2nd August at 7.30pm</w:t>
      </w:r>
      <w:r w:rsidRPr="00CF621C">
        <w:rPr>
          <w:rFonts w:asciiTheme="minorHAnsi" w:eastAsia="Times New Roman" w:hAnsiTheme="minorHAnsi" w:cstheme="minorHAnsi"/>
          <w:shd w:val="clear" w:color="auto" w:fill="FFFFFF"/>
          <w:lang w:val="en-US"/>
        </w:rPr>
        <w:t>.</w:t>
      </w:r>
      <w:r w:rsidRPr="00CF621C">
        <w:rPr>
          <w:rFonts w:asciiTheme="minorHAnsi" w:eastAsia="Times New Roman" w:hAnsiTheme="minorHAnsi" w:cstheme="minorHAnsi"/>
          <w:shd w:val="clear" w:color="auto" w:fill="FFFFFF"/>
          <w:lang w:val="en-US"/>
        </w:rPr>
        <w:t xml:space="preserve"> </w:t>
      </w:r>
      <w:r w:rsidRPr="00CF621C">
        <w:rPr>
          <w:rFonts w:asciiTheme="minorHAnsi" w:eastAsia="Times New Roman" w:hAnsiTheme="minorHAnsi" w:cstheme="minorHAnsi"/>
          <w:lang w:val="en-US"/>
        </w:rPr>
        <w:t xml:space="preserve">These 60-minute online events aim to help contractors to claim for the extra costs they incurred due to the COVID-19 pandemic and are part of PSNC’s </w:t>
      </w:r>
      <w:proofErr w:type="spellStart"/>
      <w:r w:rsidRPr="00CF621C">
        <w:rPr>
          <w:rFonts w:asciiTheme="minorHAnsi" w:eastAsia="Times New Roman" w:hAnsiTheme="minorHAnsi" w:cstheme="minorHAnsi"/>
          <w:lang w:val="en-US"/>
        </w:rPr>
        <w:t>programme</w:t>
      </w:r>
      <w:proofErr w:type="spellEnd"/>
      <w:r w:rsidRPr="00CF621C">
        <w:rPr>
          <w:rFonts w:asciiTheme="minorHAnsi" w:eastAsia="Times New Roman" w:hAnsiTheme="minorHAnsi" w:cstheme="minorHAnsi"/>
          <w:lang w:val="en-US"/>
        </w:rPr>
        <w:t xml:space="preserve"> of support on COVID cost claims.</w:t>
      </w:r>
      <w:r w:rsidRPr="00CF621C">
        <w:rPr>
          <w:rFonts w:asciiTheme="minorHAnsi" w:eastAsia="Times New Roman" w:hAnsiTheme="minorHAnsi" w:cstheme="minorHAnsi"/>
          <w:lang w:val="en-US"/>
        </w:rPr>
        <w:t xml:space="preserve"> Read more here: </w:t>
      </w:r>
      <w:proofErr w:type="gramStart"/>
      <w:r w:rsidRPr="005079E4">
        <w:rPr>
          <w:rFonts w:asciiTheme="minorHAnsi" w:eastAsia="Times New Roman" w:hAnsiTheme="minorHAnsi" w:cstheme="minorHAnsi"/>
          <w:b/>
          <w:bCs/>
          <w:color w:val="4E3487"/>
          <w:u w:val="single"/>
          <w:lang w:val="en-US"/>
        </w:rPr>
        <w:t>https://psnc.org.uk/our-news/covid-19-costs-online-workshops-for-contractors/</w:t>
      </w:r>
      <w:proofErr w:type="gramEnd"/>
    </w:p>
    <w:p w14:paraId="6636A086" w14:textId="64D8932D" w:rsidR="00CF621C" w:rsidRDefault="00CF621C" w:rsidP="00ED0BB4">
      <w:pPr>
        <w:spacing w:line="240" w:lineRule="auto"/>
        <w:jc w:val="both"/>
        <w:rPr>
          <w:rFonts w:asciiTheme="minorHAnsi" w:hAnsiTheme="minorHAnsi" w:cstheme="minorHAnsi"/>
          <w:b/>
          <w:bCs/>
          <w:u w:val="single"/>
        </w:rPr>
      </w:pPr>
      <w:r>
        <w:rPr>
          <w:rFonts w:asciiTheme="minorHAnsi" w:hAnsiTheme="minorHAnsi" w:cstheme="minorHAnsi"/>
          <w:b/>
          <w:bCs/>
          <w:u w:val="single"/>
        </w:rPr>
        <w:lastRenderedPageBreak/>
        <w:t xml:space="preserve">Have you completed the DMS </w:t>
      </w:r>
      <w:proofErr w:type="spellStart"/>
      <w:r>
        <w:rPr>
          <w:rFonts w:asciiTheme="minorHAnsi" w:hAnsiTheme="minorHAnsi" w:cstheme="minorHAnsi"/>
          <w:b/>
          <w:bCs/>
          <w:u w:val="single"/>
        </w:rPr>
        <w:t>DoC</w:t>
      </w:r>
      <w:proofErr w:type="spellEnd"/>
      <w:r>
        <w:rPr>
          <w:rFonts w:asciiTheme="minorHAnsi" w:hAnsiTheme="minorHAnsi" w:cstheme="minorHAnsi"/>
          <w:b/>
          <w:bCs/>
          <w:u w:val="single"/>
        </w:rPr>
        <w:t>?</w:t>
      </w:r>
    </w:p>
    <w:p w14:paraId="63931D3B" w14:textId="7F860B31" w:rsidR="00CF621C" w:rsidRPr="005079E4" w:rsidRDefault="00CF621C" w:rsidP="00ED0BB4">
      <w:pPr>
        <w:spacing w:line="240" w:lineRule="auto"/>
        <w:jc w:val="both"/>
        <w:rPr>
          <w:rFonts w:asciiTheme="minorHAnsi" w:hAnsiTheme="minorHAnsi" w:cstheme="minorHAnsi"/>
          <w:b/>
          <w:bCs/>
          <w:color w:val="4E3487"/>
          <w:u w:val="single"/>
        </w:rPr>
      </w:pPr>
      <w:r w:rsidRPr="00CF621C">
        <w:rPr>
          <w:rFonts w:asciiTheme="minorHAnsi" w:hAnsiTheme="minorHAnsi" w:cstheme="minorHAnsi"/>
          <w:shd w:val="clear" w:color="auto" w:fill="FFFFFF"/>
        </w:rPr>
        <w:t>Pharmacists and pharmacy technicians must complete the Discharge Medicines Service (DMS) Declaration of Competence</w:t>
      </w:r>
      <w:r w:rsidRPr="00CF621C">
        <w:rPr>
          <w:rFonts w:asciiTheme="minorHAnsi" w:hAnsiTheme="minorHAnsi" w:cstheme="minorHAnsi"/>
          <w:shd w:val="clear" w:color="auto" w:fill="FFFFFF"/>
        </w:rPr>
        <w:t xml:space="preserve"> </w:t>
      </w:r>
      <w:r w:rsidRPr="00CF621C">
        <w:rPr>
          <w:rFonts w:asciiTheme="minorHAnsi" w:hAnsiTheme="minorHAnsi" w:cstheme="minorHAnsi"/>
          <w:shd w:val="clear" w:color="auto" w:fill="FFFFFF"/>
        </w:rPr>
        <w:t>(</w:t>
      </w:r>
      <w:proofErr w:type="spellStart"/>
      <w:r w:rsidRPr="00CF621C">
        <w:rPr>
          <w:rFonts w:asciiTheme="minorHAnsi" w:hAnsiTheme="minorHAnsi" w:cstheme="minorHAnsi"/>
          <w:shd w:val="clear" w:color="auto" w:fill="FFFFFF"/>
        </w:rPr>
        <w:t>DoC</w:t>
      </w:r>
      <w:proofErr w:type="spellEnd"/>
      <w:r w:rsidRPr="00CF621C">
        <w:rPr>
          <w:rFonts w:asciiTheme="minorHAnsi" w:hAnsiTheme="minorHAnsi" w:cstheme="minorHAnsi"/>
          <w:shd w:val="clear" w:color="auto" w:fill="FFFFFF"/>
        </w:rPr>
        <w:t>) </w:t>
      </w:r>
      <w:r w:rsidRPr="00CF621C">
        <w:rPr>
          <w:rStyle w:val="Strong"/>
          <w:rFonts w:asciiTheme="minorHAnsi" w:hAnsiTheme="minorHAnsi" w:cstheme="minorHAnsi"/>
          <w:shd w:val="clear" w:color="auto" w:fill="FFFFFF"/>
        </w:rPr>
        <w:t>before </w:t>
      </w:r>
      <w:r w:rsidRPr="00CF621C">
        <w:rPr>
          <w:rFonts w:asciiTheme="minorHAnsi" w:hAnsiTheme="minorHAnsi" w:cstheme="minorHAnsi"/>
          <w:shd w:val="clear" w:color="auto" w:fill="FFFFFF"/>
        </w:rPr>
        <w:t>providing DMS, which became an Essential service earlier this year.</w:t>
      </w:r>
      <w:r w:rsidRPr="00CF621C">
        <w:rPr>
          <w:rFonts w:asciiTheme="minorHAnsi" w:hAnsiTheme="minorHAnsi" w:cstheme="minorHAnsi"/>
        </w:rPr>
        <w:t xml:space="preserve"> </w:t>
      </w:r>
      <w:r w:rsidRPr="00CF621C">
        <w:rPr>
          <w:rFonts w:asciiTheme="minorHAnsi" w:hAnsiTheme="minorHAnsi" w:cstheme="minorHAnsi"/>
          <w:shd w:val="clear" w:color="auto" w:fill="FFFFFF"/>
        </w:rPr>
        <w:t>Even pharmacies not yet receiving referrals from hospitals should be ready to provide the service, which includes ensuring staff have completed the relevant training and are competent to offer the service.</w:t>
      </w:r>
      <w:r w:rsidRPr="00CF621C">
        <w:rPr>
          <w:rFonts w:asciiTheme="minorHAnsi" w:hAnsiTheme="minorHAnsi" w:cstheme="minorHAnsi"/>
          <w:shd w:val="clear" w:color="auto" w:fill="FFFFFF"/>
        </w:rPr>
        <w:t xml:space="preserve"> Read more here: </w:t>
      </w:r>
      <w:proofErr w:type="gramStart"/>
      <w:r w:rsidRPr="005079E4">
        <w:rPr>
          <w:rFonts w:asciiTheme="minorHAnsi" w:hAnsiTheme="minorHAnsi" w:cstheme="minorHAnsi"/>
          <w:b/>
          <w:bCs/>
          <w:color w:val="4E3487"/>
          <w:u w:val="single"/>
          <w:shd w:val="clear" w:color="auto" w:fill="FFFFFF"/>
        </w:rPr>
        <w:t>https://psnc.org.uk/our-news/have-you-completed-the-dms-doc-2/</w:t>
      </w:r>
      <w:proofErr w:type="gramEnd"/>
    </w:p>
    <w:p w14:paraId="78A97EE3" w14:textId="54684DB6" w:rsidR="007603DA" w:rsidRDefault="007603DA" w:rsidP="00ED0BB4">
      <w:pPr>
        <w:spacing w:line="240" w:lineRule="auto"/>
        <w:jc w:val="both"/>
        <w:rPr>
          <w:rFonts w:asciiTheme="minorHAnsi" w:hAnsiTheme="minorHAnsi" w:cstheme="minorHAnsi"/>
          <w:b/>
          <w:bCs/>
          <w:u w:val="single"/>
        </w:rPr>
      </w:pPr>
    </w:p>
    <w:p w14:paraId="4A89CB71" w14:textId="77777777" w:rsidR="00CF621C" w:rsidRDefault="00CF621C" w:rsidP="00ED0BB4">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COVID-19 Costs: further guidance </w:t>
      </w:r>
      <w:proofErr w:type="gramStart"/>
      <w:r>
        <w:rPr>
          <w:rFonts w:asciiTheme="minorHAnsi" w:hAnsiTheme="minorHAnsi" w:cstheme="minorHAnsi"/>
          <w:b/>
          <w:bCs/>
          <w:u w:val="single"/>
        </w:rPr>
        <w:t>issued</w:t>
      </w:r>
      <w:proofErr w:type="gramEnd"/>
    </w:p>
    <w:p w14:paraId="590A108C" w14:textId="2EAA441E" w:rsidR="00CF621C" w:rsidRPr="00CF621C" w:rsidRDefault="00CF621C" w:rsidP="00ED0BB4">
      <w:pPr>
        <w:spacing w:line="240" w:lineRule="auto"/>
        <w:jc w:val="both"/>
        <w:rPr>
          <w:rFonts w:asciiTheme="minorHAnsi" w:hAnsiTheme="minorHAnsi" w:cstheme="minorHAnsi"/>
          <w:b/>
          <w:bCs/>
          <w:color w:val="4E3487"/>
          <w:u w:val="single"/>
        </w:rPr>
      </w:pPr>
      <w:r w:rsidRPr="00CF621C">
        <w:rPr>
          <w:rFonts w:asciiTheme="minorHAnsi" w:hAnsiTheme="minorHAnsi" w:cstheme="minorHAnsi"/>
        </w:rPr>
        <w:t xml:space="preserve">PSNC has published further guidance </w:t>
      </w:r>
      <w:r w:rsidRPr="00CF621C">
        <w:rPr>
          <w:rFonts w:asciiTheme="minorHAnsi" w:hAnsiTheme="minorHAnsi" w:cstheme="minorHAnsi"/>
          <w:lang w:val="en-US"/>
        </w:rPr>
        <w:t>and FAQs on the COVID-19 cost claims process for community pharmacy contractors.</w:t>
      </w:r>
      <w:r w:rsidRPr="00CF621C">
        <w:rPr>
          <w:rFonts w:asciiTheme="minorHAnsi" w:hAnsiTheme="minorHAnsi" w:cstheme="minorHAnsi"/>
          <w:lang w:val="en-US"/>
        </w:rPr>
        <w:t xml:space="preserve"> </w:t>
      </w:r>
      <w:r w:rsidRPr="00CF621C">
        <w:rPr>
          <w:rFonts w:asciiTheme="minorHAnsi" w:eastAsia="Times New Roman" w:hAnsiTheme="minorHAnsi" w:cstheme="minorHAnsi"/>
          <w:lang w:val="en-US"/>
        </w:rPr>
        <w:t>The new briefing is part of a series of guides that PSNC has issued to help contractors to claim for the extra costs they incurred due to the COVID-19 pandemic.</w:t>
      </w:r>
      <w:r w:rsidRPr="00CF621C">
        <w:rPr>
          <w:rFonts w:asciiTheme="minorHAnsi" w:hAnsiTheme="minorHAnsi" w:cstheme="minorHAnsi"/>
          <w:lang w:val="en-US"/>
        </w:rPr>
        <w:t xml:space="preserve"> </w:t>
      </w:r>
      <w:r w:rsidRPr="00CF621C">
        <w:rPr>
          <w:rFonts w:asciiTheme="minorHAnsi" w:eastAsia="Times New Roman" w:hAnsiTheme="minorHAnsi" w:cstheme="minorHAnsi"/>
          <w:lang w:val="en-US"/>
        </w:rPr>
        <w:t>Contractors have until 15th August 2021 to claim for the pandemic-related costs using an agreed claim form provided by the</w:t>
      </w:r>
      <w:r w:rsidRPr="00CF621C">
        <w:rPr>
          <w:rFonts w:asciiTheme="minorHAnsi" w:hAnsiTheme="minorHAnsi" w:cstheme="minorHAnsi"/>
          <w:lang w:val="en-US"/>
        </w:rPr>
        <w:t xml:space="preserve"> NHSBSA. Read more here: </w:t>
      </w:r>
      <w:proofErr w:type="gramStart"/>
      <w:r w:rsidRPr="005079E4">
        <w:rPr>
          <w:rFonts w:asciiTheme="minorHAnsi" w:hAnsiTheme="minorHAnsi" w:cstheme="minorHAnsi"/>
          <w:b/>
          <w:bCs/>
          <w:color w:val="4E3487"/>
          <w:u w:val="single"/>
          <w:lang w:val="en-US"/>
        </w:rPr>
        <w:t>https://psnc.org.uk/our-news/covid-19-costs-further-guidance-issued/</w:t>
      </w:r>
      <w:proofErr w:type="gramEnd"/>
    </w:p>
    <w:p w14:paraId="4FD7BCBB" w14:textId="55DB59D9" w:rsidR="00CF621C" w:rsidRDefault="00CF621C" w:rsidP="00ED0BB4">
      <w:pPr>
        <w:spacing w:line="240" w:lineRule="auto"/>
        <w:jc w:val="both"/>
        <w:rPr>
          <w:rFonts w:asciiTheme="minorHAnsi" w:hAnsiTheme="minorHAnsi" w:cstheme="minorHAnsi"/>
        </w:rPr>
      </w:pPr>
    </w:p>
    <w:p w14:paraId="5B12B9E4" w14:textId="7E6A700C" w:rsidR="00CF621C" w:rsidRDefault="00CF621C" w:rsidP="00ED0BB4">
      <w:pPr>
        <w:spacing w:line="240" w:lineRule="auto"/>
        <w:jc w:val="both"/>
        <w:rPr>
          <w:rFonts w:asciiTheme="minorHAnsi" w:hAnsiTheme="minorHAnsi" w:cstheme="minorHAnsi"/>
          <w:b/>
          <w:bCs/>
          <w:u w:val="single"/>
        </w:rPr>
      </w:pPr>
      <w:r w:rsidRPr="00CF621C">
        <w:rPr>
          <w:rFonts w:asciiTheme="minorHAnsi" w:hAnsiTheme="minorHAnsi" w:cstheme="minorHAnsi"/>
          <w:b/>
          <w:bCs/>
          <w:u w:val="single"/>
        </w:rPr>
        <w:t>PSNC Rural Regulations workshop</w:t>
      </w:r>
    </w:p>
    <w:p w14:paraId="545978D0" w14:textId="385BC06E" w:rsidR="00CF621C" w:rsidRPr="005079E4" w:rsidRDefault="00CF621C" w:rsidP="00ED0BB4">
      <w:pPr>
        <w:spacing w:line="240" w:lineRule="auto"/>
        <w:jc w:val="both"/>
        <w:rPr>
          <w:rFonts w:asciiTheme="minorHAnsi" w:hAnsiTheme="minorHAnsi" w:cstheme="minorHAnsi"/>
          <w:b/>
          <w:bCs/>
          <w:color w:val="4E3487"/>
          <w:u w:val="single"/>
        </w:rPr>
      </w:pPr>
      <w:r w:rsidRPr="00CF621C">
        <w:rPr>
          <w:rFonts w:asciiTheme="minorHAnsi" w:hAnsiTheme="minorHAnsi" w:cstheme="minorHAnsi"/>
        </w:rPr>
        <w:t xml:space="preserve">PSNC will be holding a workshop on Rural Regulations </w:t>
      </w:r>
      <w:r w:rsidRPr="00CF621C">
        <w:rPr>
          <w:rFonts w:asciiTheme="minorHAnsi" w:hAnsiTheme="minorHAnsi" w:cstheme="minorHAnsi"/>
          <w:shd w:val="clear" w:color="auto" w:fill="FFFFFF"/>
        </w:rPr>
        <w:t>on </w:t>
      </w:r>
      <w:r w:rsidRPr="00CF621C">
        <w:rPr>
          <w:rStyle w:val="Strong"/>
          <w:rFonts w:asciiTheme="minorHAnsi" w:hAnsiTheme="minorHAnsi" w:cstheme="minorHAnsi"/>
          <w:shd w:val="clear" w:color="auto" w:fill="FFFFFF"/>
        </w:rPr>
        <w:t>Monday 26th July at 2pm</w:t>
      </w:r>
      <w:r w:rsidRPr="00CF621C">
        <w:rPr>
          <w:rStyle w:val="Strong"/>
          <w:rFonts w:asciiTheme="minorHAnsi" w:hAnsiTheme="minorHAnsi" w:cstheme="minorHAnsi"/>
          <w:shd w:val="clear" w:color="auto" w:fill="FFFFFF"/>
        </w:rPr>
        <w:t xml:space="preserve">. </w:t>
      </w:r>
      <w:r w:rsidRPr="00CF621C">
        <w:rPr>
          <w:rStyle w:val="Strong"/>
          <w:rFonts w:asciiTheme="minorHAnsi" w:hAnsiTheme="minorHAnsi" w:cstheme="minorHAnsi"/>
          <w:b w:val="0"/>
          <w:bCs w:val="0"/>
          <w:shd w:val="clear" w:color="auto" w:fill="FFFFFF"/>
        </w:rPr>
        <w:t>This workshop will cover</w:t>
      </w:r>
      <w:r w:rsidRPr="00CF621C">
        <w:rPr>
          <w:rStyle w:val="Strong"/>
          <w:rFonts w:asciiTheme="minorHAnsi" w:hAnsiTheme="minorHAnsi" w:cstheme="minorHAnsi"/>
          <w:shd w:val="clear" w:color="auto" w:fill="FFFFFF"/>
        </w:rPr>
        <w:t xml:space="preserve"> </w:t>
      </w:r>
      <w:r w:rsidRPr="00CF621C">
        <w:rPr>
          <w:rFonts w:asciiTheme="minorHAnsi" w:hAnsiTheme="minorHAnsi" w:cstheme="minorHAnsi"/>
          <w:shd w:val="clear" w:color="auto" w:fill="FFFFFF"/>
        </w:rPr>
        <w:t>controlled localities, reserved locations, historic rights, outline consent and more</w:t>
      </w:r>
      <w:r w:rsidRPr="00CF621C">
        <w:rPr>
          <w:rFonts w:asciiTheme="minorHAnsi" w:hAnsiTheme="minorHAnsi" w:cstheme="minorHAnsi"/>
          <w:shd w:val="clear" w:color="auto" w:fill="FFFFFF"/>
        </w:rPr>
        <w:t xml:space="preserve">. Read more here: </w:t>
      </w:r>
      <w:proofErr w:type="gramStart"/>
      <w:r w:rsidRPr="005079E4">
        <w:rPr>
          <w:rFonts w:asciiTheme="minorHAnsi" w:hAnsiTheme="minorHAnsi" w:cstheme="minorHAnsi"/>
          <w:b/>
          <w:bCs/>
          <w:color w:val="4E3487"/>
          <w:u w:val="single"/>
          <w:shd w:val="clear" w:color="auto" w:fill="FFFFFF"/>
        </w:rPr>
        <w:t>https://psnc.org.uk/our-news/book-now-for-the-psnc-rural-regulations-workshop-26-july-2021/</w:t>
      </w:r>
      <w:proofErr w:type="gramEnd"/>
    </w:p>
    <w:p w14:paraId="5870E27C" w14:textId="77777777" w:rsidR="007603DA" w:rsidRDefault="007603DA" w:rsidP="00DA0B6A">
      <w:pPr>
        <w:spacing w:line="240" w:lineRule="auto"/>
        <w:jc w:val="both"/>
        <w:rPr>
          <w:rFonts w:asciiTheme="minorHAnsi" w:hAnsiTheme="minorHAnsi" w:cstheme="minorHAnsi"/>
          <w:b/>
          <w:bCs/>
          <w:u w:val="single"/>
        </w:rPr>
      </w:pPr>
    </w:p>
    <w:p w14:paraId="060B45CF" w14:textId="724289CA" w:rsidR="00DA0B6A" w:rsidRPr="00DA0B6A" w:rsidRDefault="122549B2" w:rsidP="00DA0B6A">
      <w:pPr>
        <w:spacing w:line="240" w:lineRule="auto"/>
        <w:jc w:val="both"/>
      </w:pPr>
      <w:r w:rsidRPr="3264F588">
        <w:rPr>
          <w:rFonts w:ascii="Calibri" w:hAnsi="Calibri" w:cs="Calibri"/>
          <w:b/>
          <w:bCs/>
          <w:color w:val="5B518E"/>
          <w:sz w:val="28"/>
          <w:szCs w:val="28"/>
        </w:rPr>
        <w:t>COVID-19 Appendix</w:t>
      </w:r>
    </w:p>
    <w:p w14:paraId="590E9AEC" w14:textId="5903E8EA" w:rsidR="122549B2" w:rsidRDefault="122549B2" w:rsidP="00DA0B6A">
      <w:pPr>
        <w:spacing w:line="240" w:lineRule="auto"/>
        <w:jc w:val="both"/>
      </w:pPr>
      <w:r w:rsidRPr="54750988">
        <w:rPr>
          <w:rFonts w:ascii="Calibri" w:hAnsi="Calibri" w:cs="Calibri"/>
          <w:b/>
          <w:bCs/>
          <w:u w:val="single"/>
        </w:rPr>
        <w:t>Remember: Key actions to take during the pandemic</w:t>
      </w:r>
    </w:p>
    <w:p w14:paraId="5EE85C2F" w14:textId="01347AFC" w:rsidR="122549B2" w:rsidRDefault="122549B2" w:rsidP="00DA0B6A">
      <w:pPr>
        <w:spacing w:line="240" w:lineRule="auto"/>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the </w:t>
      </w:r>
      <w:hyperlink r:id="rId13">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w:t>
      </w:r>
      <w:proofErr w:type="gramStart"/>
      <w:r w:rsidRPr="54750988">
        <w:rPr>
          <w:rFonts w:ascii="Calibri" w:hAnsi="Calibri" w:cs="Calibri"/>
          <w:b/>
          <w:bCs/>
        </w:rPr>
        <w:t>actions;</w:t>
      </w:r>
      <w:proofErr w:type="gramEnd"/>
    </w:p>
    <w:p w14:paraId="0CE5F239" w14:textId="7EF24FB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Clearly display the </w:t>
      </w:r>
      <w:hyperlink r:id="rId14">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w:t>
      </w:r>
      <w:proofErr w:type="gramStart"/>
      <w:r w:rsidRPr="54750988">
        <w:rPr>
          <w:rFonts w:ascii="Calibri" w:hAnsi="Calibri" w:cs="Calibri"/>
          <w:b/>
          <w:bCs/>
        </w:rPr>
        <w:t>pharmacy;</w:t>
      </w:r>
      <w:proofErr w:type="gramEnd"/>
    </w:p>
    <w:p w14:paraId="5C5FE05B" w14:textId="29E1320F"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your </w:t>
      </w:r>
      <w:hyperlink r:id="rId15">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Keep up to date with developments by regularly checking the information on </w:t>
      </w:r>
      <w:hyperlink r:id="rId16">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7">
        <w:r w:rsidRPr="54750988">
          <w:rPr>
            <w:rStyle w:val="Hyperlink"/>
            <w:rFonts w:ascii="Calibri" w:hAnsi="Calibri" w:cs="Calibri"/>
            <w:b/>
            <w:bCs/>
            <w:color w:val="000000" w:themeColor="text1"/>
          </w:rPr>
          <w:t xml:space="preserve">NHSE&amp;I </w:t>
        </w:r>
      </w:hyperlink>
      <w:hyperlink r:id="rId18">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w:t>
      </w:r>
      <w:proofErr w:type="spellStart"/>
      <w:r w:rsidRPr="54750988">
        <w:rPr>
          <w:rFonts w:ascii="Calibri" w:hAnsi="Calibri" w:cs="Calibri"/>
          <w:b/>
          <w:bCs/>
        </w:rPr>
        <w:t>NHSmail</w:t>
      </w:r>
      <w:proofErr w:type="spellEnd"/>
      <w:r w:rsidRPr="54750988">
        <w:rPr>
          <w:rFonts w:ascii="Calibri" w:hAnsi="Calibri" w:cs="Calibri"/>
          <w:b/>
          <w:bCs/>
        </w:rPr>
        <w:t xml:space="preserve"> shared mailbox on a regular basis for updates from NHSE&amp;I; and</w:t>
      </w:r>
    </w:p>
    <w:p w14:paraId="3F1A84DE" w14:textId="6AC3E9D1"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Where possible, display the </w:t>
      </w:r>
      <w:hyperlink r:id="rId19">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w:t>
      </w:r>
      <w:r w:rsidR="00DA0B6A">
        <w:rPr>
          <w:rFonts w:ascii="Calibri" w:hAnsi="Calibri" w:cs="Calibri"/>
          <w:b/>
          <w:bCs/>
        </w:rPr>
        <w:t>, face coverings</w:t>
      </w:r>
      <w:r w:rsidRPr="54750988">
        <w:rPr>
          <w:rFonts w:ascii="Calibri" w:hAnsi="Calibri" w:cs="Calibri"/>
          <w:b/>
          <w:bCs/>
        </w:rPr>
        <w:t xml:space="preserve"> etc.</w:t>
      </w:r>
      <w:r>
        <w:br/>
      </w:r>
    </w:p>
    <w:p w14:paraId="043FAF15" w14:textId="1F27EF65" w:rsidR="122549B2" w:rsidRDefault="122549B2" w:rsidP="00DA0B6A">
      <w:pPr>
        <w:spacing w:line="240" w:lineRule="auto"/>
        <w:jc w:val="both"/>
      </w:pPr>
      <w:r w:rsidRPr="54750988">
        <w:rPr>
          <w:rFonts w:ascii="Calibri" w:hAnsi="Calibri" w:cs="Calibri"/>
          <w:b/>
          <w:bCs/>
          <w:u w:val="single"/>
        </w:rPr>
        <w:t>Guidance for healthcare professionals</w:t>
      </w:r>
    </w:p>
    <w:p w14:paraId="6DA29E1F" w14:textId="65F7D93C" w:rsidR="122549B2" w:rsidRDefault="122549B2" w:rsidP="00DA0B6A">
      <w:pPr>
        <w:spacing w:line="240" w:lineRule="auto"/>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14:paraId="0AD3234D" w14:textId="7531A9C0" w:rsidR="54750988" w:rsidRDefault="54750988" w:rsidP="00DA0B6A">
      <w:pPr>
        <w:spacing w:line="240" w:lineRule="auto"/>
        <w:jc w:val="both"/>
        <w:rPr>
          <w:rFonts w:ascii="Calibri" w:hAnsi="Calibri" w:cs="Calibri"/>
        </w:rPr>
      </w:pPr>
    </w:p>
    <w:p w14:paraId="7C3AC6E9" w14:textId="1FF7A6A9" w:rsidR="122549B2" w:rsidRDefault="00B81186" w:rsidP="00DA0B6A">
      <w:pPr>
        <w:spacing w:line="240" w:lineRule="auto"/>
        <w:jc w:val="both"/>
      </w:pPr>
      <w:hyperlink r:id="rId20">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00DA0B6A">
      <w:pPr>
        <w:spacing w:line="240" w:lineRule="auto"/>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1">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00DA0B6A">
      <w:pPr>
        <w:spacing w:line="240" w:lineRule="auto"/>
        <w:jc w:val="both"/>
        <w:rPr>
          <w:rFonts w:ascii="Calibri" w:hAnsi="Calibri" w:cs="Calibri"/>
        </w:rPr>
      </w:pPr>
    </w:p>
    <w:p w14:paraId="739815DB" w14:textId="19A6E223" w:rsidR="122549B2" w:rsidRDefault="00B81186" w:rsidP="54750988">
      <w:pPr>
        <w:jc w:val="both"/>
      </w:pPr>
      <w:hyperlink r:id="rId22">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54750988">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23"/>
      <w:footerReference w:type="default" r:id="rId24"/>
      <w:headerReference w:type="first" r:id="rId25"/>
      <w:footerReference w:type="first" r:id="rId26"/>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B2EE3" w14:textId="77777777" w:rsidR="00B81186" w:rsidRDefault="00B81186" w:rsidP="00E472BA">
      <w:pPr>
        <w:spacing w:line="240" w:lineRule="auto"/>
      </w:pPr>
      <w:r>
        <w:separator/>
      </w:r>
    </w:p>
  </w:endnote>
  <w:endnote w:type="continuationSeparator" w:id="0">
    <w:p w14:paraId="2B10AB6A" w14:textId="77777777" w:rsidR="00B81186" w:rsidRDefault="00B81186"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C3577" w14:textId="77777777" w:rsidR="00B81186" w:rsidRDefault="00B81186" w:rsidP="00E472BA">
      <w:pPr>
        <w:spacing w:line="240" w:lineRule="auto"/>
      </w:pPr>
      <w:r>
        <w:separator/>
      </w:r>
    </w:p>
  </w:footnote>
  <w:footnote w:type="continuationSeparator" w:id="0">
    <w:p w14:paraId="06C9A1CC" w14:textId="77777777" w:rsidR="00B81186" w:rsidRDefault="00B81186"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5CD5"/>
    <w:rsid w:val="0008226B"/>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E1"/>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B6B40"/>
    <w:rsid w:val="001C0060"/>
    <w:rsid w:val="001C6168"/>
    <w:rsid w:val="001C7CF7"/>
    <w:rsid w:val="001D1331"/>
    <w:rsid w:val="001D4C28"/>
    <w:rsid w:val="001E01C4"/>
    <w:rsid w:val="001E07AC"/>
    <w:rsid w:val="001E3E81"/>
    <w:rsid w:val="001E7ECB"/>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D18E8"/>
    <w:rsid w:val="002D4B9C"/>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548"/>
    <w:rsid w:val="003D2F11"/>
    <w:rsid w:val="003F2314"/>
    <w:rsid w:val="003F30D2"/>
    <w:rsid w:val="003F6469"/>
    <w:rsid w:val="003F6BA6"/>
    <w:rsid w:val="004076F0"/>
    <w:rsid w:val="00411783"/>
    <w:rsid w:val="00420B26"/>
    <w:rsid w:val="004272FD"/>
    <w:rsid w:val="004303C1"/>
    <w:rsid w:val="004315DB"/>
    <w:rsid w:val="00435035"/>
    <w:rsid w:val="00436B1C"/>
    <w:rsid w:val="0043701B"/>
    <w:rsid w:val="00444379"/>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7461"/>
    <w:rsid w:val="005079E4"/>
    <w:rsid w:val="00514E2C"/>
    <w:rsid w:val="00536EF5"/>
    <w:rsid w:val="0054047B"/>
    <w:rsid w:val="0054250A"/>
    <w:rsid w:val="00542837"/>
    <w:rsid w:val="00542F47"/>
    <w:rsid w:val="005525D6"/>
    <w:rsid w:val="00556BE4"/>
    <w:rsid w:val="00561A73"/>
    <w:rsid w:val="005748C2"/>
    <w:rsid w:val="00575BEF"/>
    <w:rsid w:val="00582785"/>
    <w:rsid w:val="0058612F"/>
    <w:rsid w:val="005975F5"/>
    <w:rsid w:val="005A1909"/>
    <w:rsid w:val="005A2BE6"/>
    <w:rsid w:val="005B1718"/>
    <w:rsid w:val="005C2596"/>
    <w:rsid w:val="005C38E9"/>
    <w:rsid w:val="005C471E"/>
    <w:rsid w:val="005C71B4"/>
    <w:rsid w:val="005D1079"/>
    <w:rsid w:val="005D75F2"/>
    <w:rsid w:val="005E2609"/>
    <w:rsid w:val="005F1400"/>
    <w:rsid w:val="005F68B7"/>
    <w:rsid w:val="0060698F"/>
    <w:rsid w:val="00611838"/>
    <w:rsid w:val="00617851"/>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1602"/>
    <w:rsid w:val="006C27FE"/>
    <w:rsid w:val="006D568F"/>
    <w:rsid w:val="006D6563"/>
    <w:rsid w:val="006D6927"/>
    <w:rsid w:val="006E04A2"/>
    <w:rsid w:val="006E600E"/>
    <w:rsid w:val="006E6309"/>
    <w:rsid w:val="006F5653"/>
    <w:rsid w:val="0071492B"/>
    <w:rsid w:val="00714A7B"/>
    <w:rsid w:val="00715F00"/>
    <w:rsid w:val="00717255"/>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1FBB"/>
    <w:rsid w:val="009759F1"/>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C5877"/>
    <w:rsid w:val="00AD48AE"/>
    <w:rsid w:val="00AE33EC"/>
    <w:rsid w:val="00AF5680"/>
    <w:rsid w:val="00B1038D"/>
    <w:rsid w:val="00B10B5B"/>
    <w:rsid w:val="00B1126B"/>
    <w:rsid w:val="00B116CF"/>
    <w:rsid w:val="00B11E48"/>
    <w:rsid w:val="00B13A6C"/>
    <w:rsid w:val="00B14EA0"/>
    <w:rsid w:val="00B253F7"/>
    <w:rsid w:val="00B313DC"/>
    <w:rsid w:val="00B35145"/>
    <w:rsid w:val="00B364CE"/>
    <w:rsid w:val="00B36F1D"/>
    <w:rsid w:val="00B3782A"/>
    <w:rsid w:val="00B411E9"/>
    <w:rsid w:val="00B639C4"/>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6A9F"/>
    <w:rsid w:val="00C15ECE"/>
    <w:rsid w:val="00C23979"/>
    <w:rsid w:val="00C31BD1"/>
    <w:rsid w:val="00C33E18"/>
    <w:rsid w:val="00C36E62"/>
    <w:rsid w:val="00C438B8"/>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2055B"/>
    <w:rsid w:val="00E344F5"/>
    <w:rsid w:val="00E472BA"/>
    <w:rsid w:val="00E5017E"/>
    <w:rsid w:val="00E52F16"/>
    <w:rsid w:val="00E60AD4"/>
    <w:rsid w:val="00E63547"/>
    <w:rsid w:val="00E762FE"/>
    <w:rsid w:val="00E77326"/>
    <w:rsid w:val="00E85561"/>
    <w:rsid w:val="00E97C7B"/>
    <w:rsid w:val="00EA65AD"/>
    <w:rsid w:val="00EB1BEB"/>
    <w:rsid w:val="00EB382C"/>
    <w:rsid w:val="00EC318E"/>
    <w:rsid w:val="00EC4069"/>
    <w:rsid w:val="00ED0BB4"/>
    <w:rsid w:val="00ED1856"/>
    <w:rsid w:val="00ED1984"/>
    <w:rsid w:val="00ED44A5"/>
    <w:rsid w:val="00EE1A1E"/>
    <w:rsid w:val="00EE301A"/>
    <w:rsid w:val="00EF469D"/>
    <w:rsid w:val="00F0123E"/>
    <w:rsid w:val="00F06591"/>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6696"/>
    <w:rsid w:val="00F86021"/>
    <w:rsid w:val="00FA30FA"/>
    <w:rsid w:val="00FA34BD"/>
    <w:rsid w:val="00FB1739"/>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the-healthcare-landscape/covid19/contractor-guidance-and-support/" TargetMode="External"/><Relationship Id="rId18" Type="http://schemas.openxmlformats.org/officeDocument/2006/relationships/hyperlink" Target="https://www.england.nhs.uk/coronavirus/primary-car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collections/wuhan-novel-coronavirus" TargetMode="External"/><Relationship Id="rId7" Type="http://schemas.openxmlformats.org/officeDocument/2006/relationships/settings" Target="settings.xml"/><Relationship Id="rId12" Type="http://schemas.openxmlformats.org/officeDocument/2006/relationships/hyperlink" Target="https://psnc.org.uk/our-news/covid-19-costs-psnc-reaches-deal-with-hm-government/" TargetMode="External"/><Relationship Id="rId17" Type="http://schemas.openxmlformats.org/officeDocument/2006/relationships/hyperlink" Target="https://www.england.nhs.uk/coronavirus/primary-car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collections/wuhan-novel-coronavirus" TargetMode="External"/><Relationship Id="rId20"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contract-it/psnc-briefings-pharmacy-contract-and-it/psnc-briefing-012-21-cpaf-screening-process-for-2021-2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snc.org.uk/contract-it/essential-service-clinical-governance/emergency-plann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mpaignresources.phe.gov.uk/resources/campaigns/101/resources/5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the-healthcare-landscape/covid19/information-for-the-public/" TargetMode="External"/><Relationship Id="rId22" Type="http://schemas.openxmlformats.org/officeDocument/2006/relationships/hyperlink" Target="https://www.england.nhs.uk/coronavirus/primary-car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2</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3</cp:revision>
  <cp:lastPrinted>2018-01-08T12:15:00Z</cp:lastPrinted>
  <dcterms:created xsi:type="dcterms:W3CDTF">2021-07-12T07:56:00Z</dcterms:created>
  <dcterms:modified xsi:type="dcterms:W3CDTF">2021-07-12T07:57:00Z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