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7819C043"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4B6EAA">
        <w:rPr>
          <w:rFonts w:ascii="Calibri" w:hAnsi="Calibri" w:cs="Calibri"/>
          <w:i/>
          <w:iCs/>
        </w:rPr>
        <w:t>10th</w:t>
      </w:r>
      <w:r w:rsidR="00DA6B9C">
        <w:rPr>
          <w:rFonts w:ascii="Calibri" w:hAnsi="Calibri" w:cs="Calibri"/>
          <w:i/>
          <w:iCs/>
        </w:rPr>
        <w:t xml:space="preserve"> </w:t>
      </w:r>
      <w:r w:rsidR="003E4DD1">
        <w:rPr>
          <w:rFonts w:ascii="Calibri" w:hAnsi="Calibri" w:cs="Calibri"/>
          <w:i/>
          <w:iCs/>
        </w:rPr>
        <w:t>October</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4965E160" w14:textId="6639D168" w:rsidR="57F7E37C" w:rsidRPr="00136AB4" w:rsidRDefault="0A6D93E2" w:rsidP="00136AB4">
      <w:pPr>
        <w:spacing w:line="240" w:lineRule="auto"/>
        <w:jc w:val="both"/>
        <w:rPr>
          <w:rFonts w:asciiTheme="minorHAnsi" w:hAnsiTheme="minorHAnsi" w:cstheme="minorHAnsi"/>
        </w:rPr>
      </w:pPr>
      <w:r w:rsidRPr="00136AB4">
        <w:rPr>
          <w:rFonts w:asciiTheme="minorHAnsi" w:hAnsiTheme="minorHAnsi" w:cstheme="minorHAnsi"/>
          <w:b/>
          <w:bCs/>
          <w:u w:val="single"/>
        </w:rPr>
        <w:t>Last week’s news stories:</w:t>
      </w:r>
    </w:p>
    <w:p w14:paraId="2460C39C" w14:textId="32C9E443" w:rsidR="00241E61" w:rsidRPr="00136AB4" w:rsidRDefault="00241E61" w:rsidP="00136AB4">
      <w:pPr>
        <w:spacing w:line="240" w:lineRule="auto"/>
        <w:jc w:val="both"/>
        <w:rPr>
          <w:rFonts w:asciiTheme="minorHAnsi" w:hAnsiTheme="minorHAnsi" w:cstheme="minorHAnsi"/>
          <w:b/>
          <w:bCs/>
          <w:u w:val="single"/>
        </w:rPr>
      </w:pPr>
    </w:p>
    <w:p w14:paraId="13535E1C" w14:textId="6611E865" w:rsidR="00F001CD" w:rsidRPr="00136AB4" w:rsidRDefault="004B6EAA" w:rsidP="00136AB4">
      <w:pPr>
        <w:spacing w:line="240" w:lineRule="auto"/>
        <w:jc w:val="both"/>
        <w:rPr>
          <w:rFonts w:asciiTheme="minorHAnsi" w:hAnsiTheme="minorHAnsi" w:cstheme="minorHAnsi"/>
          <w:b/>
          <w:bCs/>
          <w:u w:val="single"/>
        </w:rPr>
      </w:pPr>
      <w:r w:rsidRPr="00136AB4">
        <w:rPr>
          <w:rFonts w:asciiTheme="minorHAnsi" w:hAnsiTheme="minorHAnsi" w:cstheme="minorHAnsi"/>
          <w:b/>
          <w:bCs/>
          <w:u w:val="single"/>
        </w:rPr>
        <w:t>PQS: Aspiration payment window is now open</w:t>
      </w:r>
    </w:p>
    <w:p w14:paraId="580D58E9" w14:textId="2D5ED7E5" w:rsidR="004B6EAA" w:rsidRPr="00136AB4" w:rsidRDefault="004B6EAA" w:rsidP="00136AB4">
      <w:pPr>
        <w:spacing w:line="240" w:lineRule="auto"/>
        <w:jc w:val="both"/>
        <w:rPr>
          <w:rFonts w:asciiTheme="minorHAnsi" w:hAnsiTheme="minorHAnsi" w:cstheme="minorHAnsi"/>
          <w:b/>
          <w:bCs/>
          <w:u w:val="single"/>
        </w:rPr>
      </w:pPr>
      <w:r w:rsidRPr="00136AB4">
        <w:rPr>
          <w:rFonts w:asciiTheme="minorHAnsi" w:hAnsiTheme="minorHAnsi" w:cstheme="minorHAnsi"/>
          <w:color w:val="303030"/>
          <w:shd w:val="clear" w:color="auto" w:fill="FFFFFF"/>
        </w:rPr>
        <w:t>Contractors can now make a claim for an Aspiration payment for the 2021/22 PQS on the NHS</w:t>
      </w:r>
      <w:r w:rsidRPr="00136AB4">
        <w:rPr>
          <w:rFonts w:asciiTheme="minorHAnsi" w:hAnsiTheme="minorHAnsi" w:cstheme="minorHAnsi"/>
          <w:color w:val="303030"/>
          <w:shd w:val="clear" w:color="auto" w:fill="FFFFFF"/>
        </w:rPr>
        <w:t xml:space="preserve"> </w:t>
      </w:r>
      <w:r w:rsidRPr="00136AB4">
        <w:rPr>
          <w:rFonts w:asciiTheme="minorHAnsi" w:hAnsiTheme="minorHAnsi" w:cstheme="minorHAnsi"/>
          <w:color w:val="303030"/>
          <w:shd w:val="clear" w:color="auto" w:fill="FFFFFF"/>
        </w:rPr>
        <w:t>B</w:t>
      </w:r>
      <w:r w:rsidRPr="00136AB4">
        <w:rPr>
          <w:rFonts w:asciiTheme="minorHAnsi" w:hAnsiTheme="minorHAnsi" w:cstheme="minorHAnsi"/>
          <w:color w:val="303030"/>
          <w:shd w:val="clear" w:color="auto" w:fill="FFFFFF"/>
        </w:rPr>
        <w:t xml:space="preserve">usiness </w:t>
      </w:r>
      <w:r w:rsidRPr="00136AB4">
        <w:rPr>
          <w:rFonts w:asciiTheme="minorHAnsi" w:hAnsiTheme="minorHAnsi" w:cstheme="minorHAnsi"/>
          <w:color w:val="303030"/>
          <w:shd w:val="clear" w:color="auto" w:fill="FFFFFF"/>
        </w:rPr>
        <w:t>S</w:t>
      </w:r>
      <w:r w:rsidRPr="00136AB4">
        <w:rPr>
          <w:rFonts w:asciiTheme="minorHAnsi" w:hAnsiTheme="minorHAnsi" w:cstheme="minorHAnsi"/>
          <w:color w:val="303030"/>
          <w:shd w:val="clear" w:color="auto" w:fill="FFFFFF"/>
        </w:rPr>
        <w:t xml:space="preserve">ervices </w:t>
      </w:r>
      <w:r w:rsidRPr="00136AB4">
        <w:rPr>
          <w:rFonts w:asciiTheme="minorHAnsi" w:hAnsiTheme="minorHAnsi" w:cstheme="minorHAnsi"/>
          <w:color w:val="303030"/>
          <w:shd w:val="clear" w:color="auto" w:fill="FFFFFF"/>
        </w:rPr>
        <w:t>A</w:t>
      </w:r>
      <w:r w:rsidRPr="00136AB4">
        <w:rPr>
          <w:rFonts w:asciiTheme="minorHAnsi" w:hAnsiTheme="minorHAnsi" w:cstheme="minorHAnsi"/>
          <w:color w:val="303030"/>
          <w:shd w:val="clear" w:color="auto" w:fill="FFFFFF"/>
        </w:rPr>
        <w:t>uthority</w:t>
      </w:r>
      <w:r w:rsidRPr="00136AB4">
        <w:rPr>
          <w:rFonts w:asciiTheme="minorHAnsi" w:hAnsiTheme="minorHAnsi" w:cstheme="minorHAnsi"/>
          <w:color w:val="303030"/>
          <w:shd w:val="clear" w:color="auto" w:fill="FFFFFF"/>
        </w:rPr>
        <w:t>'s </w:t>
      </w:r>
      <w:hyperlink r:id="rId11" w:tgtFrame="_blank" w:history="1">
        <w:r w:rsidRPr="00136AB4">
          <w:rPr>
            <w:rStyle w:val="Strong"/>
            <w:rFonts w:asciiTheme="minorHAnsi" w:hAnsiTheme="minorHAnsi" w:cstheme="minorHAnsi"/>
            <w:color w:val="4E3487"/>
            <w:u w:val="single"/>
            <w:shd w:val="clear" w:color="auto" w:fill="FFFFFF"/>
          </w:rPr>
          <w:t>Manage Your Service (MYS) portal</w:t>
        </w:r>
      </w:hyperlink>
      <w:r w:rsidRPr="00136AB4">
        <w:rPr>
          <w:rFonts w:asciiTheme="minorHAnsi" w:hAnsiTheme="minorHAnsi" w:cstheme="minorHAnsi"/>
          <w:color w:val="303030"/>
          <w:shd w:val="clear" w:color="auto" w:fill="FFFFFF"/>
        </w:rPr>
        <w:t>. This payment is optional; if contractors do not want to claim it, it will not impact their ability to claim a PQS payment during the declaration period.</w:t>
      </w:r>
      <w:r w:rsidRPr="00136AB4">
        <w:rPr>
          <w:rFonts w:asciiTheme="minorHAnsi" w:hAnsiTheme="minorHAnsi" w:cstheme="minorHAnsi"/>
          <w:color w:val="303030"/>
          <w:shd w:val="clear" w:color="auto" w:fill="FFFFFF"/>
        </w:rPr>
        <w:t xml:space="preserve"> Read more here: </w:t>
      </w:r>
      <w:r w:rsidRPr="00136AB4">
        <w:rPr>
          <w:rFonts w:asciiTheme="minorHAnsi" w:hAnsiTheme="minorHAnsi" w:cstheme="minorHAnsi"/>
          <w:b/>
          <w:bCs/>
          <w:color w:val="4E3487"/>
          <w:u w:val="single"/>
          <w:shd w:val="clear" w:color="auto" w:fill="FFFFFF"/>
        </w:rPr>
        <w:t>https://psnc.org.uk/our-news/pqs-the-aspiration-payment-window-is-now-open/</w:t>
      </w:r>
    </w:p>
    <w:p w14:paraId="6D614353" w14:textId="2A8D3267" w:rsidR="004B6EAA" w:rsidRPr="00136AB4" w:rsidRDefault="004B6EAA" w:rsidP="00136AB4">
      <w:pPr>
        <w:spacing w:line="240" w:lineRule="auto"/>
        <w:jc w:val="both"/>
        <w:rPr>
          <w:rFonts w:asciiTheme="minorHAnsi" w:hAnsiTheme="minorHAnsi" w:cstheme="minorHAnsi"/>
          <w:b/>
          <w:bCs/>
          <w:u w:val="single"/>
        </w:rPr>
      </w:pPr>
    </w:p>
    <w:p w14:paraId="05D35477" w14:textId="60860B3D" w:rsidR="004B6EAA" w:rsidRPr="00136AB4" w:rsidRDefault="004B6EAA" w:rsidP="00136AB4">
      <w:pPr>
        <w:spacing w:line="240" w:lineRule="auto"/>
        <w:jc w:val="both"/>
        <w:rPr>
          <w:rFonts w:asciiTheme="minorHAnsi" w:hAnsiTheme="minorHAnsi" w:cstheme="minorHAnsi"/>
          <w:b/>
          <w:bCs/>
          <w:u w:val="single"/>
        </w:rPr>
      </w:pPr>
      <w:r w:rsidRPr="00136AB4">
        <w:rPr>
          <w:rFonts w:asciiTheme="minorHAnsi" w:hAnsiTheme="minorHAnsi" w:cstheme="minorHAnsi"/>
          <w:b/>
          <w:bCs/>
          <w:u w:val="single"/>
        </w:rPr>
        <w:t>Update on pharmacy IT workstreams published</w:t>
      </w:r>
    </w:p>
    <w:p w14:paraId="116A1C06" w14:textId="6F93EDDE" w:rsidR="004B6EAA" w:rsidRPr="00136AB4" w:rsidRDefault="004B6EAA" w:rsidP="00136AB4">
      <w:pPr>
        <w:spacing w:line="240" w:lineRule="auto"/>
        <w:jc w:val="both"/>
        <w:rPr>
          <w:rFonts w:asciiTheme="minorHAnsi" w:hAnsiTheme="minorHAnsi" w:cstheme="minorHAnsi"/>
          <w:b/>
          <w:bCs/>
          <w:color w:val="4E3487"/>
          <w:u w:val="single"/>
        </w:rPr>
      </w:pPr>
      <w:r w:rsidRPr="00136AB4">
        <w:rPr>
          <w:rFonts w:asciiTheme="minorHAnsi" w:hAnsiTheme="minorHAnsi" w:cstheme="minorHAnsi"/>
          <w:color w:val="303030"/>
          <w:shd w:val="clear" w:color="auto" w:fill="FFFFFF"/>
        </w:rPr>
        <w:t>The Community Pharmacy IT Group (CP ITG) has published its Autumn 2021 quarterly Pharmacy IT round-up, following the group’s September meeting.</w:t>
      </w:r>
      <w:r w:rsidRPr="00136AB4">
        <w:rPr>
          <w:rFonts w:asciiTheme="minorHAnsi" w:hAnsiTheme="minorHAnsi" w:cstheme="minorHAnsi"/>
          <w:color w:val="303030"/>
        </w:rPr>
        <w:t xml:space="preserve"> </w:t>
      </w:r>
      <w:r w:rsidRPr="00136AB4">
        <w:rPr>
          <w:rFonts w:asciiTheme="minorHAnsi" w:hAnsiTheme="minorHAnsi" w:cstheme="minorHAnsi"/>
          <w:color w:val="303030"/>
          <w:shd w:val="clear" w:color="auto" w:fill="FFFFFF"/>
        </w:rPr>
        <w:t>The Autumn round-up includes updates on Shared Care Records (</w:t>
      </w:r>
      <w:proofErr w:type="spellStart"/>
      <w:r w:rsidRPr="00136AB4">
        <w:rPr>
          <w:rFonts w:asciiTheme="minorHAnsi" w:hAnsiTheme="minorHAnsi" w:cstheme="minorHAnsi"/>
          <w:color w:val="303030"/>
          <w:shd w:val="clear" w:color="auto" w:fill="FFFFFF"/>
        </w:rPr>
        <w:t>ShCR</w:t>
      </w:r>
      <w:proofErr w:type="spellEnd"/>
      <w:r w:rsidRPr="00136AB4">
        <w:rPr>
          <w:rFonts w:asciiTheme="minorHAnsi" w:hAnsiTheme="minorHAnsi" w:cstheme="minorHAnsi"/>
          <w:color w:val="303030"/>
          <w:shd w:val="clear" w:color="auto" w:fill="FFFFFF"/>
        </w:rPr>
        <w:t>), paperless processing, Real-Time Exemption Checking (RTEC), and more. The round-up also lists opportunities for pharmacy teams to get involved with the ongoing work to improve pharmacy IT.</w:t>
      </w:r>
      <w:r w:rsidRPr="00136AB4">
        <w:rPr>
          <w:rFonts w:asciiTheme="minorHAnsi" w:hAnsiTheme="minorHAnsi" w:cstheme="minorHAnsi"/>
          <w:color w:val="303030"/>
          <w:shd w:val="clear" w:color="auto" w:fill="FFFFFF"/>
        </w:rPr>
        <w:t xml:space="preserve"> Read more here: </w:t>
      </w:r>
      <w:r w:rsidRPr="00136AB4">
        <w:rPr>
          <w:rFonts w:asciiTheme="minorHAnsi" w:hAnsiTheme="minorHAnsi" w:cstheme="minorHAnsi"/>
          <w:b/>
          <w:bCs/>
          <w:color w:val="4E3487"/>
          <w:u w:val="single"/>
          <w:shd w:val="clear" w:color="auto" w:fill="FFFFFF"/>
        </w:rPr>
        <w:t>https://psnc.org.uk/our-news/update-on-pharmacy-it-workstreams-published-3/</w:t>
      </w:r>
    </w:p>
    <w:p w14:paraId="674E19E9" w14:textId="3A44DF67" w:rsidR="004B6EAA" w:rsidRPr="00136AB4" w:rsidRDefault="004B6EAA" w:rsidP="00136AB4">
      <w:pPr>
        <w:spacing w:line="240" w:lineRule="auto"/>
        <w:jc w:val="both"/>
        <w:rPr>
          <w:rFonts w:asciiTheme="minorHAnsi" w:hAnsiTheme="minorHAnsi" w:cstheme="minorHAnsi"/>
          <w:b/>
          <w:bCs/>
          <w:u w:val="single"/>
        </w:rPr>
      </w:pPr>
    </w:p>
    <w:p w14:paraId="7F3B5180" w14:textId="7DC267D5" w:rsidR="004B6EAA" w:rsidRPr="00136AB4" w:rsidRDefault="004B6EAA" w:rsidP="00136AB4">
      <w:pPr>
        <w:spacing w:line="240" w:lineRule="auto"/>
        <w:jc w:val="both"/>
        <w:rPr>
          <w:rFonts w:asciiTheme="minorHAnsi" w:hAnsiTheme="minorHAnsi" w:cstheme="minorHAnsi"/>
          <w:b/>
          <w:bCs/>
          <w:u w:val="single"/>
        </w:rPr>
      </w:pPr>
      <w:r w:rsidRPr="00136AB4">
        <w:rPr>
          <w:rFonts w:asciiTheme="minorHAnsi" w:hAnsiTheme="minorHAnsi" w:cstheme="minorHAnsi"/>
          <w:b/>
          <w:bCs/>
          <w:u w:val="single"/>
        </w:rPr>
        <w:t>Medicine Supply Notification Updates</w:t>
      </w:r>
    </w:p>
    <w:p w14:paraId="26165010" w14:textId="410A4F0D" w:rsidR="004B6EAA" w:rsidRPr="00136AB4" w:rsidRDefault="004B6EAA" w:rsidP="00136AB4">
      <w:pPr>
        <w:spacing w:line="240" w:lineRule="auto"/>
        <w:jc w:val="both"/>
        <w:rPr>
          <w:rFonts w:asciiTheme="minorHAnsi" w:hAnsiTheme="minorHAnsi" w:cstheme="minorHAnsi"/>
          <w:b/>
          <w:bCs/>
          <w:u w:val="single"/>
        </w:rPr>
      </w:pPr>
    </w:p>
    <w:p w14:paraId="43878C60" w14:textId="076DD5BF" w:rsidR="004B6EAA" w:rsidRPr="00136AB4" w:rsidRDefault="004B6EAA" w:rsidP="00136AB4">
      <w:pPr>
        <w:spacing w:line="240" w:lineRule="auto"/>
        <w:jc w:val="both"/>
        <w:rPr>
          <w:rFonts w:asciiTheme="minorHAnsi" w:hAnsiTheme="minorHAnsi" w:cstheme="minorHAnsi"/>
        </w:rPr>
      </w:pPr>
      <w:r w:rsidRPr="00136AB4">
        <w:rPr>
          <w:rFonts w:asciiTheme="minorHAnsi" w:hAnsiTheme="minorHAnsi" w:cstheme="minorHAnsi"/>
        </w:rPr>
        <w:t>Updates have been issued for the following Medicine Supply Notifications:</w:t>
      </w:r>
    </w:p>
    <w:p w14:paraId="1BADB237" w14:textId="0B5CE687" w:rsidR="004B6EAA" w:rsidRPr="00136AB4" w:rsidRDefault="004B6EAA" w:rsidP="00136AB4">
      <w:pPr>
        <w:pStyle w:val="ListParagraph"/>
        <w:numPr>
          <w:ilvl w:val="0"/>
          <w:numId w:val="10"/>
        </w:numPr>
        <w:spacing w:line="240" w:lineRule="auto"/>
        <w:jc w:val="both"/>
        <w:rPr>
          <w:rFonts w:asciiTheme="minorHAnsi" w:hAnsiTheme="minorHAnsi" w:cstheme="minorHAnsi"/>
          <w:b/>
          <w:bCs/>
          <w:color w:val="4E3487"/>
        </w:rPr>
      </w:pPr>
      <w:hyperlink r:id="rId12" w:history="1">
        <w:r w:rsidRPr="00136AB4">
          <w:rPr>
            <w:rStyle w:val="Hyperlink"/>
            <w:rFonts w:asciiTheme="minorHAnsi" w:hAnsiTheme="minorHAnsi" w:cstheme="minorHAnsi"/>
            <w:b/>
            <w:bCs/>
            <w:color w:val="4E3487"/>
          </w:rPr>
          <w:t>Metronidazole (</w:t>
        </w:r>
        <w:proofErr w:type="spellStart"/>
        <w:r w:rsidRPr="00136AB4">
          <w:rPr>
            <w:rStyle w:val="Hyperlink"/>
            <w:rFonts w:asciiTheme="minorHAnsi" w:hAnsiTheme="minorHAnsi" w:cstheme="minorHAnsi"/>
            <w:b/>
            <w:bCs/>
            <w:color w:val="4E3487"/>
          </w:rPr>
          <w:t>Acea</w:t>
        </w:r>
        <w:proofErr w:type="spellEnd"/>
        <w:r w:rsidRPr="00136AB4">
          <w:rPr>
            <w:rStyle w:val="Hyperlink"/>
            <w:rFonts w:asciiTheme="minorHAnsi" w:hAnsiTheme="minorHAnsi" w:cstheme="minorHAnsi"/>
            <w:b/>
            <w:bCs/>
            <w:color w:val="4E3487"/>
          </w:rPr>
          <w:t>) 0.75% gel</w:t>
        </w:r>
      </w:hyperlink>
    </w:p>
    <w:p w14:paraId="06047089" w14:textId="56C9F98F" w:rsidR="004B6EAA" w:rsidRPr="00136AB4" w:rsidRDefault="004B6EAA" w:rsidP="00136AB4">
      <w:pPr>
        <w:pStyle w:val="ListParagraph"/>
        <w:numPr>
          <w:ilvl w:val="0"/>
          <w:numId w:val="10"/>
        </w:numPr>
        <w:spacing w:line="240" w:lineRule="auto"/>
        <w:jc w:val="both"/>
        <w:rPr>
          <w:rStyle w:val="Strong"/>
          <w:rFonts w:asciiTheme="minorHAnsi" w:hAnsiTheme="minorHAnsi" w:cstheme="minorHAnsi"/>
          <w:color w:val="4E3487"/>
        </w:rPr>
      </w:pPr>
      <w:hyperlink r:id="rId13" w:history="1">
        <w:r w:rsidRPr="00136AB4">
          <w:rPr>
            <w:rStyle w:val="Hyperlink"/>
            <w:rFonts w:asciiTheme="minorHAnsi" w:hAnsiTheme="minorHAnsi" w:cstheme="minorHAnsi"/>
            <w:b/>
            <w:bCs/>
            <w:color w:val="4E3487"/>
          </w:rPr>
          <w:t>Catapres (clonidine) 100microgram tablets</w:t>
        </w:r>
      </w:hyperlink>
    </w:p>
    <w:p w14:paraId="1D77BA2B" w14:textId="1A95A9FD" w:rsidR="004B6EAA" w:rsidRPr="00136AB4" w:rsidRDefault="004B6EAA" w:rsidP="00136AB4">
      <w:pPr>
        <w:pStyle w:val="ListParagraph"/>
        <w:numPr>
          <w:ilvl w:val="0"/>
          <w:numId w:val="10"/>
        </w:numPr>
        <w:spacing w:line="240" w:lineRule="auto"/>
        <w:jc w:val="both"/>
        <w:rPr>
          <w:rFonts w:asciiTheme="minorHAnsi" w:hAnsiTheme="minorHAnsi" w:cstheme="minorHAnsi"/>
          <w:b/>
          <w:bCs/>
          <w:color w:val="4E3487"/>
        </w:rPr>
      </w:pPr>
      <w:hyperlink r:id="rId14" w:history="1">
        <w:proofErr w:type="spellStart"/>
        <w:r w:rsidRPr="00136AB4">
          <w:rPr>
            <w:rStyle w:val="Hyperlink"/>
            <w:rFonts w:asciiTheme="minorHAnsi" w:hAnsiTheme="minorHAnsi" w:cstheme="minorHAnsi"/>
            <w:b/>
            <w:bCs/>
            <w:color w:val="4E3487"/>
          </w:rPr>
          <w:t>Nalcrom</w:t>
        </w:r>
        <w:proofErr w:type="spellEnd"/>
        <w:r w:rsidRPr="00136AB4">
          <w:rPr>
            <w:rStyle w:val="Hyperlink"/>
            <w:rFonts w:asciiTheme="minorHAnsi" w:hAnsiTheme="minorHAnsi" w:cstheme="minorHAnsi"/>
            <w:b/>
            <w:bCs/>
            <w:color w:val="4E3487"/>
          </w:rPr>
          <w:t xml:space="preserve"> (sodium cromoglicate) 100mg capsules</w:t>
        </w:r>
      </w:hyperlink>
    </w:p>
    <w:p w14:paraId="7AA7162A" w14:textId="7775DBB4" w:rsidR="004B6EAA" w:rsidRPr="00136AB4" w:rsidRDefault="004B6EAA" w:rsidP="00136AB4">
      <w:pPr>
        <w:spacing w:line="240" w:lineRule="auto"/>
        <w:jc w:val="both"/>
        <w:rPr>
          <w:rFonts w:asciiTheme="minorHAnsi" w:hAnsiTheme="minorHAnsi" w:cstheme="minorHAnsi"/>
          <w:b/>
          <w:bCs/>
        </w:rPr>
      </w:pPr>
    </w:p>
    <w:p w14:paraId="7F7A7D5A" w14:textId="62F55CF8" w:rsidR="004B6EAA" w:rsidRPr="00136AB4" w:rsidRDefault="004B6EAA" w:rsidP="00136AB4">
      <w:pPr>
        <w:spacing w:line="240" w:lineRule="auto"/>
        <w:jc w:val="both"/>
        <w:rPr>
          <w:rStyle w:val="Strong"/>
          <w:rFonts w:asciiTheme="minorHAnsi" w:hAnsiTheme="minorHAnsi" w:cstheme="minorHAnsi"/>
          <w:color w:val="4E3487"/>
          <w:u w:val="single"/>
        </w:rPr>
      </w:pPr>
      <w:r w:rsidRPr="00136AB4">
        <w:rPr>
          <w:rFonts w:asciiTheme="minorHAnsi" w:hAnsiTheme="minorHAnsi" w:cstheme="minorHAnsi"/>
        </w:rPr>
        <w:t xml:space="preserve">The Department of Health and Social Care (DHSC) also issued a Medicine Supply Notification for </w:t>
      </w:r>
      <w:proofErr w:type="spellStart"/>
      <w:r w:rsidRPr="00136AB4">
        <w:rPr>
          <w:rStyle w:val="Strong"/>
          <w:rFonts w:asciiTheme="minorHAnsi" w:hAnsiTheme="minorHAnsi" w:cstheme="minorHAnsi"/>
          <w:color w:val="444444"/>
        </w:rPr>
        <w:t>Mesalazine</w:t>
      </w:r>
      <w:proofErr w:type="spellEnd"/>
      <w:r w:rsidRPr="00136AB4">
        <w:rPr>
          <w:rStyle w:val="Strong"/>
          <w:rFonts w:asciiTheme="minorHAnsi" w:hAnsiTheme="minorHAnsi" w:cstheme="minorHAnsi"/>
          <w:color w:val="444444"/>
        </w:rPr>
        <w:t xml:space="preserve"> (</w:t>
      </w:r>
      <w:proofErr w:type="spellStart"/>
      <w:r w:rsidRPr="00136AB4">
        <w:rPr>
          <w:rStyle w:val="Strong"/>
          <w:rFonts w:asciiTheme="minorHAnsi" w:hAnsiTheme="minorHAnsi" w:cstheme="minorHAnsi"/>
          <w:color w:val="444444"/>
        </w:rPr>
        <w:t>Asacol</w:t>
      </w:r>
      <w:proofErr w:type="spellEnd"/>
      <w:r w:rsidRPr="00136AB4">
        <w:rPr>
          <w:rStyle w:val="Strong"/>
          <w:rFonts w:asciiTheme="minorHAnsi" w:hAnsiTheme="minorHAnsi" w:cstheme="minorHAnsi"/>
          <w:color w:val="444444"/>
        </w:rPr>
        <w:t>) 800mg MR gastro-resistant tablets</w:t>
      </w:r>
      <w:r w:rsidRPr="00136AB4">
        <w:rPr>
          <w:rStyle w:val="Strong"/>
          <w:rFonts w:asciiTheme="minorHAnsi" w:hAnsiTheme="minorHAnsi" w:cstheme="minorHAnsi"/>
          <w:b w:val="0"/>
          <w:bCs w:val="0"/>
          <w:color w:val="444444"/>
        </w:rPr>
        <w:t xml:space="preserve">. Read more here: </w:t>
      </w:r>
      <w:hyperlink r:id="rId15" w:history="1">
        <w:r w:rsidRPr="00136AB4">
          <w:rPr>
            <w:rStyle w:val="Hyperlink"/>
            <w:rFonts w:asciiTheme="minorHAnsi" w:hAnsiTheme="minorHAnsi" w:cstheme="minorHAnsi"/>
            <w:b/>
            <w:bCs/>
            <w:color w:val="4E3487"/>
          </w:rPr>
          <w:t>https://psnc.org.uk/our-news/medicine-supply-notification-mesalazine-asacol-800mg-mr-gastro-resistant-tablets/</w:t>
        </w:r>
      </w:hyperlink>
    </w:p>
    <w:p w14:paraId="075C5502" w14:textId="16A13068" w:rsidR="004B6EAA" w:rsidRPr="00136AB4" w:rsidRDefault="004B6EAA" w:rsidP="00136AB4">
      <w:pPr>
        <w:spacing w:line="240" w:lineRule="auto"/>
        <w:jc w:val="both"/>
        <w:rPr>
          <w:rStyle w:val="Strong"/>
          <w:rFonts w:asciiTheme="minorHAnsi" w:hAnsiTheme="minorHAnsi" w:cstheme="minorHAnsi"/>
          <w:color w:val="444444"/>
          <w:u w:val="single"/>
        </w:rPr>
      </w:pPr>
    </w:p>
    <w:p w14:paraId="40CAC89E" w14:textId="39DBB6BB" w:rsidR="004B6EAA" w:rsidRPr="00136AB4" w:rsidRDefault="004B6EAA" w:rsidP="00136AB4">
      <w:pPr>
        <w:spacing w:line="240" w:lineRule="auto"/>
        <w:jc w:val="both"/>
        <w:rPr>
          <w:rStyle w:val="Strong"/>
          <w:rFonts w:asciiTheme="minorHAnsi" w:hAnsiTheme="minorHAnsi" w:cstheme="minorHAnsi"/>
          <w:color w:val="444444"/>
          <w:u w:val="single"/>
        </w:rPr>
      </w:pPr>
      <w:r w:rsidRPr="00136AB4">
        <w:rPr>
          <w:rStyle w:val="Strong"/>
          <w:rFonts w:asciiTheme="minorHAnsi" w:hAnsiTheme="minorHAnsi" w:cstheme="minorHAnsi"/>
          <w:color w:val="444444"/>
          <w:u w:val="single"/>
        </w:rPr>
        <w:t>MHRA Drug Safety Update October 2021</w:t>
      </w:r>
    </w:p>
    <w:p w14:paraId="3CFDF4EE" w14:textId="05F6E3C6" w:rsidR="004B6EAA" w:rsidRPr="00136AB4" w:rsidRDefault="004B6EAA" w:rsidP="00136AB4">
      <w:pPr>
        <w:spacing w:line="240" w:lineRule="auto"/>
        <w:jc w:val="both"/>
        <w:rPr>
          <w:rFonts w:asciiTheme="minorHAnsi" w:hAnsiTheme="minorHAnsi" w:cstheme="minorHAnsi"/>
          <w:b/>
          <w:bCs/>
          <w:color w:val="4E3487"/>
          <w:u w:val="single"/>
          <w:shd w:val="clear" w:color="auto" w:fill="FFFFFF"/>
        </w:rPr>
      </w:pPr>
      <w:r w:rsidRPr="00136AB4">
        <w:rPr>
          <w:rFonts w:asciiTheme="minorHAnsi" w:hAnsiTheme="minorHAnsi" w:cstheme="minorHAnsi"/>
          <w:color w:val="303030"/>
          <w:shd w:val="clear" w:color="auto" w:fill="FFFFFF"/>
        </w:rPr>
        <w:t>A new Medicines and Healthcare products Regulatory Agency (MHRA) Drug Safety Update has been published and includes articles on COVID-19 vaccines, </w:t>
      </w:r>
      <w:proofErr w:type="spellStart"/>
      <w:r w:rsidRPr="00136AB4">
        <w:rPr>
          <w:rFonts w:asciiTheme="minorHAnsi" w:hAnsiTheme="minorHAnsi" w:cstheme="minorHAnsi"/>
          <w:color w:val="303030"/>
          <w:shd w:val="clear" w:color="auto" w:fill="FFFFFF"/>
        </w:rPr>
        <w:t>MedSafetyWeek</w:t>
      </w:r>
      <w:proofErr w:type="spellEnd"/>
      <w:r w:rsidRPr="00136AB4">
        <w:rPr>
          <w:rFonts w:asciiTheme="minorHAnsi" w:hAnsiTheme="minorHAnsi" w:cstheme="minorHAnsi"/>
          <w:color w:val="303030"/>
          <w:shd w:val="clear" w:color="auto" w:fill="FFFFFF"/>
        </w:rPr>
        <w:t xml:space="preserve"> 2021, and more.</w:t>
      </w:r>
      <w:r w:rsidRPr="00136AB4">
        <w:rPr>
          <w:rFonts w:asciiTheme="minorHAnsi" w:hAnsiTheme="minorHAnsi" w:cstheme="minorHAnsi"/>
          <w:color w:val="303030"/>
          <w:shd w:val="clear" w:color="auto" w:fill="FFFFFF"/>
        </w:rPr>
        <w:t xml:space="preserve"> Read more here: </w:t>
      </w:r>
      <w:hyperlink r:id="rId16" w:history="1">
        <w:r w:rsidRPr="00136AB4">
          <w:rPr>
            <w:rStyle w:val="Hyperlink"/>
            <w:rFonts w:asciiTheme="minorHAnsi" w:hAnsiTheme="minorHAnsi" w:cstheme="minorHAnsi"/>
            <w:b/>
            <w:bCs/>
            <w:color w:val="4E3487"/>
            <w:shd w:val="clear" w:color="auto" w:fill="FFFFFF"/>
          </w:rPr>
          <w:t>https://psnc.org.uk/our-news/mhra-drug-safety-update-october-2021/</w:t>
        </w:r>
      </w:hyperlink>
    </w:p>
    <w:p w14:paraId="677561AC" w14:textId="50EB4347" w:rsidR="004B6EAA" w:rsidRPr="00136AB4" w:rsidRDefault="004B6EAA" w:rsidP="00136AB4">
      <w:pPr>
        <w:spacing w:line="240" w:lineRule="auto"/>
        <w:jc w:val="both"/>
        <w:rPr>
          <w:rFonts w:asciiTheme="minorHAnsi" w:hAnsiTheme="minorHAnsi" w:cstheme="minorHAnsi"/>
          <w:b/>
          <w:bCs/>
          <w:color w:val="303030"/>
          <w:u w:val="single"/>
          <w:shd w:val="clear" w:color="auto" w:fill="FFFFFF"/>
        </w:rPr>
      </w:pPr>
    </w:p>
    <w:p w14:paraId="6C80DA66" w14:textId="7E906C2C" w:rsidR="004B6EAA" w:rsidRPr="00136AB4" w:rsidRDefault="004B6EAA" w:rsidP="00136AB4">
      <w:pPr>
        <w:spacing w:line="240" w:lineRule="auto"/>
        <w:jc w:val="both"/>
        <w:rPr>
          <w:rFonts w:asciiTheme="minorHAnsi" w:hAnsiTheme="minorHAnsi" w:cstheme="minorHAnsi"/>
          <w:b/>
          <w:bCs/>
          <w:color w:val="303030"/>
          <w:u w:val="single"/>
          <w:shd w:val="clear" w:color="auto" w:fill="FFFFFF"/>
        </w:rPr>
      </w:pPr>
      <w:r w:rsidRPr="00136AB4">
        <w:rPr>
          <w:rFonts w:asciiTheme="minorHAnsi" w:hAnsiTheme="minorHAnsi" w:cstheme="minorHAnsi"/>
          <w:b/>
          <w:bCs/>
          <w:color w:val="303030"/>
          <w:u w:val="single"/>
          <w:shd w:val="clear" w:color="auto" w:fill="FFFFFF"/>
        </w:rPr>
        <w:t>NHSX publishes new CPCS Buyers Guide</w:t>
      </w:r>
    </w:p>
    <w:p w14:paraId="0592D16B" w14:textId="23205641" w:rsidR="004B6EAA" w:rsidRPr="00136AB4" w:rsidRDefault="004B6EAA" w:rsidP="00136AB4">
      <w:pPr>
        <w:spacing w:line="240" w:lineRule="auto"/>
        <w:jc w:val="both"/>
        <w:rPr>
          <w:rStyle w:val="Strong"/>
          <w:rFonts w:asciiTheme="minorHAnsi" w:hAnsiTheme="minorHAnsi" w:cstheme="minorHAnsi"/>
          <w:b w:val="0"/>
          <w:bCs w:val="0"/>
          <w:color w:val="444444"/>
          <w:u w:val="single"/>
        </w:rPr>
      </w:pPr>
      <w:r w:rsidRPr="00136AB4">
        <w:rPr>
          <w:rFonts w:asciiTheme="minorHAnsi" w:hAnsiTheme="minorHAnsi" w:cstheme="minorHAnsi"/>
          <w:color w:val="303030"/>
          <w:shd w:val="clear" w:color="auto" w:fill="FFFFFF"/>
        </w:rPr>
        <w:t>NHSX and partner organisations have published a new CPCS Buyer’s Guide to help contractors prepare for the transfer to them of the cost of Community Pharmacist Consultation Service (CPCS) IT solutions.</w:t>
      </w:r>
      <w:r w:rsidRPr="00136AB4">
        <w:rPr>
          <w:rFonts w:asciiTheme="minorHAnsi" w:hAnsiTheme="minorHAnsi" w:cstheme="minorHAnsi"/>
          <w:color w:val="303030"/>
          <w:shd w:val="clear" w:color="auto" w:fill="FFFFFF"/>
        </w:rPr>
        <w:t xml:space="preserve"> Read more here: </w:t>
      </w:r>
      <w:r w:rsidRPr="00136AB4">
        <w:rPr>
          <w:rFonts w:asciiTheme="minorHAnsi" w:hAnsiTheme="minorHAnsi" w:cstheme="minorHAnsi"/>
          <w:b/>
          <w:bCs/>
          <w:color w:val="4E3487"/>
          <w:u w:val="single"/>
          <w:shd w:val="clear" w:color="auto" w:fill="FFFFFF"/>
        </w:rPr>
        <w:t>https://psnc.org.uk/our-news/nhsx-publishes-new-cpcs-buyers-guide/</w:t>
      </w:r>
    </w:p>
    <w:p w14:paraId="69529C76" w14:textId="77777777" w:rsidR="004B6EAA" w:rsidRPr="00136AB4" w:rsidRDefault="004B6EAA" w:rsidP="00136AB4">
      <w:pPr>
        <w:spacing w:line="240" w:lineRule="auto"/>
        <w:jc w:val="both"/>
        <w:rPr>
          <w:rFonts w:asciiTheme="minorHAnsi" w:hAnsiTheme="minorHAnsi" w:cstheme="minorHAnsi"/>
        </w:rPr>
      </w:pPr>
    </w:p>
    <w:p w14:paraId="6FCBCEC8" w14:textId="449682AF" w:rsidR="004B6EAA" w:rsidRPr="00136AB4" w:rsidRDefault="004B6EAA" w:rsidP="00136AB4">
      <w:pPr>
        <w:spacing w:line="240" w:lineRule="auto"/>
        <w:jc w:val="both"/>
        <w:rPr>
          <w:rFonts w:asciiTheme="minorHAnsi" w:hAnsiTheme="minorHAnsi" w:cstheme="minorHAnsi"/>
          <w:b/>
          <w:bCs/>
          <w:u w:val="single"/>
        </w:rPr>
      </w:pPr>
      <w:r w:rsidRPr="00136AB4">
        <w:rPr>
          <w:rFonts w:asciiTheme="minorHAnsi" w:hAnsiTheme="minorHAnsi" w:cstheme="minorHAnsi"/>
          <w:b/>
          <w:bCs/>
          <w:u w:val="single"/>
        </w:rPr>
        <w:t>Electronic route for submission of Temporary Safeguarding Payment claims</w:t>
      </w:r>
    </w:p>
    <w:p w14:paraId="5D205235" w14:textId="6103F18D" w:rsidR="004B6EAA" w:rsidRPr="00136AB4" w:rsidRDefault="00136AB4" w:rsidP="00136AB4">
      <w:pPr>
        <w:spacing w:line="240" w:lineRule="auto"/>
        <w:jc w:val="both"/>
        <w:rPr>
          <w:rFonts w:asciiTheme="minorHAnsi" w:hAnsiTheme="minorHAnsi" w:cstheme="minorHAnsi"/>
          <w:b/>
          <w:bCs/>
          <w:u w:val="single"/>
        </w:rPr>
      </w:pPr>
      <w:r w:rsidRPr="00136AB4">
        <w:rPr>
          <w:rFonts w:asciiTheme="minorHAnsi" w:hAnsiTheme="minorHAnsi" w:cstheme="minorHAnsi"/>
          <w:color w:val="303030"/>
          <w:shd w:val="clear" w:color="auto" w:fill="FFFFFF"/>
        </w:rPr>
        <w:lastRenderedPageBreak/>
        <w:t>From this month (</w:t>
      </w:r>
      <w:r w:rsidRPr="00136AB4">
        <w:rPr>
          <w:rStyle w:val="Strong"/>
          <w:rFonts w:asciiTheme="minorHAnsi" w:hAnsiTheme="minorHAnsi" w:cstheme="minorHAnsi"/>
          <w:color w:val="303030"/>
          <w:shd w:val="clear" w:color="auto" w:fill="FFFFFF"/>
        </w:rPr>
        <w:t>October 2021</w:t>
      </w:r>
      <w:r w:rsidRPr="00136AB4">
        <w:rPr>
          <w:rFonts w:asciiTheme="minorHAnsi" w:hAnsiTheme="minorHAnsi" w:cstheme="minorHAnsi"/>
          <w:color w:val="303030"/>
          <w:shd w:val="clear" w:color="auto" w:fill="FFFFFF"/>
        </w:rPr>
        <w:t>), any claims for Temporary Safeguarding Payments are required to be submitted electronically rather than sending a physical form with their FP34C submission document.</w:t>
      </w:r>
      <w:r w:rsidRPr="00136AB4">
        <w:rPr>
          <w:rFonts w:asciiTheme="minorHAnsi" w:hAnsiTheme="minorHAnsi" w:cstheme="minorHAnsi"/>
          <w:color w:val="303030"/>
        </w:rPr>
        <w:t xml:space="preserve"> </w:t>
      </w:r>
      <w:r w:rsidRPr="00136AB4">
        <w:rPr>
          <w:rFonts w:asciiTheme="minorHAnsi" w:hAnsiTheme="minorHAnsi" w:cstheme="minorHAnsi"/>
          <w:color w:val="303030"/>
          <w:shd w:val="clear" w:color="auto" w:fill="FFFFFF"/>
        </w:rPr>
        <w:t>With use of the MYS portal becoming compulsory for submission of FP34Cs from </w:t>
      </w:r>
      <w:r w:rsidRPr="00136AB4">
        <w:rPr>
          <w:rStyle w:val="Strong"/>
          <w:rFonts w:asciiTheme="minorHAnsi" w:hAnsiTheme="minorHAnsi" w:cstheme="minorHAnsi"/>
          <w:color w:val="303030"/>
          <w:shd w:val="clear" w:color="auto" w:fill="FFFFFF"/>
        </w:rPr>
        <w:t>March 2022</w:t>
      </w:r>
      <w:r w:rsidRPr="00136AB4">
        <w:rPr>
          <w:rFonts w:asciiTheme="minorHAnsi" w:hAnsiTheme="minorHAnsi" w:cstheme="minorHAnsi"/>
          <w:color w:val="303030"/>
          <w:shd w:val="clear" w:color="auto" w:fill="FFFFFF"/>
        </w:rPr>
        <w:t>, DHSC has agreed to a paperless route for submission of Temporary Safeguarding Payment claims.</w:t>
      </w:r>
      <w:r w:rsidRPr="00136AB4">
        <w:rPr>
          <w:rFonts w:asciiTheme="minorHAnsi" w:hAnsiTheme="minorHAnsi" w:cstheme="minorHAnsi"/>
          <w:color w:val="303030"/>
          <w:shd w:val="clear" w:color="auto" w:fill="FFFFFF"/>
        </w:rPr>
        <w:t xml:space="preserve"> Read more here: </w:t>
      </w:r>
      <w:r w:rsidRPr="00136AB4">
        <w:rPr>
          <w:rFonts w:asciiTheme="minorHAnsi" w:hAnsiTheme="minorHAnsi" w:cstheme="minorHAnsi"/>
          <w:b/>
          <w:bCs/>
          <w:color w:val="4E3487"/>
          <w:u w:val="single"/>
          <w:shd w:val="clear" w:color="auto" w:fill="FFFFFF"/>
        </w:rPr>
        <w:t>https://psnc.org.uk/our-news/contractor-notice-electronic-route-for-submission-of-temporary-safeguarding-payment-claims/</w:t>
      </w:r>
    </w:p>
    <w:p w14:paraId="5540309C" w14:textId="6F568F7A" w:rsidR="004B6EAA" w:rsidRPr="00136AB4" w:rsidRDefault="004B6EAA" w:rsidP="00136AB4">
      <w:pPr>
        <w:spacing w:line="240" w:lineRule="auto"/>
        <w:jc w:val="both"/>
        <w:rPr>
          <w:rFonts w:asciiTheme="minorHAnsi" w:hAnsiTheme="minorHAnsi" w:cstheme="minorHAnsi"/>
          <w:b/>
          <w:bCs/>
        </w:rPr>
      </w:pPr>
    </w:p>
    <w:p w14:paraId="66CB32AE" w14:textId="049BC796" w:rsidR="00136AB4" w:rsidRPr="00136AB4" w:rsidRDefault="00136AB4" w:rsidP="00136AB4">
      <w:pPr>
        <w:spacing w:line="240" w:lineRule="auto"/>
        <w:jc w:val="both"/>
        <w:rPr>
          <w:rFonts w:asciiTheme="minorHAnsi" w:hAnsiTheme="minorHAnsi" w:cstheme="minorHAnsi"/>
          <w:b/>
          <w:bCs/>
          <w:u w:val="single"/>
        </w:rPr>
      </w:pPr>
      <w:r w:rsidRPr="00136AB4">
        <w:rPr>
          <w:rFonts w:asciiTheme="minorHAnsi" w:hAnsiTheme="minorHAnsi" w:cstheme="minorHAnsi"/>
          <w:b/>
          <w:bCs/>
          <w:u w:val="single"/>
        </w:rPr>
        <w:t>Webinar on changes to Advance Payments now on-demand</w:t>
      </w:r>
    </w:p>
    <w:p w14:paraId="67447CA3" w14:textId="62F88E53" w:rsidR="00136AB4" w:rsidRPr="00136AB4" w:rsidRDefault="00136AB4" w:rsidP="00136AB4">
      <w:pPr>
        <w:spacing w:line="240" w:lineRule="auto"/>
        <w:jc w:val="both"/>
        <w:rPr>
          <w:rFonts w:asciiTheme="minorHAnsi" w:hAnsiTheme="minorHAnsi" w:cstheme="minorHAnsi"/>
          <w:b/>
          <w:bCs/>
          <w:color w:val="4E3487"/>
          <w:u w:val="single"/>
        </w:rPr>
      </w:pPr>
      <w:r w:rsidRPr="00136AB4">
        <w:rPr>
          <w:rFonts w:asciiTheme="minorHAnsi" w:hAnsiTheme="minorHAnsi" w:cstheme="minorHAnsi"/>
          <w:color w:val="303030"/>
          <w:shd w:val="clear" w:color="auto" w:fill="FFFFFF"/>
        </w:rPr>
        <w:t>PSNC’s webinar about the upcoming changes to advance payments and FP34C submission requirements is now available on-demand. Over 90% of attendees said they would recommend the webinar to others, with almost two-thirds (63%) saying that they found it very useful.</w:t>
      </w:r>
      <w:r w:rsidRPr="00136AB4">
        <w:rPr>
          <w:rFonts w:asciiTheme="minorHAnsi" w:hAnsiTheme="minorHAnsi" w:cstheme="minorHAnsi"/>
          <w:color w:val="303030"/>
          <w:shd w:val="clear" w:color="auto" w:fill="FFFFFF"/>
        </w:rPr>
        <w:t xml:space="preserve"> Watch the webinar: </w:t>
      </w:r>
      <w:r w:rsidRPr="00136AB4">
        <w:rPr>
          <w:rFonts w:asciiTheme="minorHAnsi" w:hAnsiTheme="minorHAnsi" w:cstheme="minorHAnsi"/>
          <w:b/>
          <w:bCs/>
          <w:color w:val="4E3487"/>
          <w:u w:val="single"/>
          <w:shd w:val="clear" w:color="auto" w:fill="FFFFFF"/>
        </w:rPr>
        <w:t>https://psnc.org.uk/our-news/webinar-on-changes-to-advance-payments-now-on-demand/</w:t>
      </w:r>
    </w:p>
    <w:p w14:paraId="592F1B0A" w14:textId="7478FF62" w:rsidR="004B6EAA" w:rsidRPr="00136AB4" w:rsidRDefault="004B6EAA" w:rsidP="00136AB4">
      <w:pPr>
        <w:spacing w:line="240" w:lineRule="auto"/>
        <w:jc w:val="both"/>
        <w:rPr>
          <w:rFonts w:asciiTheme="minorHAnsi" w:hAnsiTheme="minorHAnsi" w:cstheme="minorHAnsi"/>
          <w:b/>
          <w:bCs/>
          <w:u w:val="single"/>
        </w:rPr>
      </w:pPr>
    </w:p>
    <w:p w14:paraId="1F14269D" w14:textId="77777777" w:rsidR="00136AB4" w:rsidRPr="00136AB4" w:rsidRDefault="00136AB4" w:rsidP="00136AB4">
      <w:pPr>
        <w:spacing w:line="240" w:lineRule="auto"/>
        <w:jc w:val="both"/>
        <w:rPr>
          <w:rFonts w:asciiTheme="minorHAnsi" w:hAnsiTheme="minorHAnsi" w:cstheme="minorHAnsi"/>
          <w:b/>
          <w:bCs/>
          <w:u w:val="single"/>
        </w:rPr>
      </w:pPr>
      <w:r w:rsidRPr="00136AB4">
        <w:rPr>
          <w:rFonts w:asciiTheme="minorHAnsi" w:hAnsiTheme="minorHAnsi" w:cstheme="minorHAnsi"/>
          <w:b/>
          <w:bCs/>
          <w:u w:val="single"/>
        </w:rPr>
        <w:t>Guidance published on accessing DHSC flu vac stock</w:t>
      </w:r>
    </w:p>
    <w:p w14:paraId="27268DB4" w14:textId="5DA7E4BD" w:rsidR="00136AB4" w:rsidRPr="00136AB4" w:rsidRDefault="00136AB4" w:rsidP="00136AB4">
      <w:pPr>
        <w:spacing w:line="240" w:lineRule="auto"/>
        <w:jc w:val="both"/>
        <w:rPr>
          <w:rFonts w:asciiTheme="minorHAnsi" w:hAnsiTheme="minorHAnsi" w:cstheme="minorHAnsi"/>
          <w:b/>
          <w:bCs/>
          <w:color w:val="4E3487"/>
          <w:u w:val="single"/>
        </w:rPr>
      </w:pPr>
      <w:r w:rsidRPr="00136AB4">
        <w:rPr>
          <w:rFonts w:asciiTheme="minorHAnsi" w:hAnsiTheme="minorHAnsi" w:cstheme="minorHAnsi"/>
        </w:rPr>
        <w:t>DHSC has published guidance</w:t>
      </w:r>
      <w:r w:rsidRPr="00136AB4">
        <w:rPr>
          <w:rFonts w:asciiTheme="minorHAnsi" w:hAnsiTheme="minorHAnsi" w:cstheme="minorHAnsi"/>
          <w:color w:val="444444"/>
          <w:lang w:val="en-US"/>
        </w:rPr>
        <w:t> on how community pharmacy contractors will be able to access supplies of flu vaccines procured centrally by the Government.</w:t>
      </w:r>
      <w:r w:rsidRPr="00136AB4">
        <w:rPr>
          <w:rFonts w:asciiTheme="minorHAnsi" w:hAnsiTheme="minorHAnsi" w:cstheme="minorHAnsi"/>
          <w:color w:val="444444"/>
          <w:lang w:val="en-US"/>
        </w:rPr>
        <w:t xml:space="preserve"> </w:t>
      </w:r>
      <w:proofErr w:type="gramStart"/>
      <w:r w:rsidRPr="00136AB4">
        <w:rPr>
          <w:rFonts w:asciiTheme="minorHAnsi" w:eastAsia="Times New Roman" w:hAnsiTheme="minorHAnsi" w:cstheme="minorHAnsi"/>
          <w:color w:val="444444"/>
          <w:lang w:val="en-US"/>
        </w:rPr>
        <w:t>In order to</w:t>
      </w:r>
      <w:proofErr w:type="gramEnd"/>
      <w:r w:rsidRPr="00136AB4">
        <w:rPr>
          <w:rFonts w:asciiTheme="minorHAnsi" w:eastAsia="Times New Roman" w:hAnsiTheme="minorHAnsi" w:cstheme="minorHAnsi"/>
          <w:color w:val="444444"/>
          <w:lang w:val="en-US"/>
        </w:rPr>
        <w:t xml:space="preserve"> achieve even higher vaccine uptake rates compared to last year, DHSC has secured an additional supply of influenza vaccines, as a temporary measure for this year only. These vaccines will be available for NHS trusts, general practices and community pharmacies, to top up local supplies once they run low and will be deployed to areas where it is most needed to </w:t>
      </w:r>
      <w:proofErr w:type="spellStart"/>
      <w:r w:rsidRPr="00136AB4">
        <w:rPr>
          <w:rFonts w:asciiTheme="minorHAnsi" w:eastAsia="Times New Roman" w:hAnsiTheme="minorHAnsi" w:cstheme="minorHAnsi"/>
          <w:color w:val="444444"/>
          <w:lang w:val="en-US"/>
        </w:rPr>
        <w:t>maximise</w:t>
      </w:r>
      <w:proofErr w:type="spellEnd"/>
      <w:r w:rsidRPr="00136AB4">
        <w:rPr>
          <w:rFonts w:asciiTheme="minorHAnsi" w:eastAsia="Times New Roman" w:hAnsiTheme="minorHAnsi" w:cstheme="minorHAnsi"/>
          <w:color w:val="444444"/>
          <w:lang w:val="en-US"/>
        </w:rPr>
        <w:t xml:space="preserve"> uptake.</w:t>
      </w:r>
      <w:r w:rsidRPr="00136AB4">
        <w:rPr>
          <w:rFonts w:asciiTheme="minorHAnsi" w:eastAsia="Times New Roman" w:hAnsiTheme="minorHAnsi" w:cstheme="minorHAnsi"/>
          <w:color w:val="444444"/>
          <w:lang w:val="en-US"/>
        </w:rPr>
        <w:t xml:space="preserve"> Read more here: </w:t>
      </w:r>
      <w:r w:rsidRPr="00136AB4">
        <w:rPr>
          <w:rFonts w:asciiTheme="minorHAnsi" w:eastAsia="Times New Roman" w:hAnsiTheme="minorHAnsi" w:cstheme="minorHAnsi"/>
          <w:b/>
          <w:bCs/>
          <w:color w:val="4E3487"/>
          <w:u w:val="single"/>
          <w:lang w:val="en-US"/>
        </w:rPr>
        <w:t>https://psnc.org.uk/our-news/guidance-published-on-accessing-dhsc-flu-vac-stock-2/</w:t>
      </w:r>
    </w:p>
    <w:p w14:paraId="04A7026A" w14:textId="77777777" w:rsidR="004B6EAA" w:rsidRPr="00833328" w:rsidRDefault="004B6EAA" w:rsidP="00833328">
      <w:pPr>
        <w:spacing w:line="240" w:lineRule="auto"/>
        <w:jc w:val="both"/>
        <w:rPr>
          <w:rFonts w:asciiTheme="minorHAnsi" w:hAnsiTheme="minorHAnsi" w:cstheme="minorHAnsi"/>
          <w:b/>
          <w:bCs/>
          <w:color w:val="5B518E"/>
        </w:rPr>
      </w:pPr>
    </w:p>
    <w:p w14:paraId="060B45CF" w14:textId="171F873F" w:rsidR="00DA0B6A"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b/>
          <w:bCs/>
          <w:color w:val="5B518E"/>
        </w:rPr>
        <w:t>COVID-19 Appendix</w:t>
      </w:r>
    </w:p>
    <w:p w14:paraId="590E9AEC" w14:textId="5903E8EA"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b/>
          <w:bCs/>
          <w:u w:val="single"/>
        </w:rPr>
        <w:t>Remember: Key actions to take during the pandemic</w:t>
      </w:r>
    </w:p>
    <w:p w14:paraId="5EE85C2F" w14:textId="01347AFC"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rPr>
        <w:t>Contractors and pharmacy teams can take the following actions to ensure they are well prepared:</w:t>
      </w:r>
    </w:p>
    <w:p w14:paraId="3A4658BF" w14:textId="444913F3" w:rsidR="122549B2" w:rsidRPr="005714CE" w:rsidRDefault="122549B2" w:rsidP="00833328">
      <w:pPr>
        <w:pStyle w:val="ListParagraph"/>
        <w:numPr>
          <w:ilvl w:val="0"/>
          <w:numId w:val="4"/>
        </w:numPr>
        <w:spacing w:line="240" w:lineRule="auto"/>
        <w:jc w:val="both"/>
        <w:rPr>
          <w:rFonts w:asciiTheme="minorHAnsi" w:hAnsiTheme="minorHAnsi" w:cstheme="minorHAnsi"/>
        </w:rPr>
      </w:pPr>
      <w:r w:rsidRPr="005714CE">
        <w:rPr>
          <w:rFonts w:asciiTheme="minorHAnsi" w:hAnsiTheme="minorHAnsi" w:cstheme="minorHAnsi"/>
        </w:rPr>
        <w:t xml:space="preserve">Read the </w:t>
      </w:r>
      <w:hyperlink r:id="rId17">
        <w:r w:rsidRPr="005714CE">
          <w:rPr>
            <w:rStyle w:val="Hyperlink"/>
            <w:rFonts w:asciiTheme="minorHAnsi" w:hAnsiTheme="minorHAnsi" w:cstheme="minorHAnsi"/>
            <w:b/>
            <w:bCs/>
            <w:color w:val="000000" w:themeColor="text1"/>
          </w:rPr>
          <w:t>NHSE&amp;I guidance</w:t>
        </w:r>
      </w:hyperlink>
      <w:r w:rsidRPr="005714CE">
        <w:rPr>
          <w:rFonts w:asciiTheme="minorHAnsi" w:hAnsiTheme="minorHAnsi" w:cstheme="minorHAnsi"/>
          <w:b/>
          <w:bCs/>
        </w:rPr>
        <w:t xml:space="preserve"> and implement its recommended </w:t>
      </w:r>
      <w:proofErr w:type="gramStart"/>
      <w:r w:rsidRPr="005714CE">
        <w:rPr>
          <w:rFonts w:asciiTheme="minorHAnsi" w:hAnsiTheme="minorHAnsi" w:cstheme="minorHAnsi"/>
          <w:b/>
          <w:bCs/>
        </w:rPr>
        <w:t>actions;</w:t>
      </w:r>
      <w:proofErr w:type="gramEnd"/>
    </w:p>
    <w:p w14:paraId="0CE5F239" w14:textId="7EF24FB3" w:rsidR="122549B2" w:rsidRPr="005714CE" w:rsidRDefault="122549B2" w:rsidP="00833328">
      <w:pPr>
        <w:pStyle w:val="ListParagraph"/>
        <w:numPr>
          <w:ilvl w:val="0"/>
          <w:numId w:val="4"/>
        </w:numPr>
        <w:spacing w:line="240" w:lineRule="auto"/>
        <w:jc w:val="both"/>
        <w:rPr>
          <w:rFonts w:asciiTheme="minorHAnsi" w:hAnsiTheme="minorHAnsi" w:cstheme="minorHAnsi"/>
        </w:rPr>
      </w:pPr>
      <w:r w:rsidRPr="005714CE">
        <w:rPr>
          <w:rFonts w:asciiTheme="minorHAnsi" w:hAnsiTheme="minorHAnsi" w:cstheme="minorHAnsi"/>
        </w:rPr>
        <w:t xml:space="preserve">Clearly display the </w:t>
      </w:r>
      <w:hyperlink r:id="rId18">
        <w:r w:rsidRPr="005714CE">
          <w:rPr>
            <w:rStyle w:val="Hyperlink"/>
            <w:rFonts w:asciiTheme="minorHAnsi" w:hAnsiTheme="minorHAnsi" w:cstheme="minorHAnsi"/>
            <w:b/>
            <w:bCs/>
            <w:color w:val="000000" w:themeColor="text1"/>
          </w:rPr>
          <w:t>COVID-19 poster</w:t>
        </w:r>
      </w:hyperlink>
      <w:r w:rsidRPr="005714CE">
        <w:rPr>
          <w:rFonts w:asciiTheme="minorHAnsi" w:hAnsiTheme="minorHAnsi" w:cstheme="minorHAnsi"/>
          <w:b/>
          <w:bCs/>
        </w:rPr>
        <w:t xml:space="preserve"> at points of entry to your </w:t>
      </w:r>
      <w:proofErr w:type="gramStart"/>
      <w:r w:rsidRPr="005714CE">
        <w:rPr>
          <w:rFonts w:asciiTheme="minorHAnsi" w:hAnsiTheme="minorHAnsi" w:cstheme="minorHAnsi"/>
          <w:b/>
          <w:bCs/>
        </w:rPr>
        <w:t>pharmacy;</w:t>
      </w:r>
      <w:proofErr w:type="gramEnd"/>
    </w:p>
    <w:p w14:paraId="5C5FE05B" w14:textId="29E1320F" w:rsidR="122549B2" w:rsidRPr="005714CE" w:rsidRDefault="122549B2" w:rsidP="00833328">
      <w:pPr>
        <w:pStyle w:val="ListParagraph"/>
        <w:numPr>
          <w:ilvl w:val="0"/>
          <w:numId w:val="4"/>
        </w:numPr>
        <w:spacing w:line="240" w:lineRule="auto"/>
        <w:jc w:val="both"/>
        <w:rPr>
          <w:rFonts w:asciiTheme="minorHAnsi" w:hAnsiTheme="minorHAnsi" w:cstheme="minorHAnsi"/>
        </w:rPr>
      </w:pPr>
      <w:r w:rsidRPr="005714CE">
        <w:rPr>
          <w:rFonts w:asciiTheme="minorHAnsi" w:hAnsiTheme="minorHAnsi" w:cstheme="minorHAnsi"/>
        </w:rPr>
        <w:t xml:space="preserve">Read your </w:t>
      </w:r>
      <w:hyperlink r:id="rId19">
        <w:r w:rsidRPr="005714CE">
          <w:rPr>
            <w:rStyle w:val="Hyperlink"/>
            <w:rFonts w:asciiTheme="minorHAnsi" w:hAnsiTheme="minorHAnsi" w:cstheme="minorHAnsi"/>
            <w:b/>
            <w:bCs/>
            <w:color w:val="000000" w:themeColor="text1"/>
          </w:rPr>
          <w:t>business continuity plan</w:t>
        </w:r>
      </w:hyperlink>
      <w:r w:rsidRPr="005714CE">
        <w:rPr>
          <w:rFonts w:asciiTheme="minorHAnsi" w:hAnsiTheme="minorHAnsi" w:cstheme="minorHAnsi"/>
          <w:b/>
          <w:bCs/>
        </w:rPr>
        <w:t xml:space="preserve"> and consider whether it needs to be updated to reflect the current and emerging situation;</w:t>
      </w:r>
    </w:p>
    <w:p w14:paraId="5774B62A" w14:textId="71ED94FE" w:rsidR="122549B2" w:rsidRPr="005714CE" w:rsidRDefault="122549B2" w:rsidP="00833328">
      <w:pPr>
        <w:pStyle w:val="ListParagraph"/>
        <w:numPr>
          <w:ilvl w:val="0"/>
          <w:numId w:val="4"/>
        </w:numPr>
        <w:spacing w:line="240" w:lineRule="auto"/>
        <w:jc w:val="both"/>
        <w:rPr>
          <w:rFonts w:asciiTheme="minorHAnsi" w:hAnsiTheme="minorHAnsi" w:cstheme="minorHAnsi"/>
        </w:rPr>
      </w:pPr>
      <w:r w:rsidRPr="005714CE">
        <w:rPr>
          <w:rFonts w:asciiTheme="minorHAnsi" w:hAnsiTheme="minorHAnsi" w:cstheme="minorHAnsi"/>
        </w:rPr>
        <w:t xml:space="preserve">Keep up to date with developments by regularly checking the information on </w:t>
      </w:r>
      <w:hyperlink r:id="rId20">
        <w:r w:rsidRPr="005714CE">
          <w:rPr>
            <w:rStyle w:val="Hyperlink"/>
            <w:rFonts w:asciiTheme="minorHAnsi" w:hAnsiTheme="minorHAnsi" w:cstheme="minorHAnsi"/>
            <w:b/>
            <w:bCs/>
            <w:color w:val="000000" w:themeColor="text1"/>
          </w:rPr>
          <w:t>COVID-19 on GOV.UK</w:t>
        </w:r>
      </w:hyperlink>
      <w:r w:rsidRPr="005714CE">
        <w:rPr>
          <w:rFonts w:asciiTheme="minorHAnsi" w:hAnsiTheme="minorHAnsi" w:cstheme="minorHAnsi"/>
          <w:b/>
          <w:bCs/>
        </w:rPr>
        <w:t xml:space="preserve">, the </w:t>
      </w:r>
      <w:hyperlink r:id="rId21">
        <w:r w:rsidRPr="005714CE">
          <w:rPr>
            <w:rStyle w:val="Hyperlink"/>
            <w:rFonts w:asciiTheme="minorHAnsi" w:hAnsiTheme="minorHAnsi" w:cstheme="minorHAnsi"/>
            <w:b/>
            <w:bCs/>
            <w:color w:val="000000" w:themeColor="text1"/>
          </w:rPr>
          <w:t xml:space="preserve">NHSE&amp;I </w:t>
        </w:r>
      </w:hyperlink>
      <w:hyperlink r:id="rId22">
        <w:r w:rsidRPr="005714CE">
          <w:rPr>
            <w:rStyle w:val="Hyperlink"/>
            <w:rFonts w:asciiTheme="minorHAnsi" w:hAnsiTheme="minorHAnsi" w:cstheme="minorHAnsi"/>
            <w:b/>
            <w:bCs/>
            <w:color w:val="0563C1"/>
          </w:rPr>
          <w:t>Coronavirus Primary Care</w:t>
        </w:r>
      </w:hyperlink>
      <w:r w:rsidRPr="005714CE">
        <w:rPr>
          <w:rFonts w:asciiTheme="minorHAnsi" w:hAnsiTheme="minorHAnsi" w:cstheme="minorHAnsi"/>
          <w:b/>
          <w:bCs/>
        </w:rPr>
        <w:t xml:space="preserve"> webpage and checking your </w:t>
      </w:r>
      <w:proofErr w:type="spellStart"/>
      <w:r w:rsidRPr="005714CE">
        <w:rPr>
          <w:rFonts w:asciiTheme="minorHAnsi" w:hAnsiTheme="minorHAnsi" w:cstheme="minorHAnsi"/>
          <w:b/>
          <w:bCs/>
        </w:rPr>
        <w:t>NHSmail</w:t>
      </w:r>
      <w:proofErr w:type="spellEnd"/>
      <w:r w:rsidRPr="005714CE">
        <w:rPr>
          <w:rFonts w:asciiTheme="minorHAnsi" w:hAnsiTheme="minorHAnsi" w:cstheme="minorHAnsi"/>
          <w:b/>
          <w:bCs/>
        </w:rPr>
        <w:t xml:space="preserve"> shared mailbox on a regular basis for updates from NHSE&amp;I; and</w:t>
      </w:r>
    </w:p>
    <w:p w14:paraId="3F1A84DE" w14:textId="6AC3E9D1" w:rsidR="122549B2" w:rsidRPr="005714CE" w:rsidRDefault="122549B2" w:rsidP="00833328">
      <w:pPr>
        <w:pStyle w:val="ListParagraph"/>
        <w:numPr>
          <w:ilvl w:val="0"/>
          <w:numId w:val="4"/>
        </w:numPr>
        <w:spacing w:line="240" w:lineRule="auto"/>
        <w:jc w:val="both"/>
        <w:rPr>
          <w:rFonts w:asciiTheme="minorHAnsi" w:hAnsiTheme="minorHAnsi" w:cstheme="minorHAnsi"/>
        </w:rPr>
      </w:pPr>
      <w:r w:rsidRPr="005714CE">
        <w:rPr>
          <w:rFonts w:asciiTheme="minorHAnsi" w:hAnsiTheme="minorHAnsi" w:cstheme="minorHAnsi"/>
        </w:rPr>
        <w:t xml:space="preserve">Where possible, display the </w:t>
      </w:r>
      <w:hyperlink r:id="rId23">
        <w:r w:rsidRPr="005714CE">
          <w:rPr>
            <w:rStyle w:val="Hyperlink"/>
            <w:rFonts w:asciiTheme="minorHAnsi" w:hAnsiTheme="minorHAnsi" w:cstheme="minorHAnsi"/>
            <w:b/>
            <w:bCs/>
            <w:color w:val="000000" w:themeColor="text1"/>
          </w:rPr>
          <w:t>public health advice posters</w:t>
        </w:r>
      </w:hyperlink>
      <w:r w:rsidRPr="005714CE">
        <w:rPr>
          <w:rFonts w:asciiTheme="minorHAnsi" w:hAnsiTheme="minorHAnsi" w:cstheme="minorHAnsi"/>
          <w:b/>
          <w:bCs/>
        </w:rPr>
        <w:t xml:space="preserve"> on hand washing</w:t>
      </w:r>
      <w:r w:rsidR="00DA0B6A" w:rsidRPr="005714CE">
        <w:rPr>
          <w:rFonts w:asciiTheme="minorHAnsi" w:hAnsiTheme="minorHAnsi" w:cstheme="minorHAnsi"/>
          <w:b/>
          <w:bCs/>
        </w:rPr>
        <w:t>, face coverings</w:t>
      </w:r>
      <w:r w:rsidRPr="005714CE">
        <w:rPr>
          <w:rFonts w:asciiTheme="minorHAnsi" w:hAnsiTheme="minorHAnsi" w:cstheme="minorHAnsi"/>
          <w:b/>
          <w:bCs/>
        </w:rPr>
        <w:t xml:space="preserve"> etc.</w:t>
      </w:r>
      <w:r w:rsidRPr="005714CE">
        <w:rPr>
          <w:rFonts w:asciiTheme="minorHAnsi" w:hAnsiTheme="minorHAnsi" w:cstheme="minorHAnsi"/>
        </w:rPr>
        <w:br/>
      </w:r>
    </w:p>
    <w:p w14:paraId="043FAF15" w14:textId="1F27EF65"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b/>
          <w:bCs/>
          <w:u w:val="single"/>
        </w:rPr>
        <w:t>Guidance for healthcare professionals</w:t>
      </w:r>
    </w:p>
    <w:p w14:paraId="6DA29E1F" w14:textId="65F7D93C"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rPr>
        <w:t>The key guidance for health professionals is available on the Public Health England (PHE) section of the GOV.UK website:</w:t>
      </w:r>
    </w:p>
    <w:p w14:paraId="0AD3234D" w14:textId="7531A9C0" w:rsidR="54750988" w:rsidRPr="005714CE" w:rsidRDefault="54750988" w:rsidP="00833328">
      <w:pPr>
        <w:spacing w:line="240" w:lineRule="auto"/>
        <w:jc w:val="both"/>
        <w:rPr>
          <w:rFonts w:asciiTheme="minorHAnsi" w:hAnsiTheme="minorHAnsi" w:cstheme="minorHAnsi"/>
        </w:rPr>
      </w:pPr>
    </w:p>
    <w:p w14:paraId="7C3AC6E9" w14:textId="1FF7A6A9" w:rsidR="122549B2" w:rsidRPr="005714CE" w:rsidRDefault="00D43CE5" w:rsidP="00833328">
      <w:pPr>
        <w:spacing w:line="240" w:lineRule="auto"/>
        <w:jc w:val="both"/>
        <w:rPr>
          <w:rFonts w:asciiTheme="minorHAnsi" w:hAnsiTheme="minorHAnsi" w:cstheme="minorHAnsi"/>
        </w:rPr>
      </w:pPr>
      <w:hyperlink r:id="rId24">
        <w:r w:rsidR="122549B2" w:rsidRPr="005714CE">
          <w:rPr>
            <w:rStyle w:val="Hyperlink"/>
            <w:rFonts w:asciiTheme="minorHAnsi" w:hAnsiTheme="minorHAnsi" w:cstheme="minorHAnsi"/>
            <w:b/>
            <w:bCs/>
            <w:color w:val="000000" w:themeColor="text1"/>
          </w:rPr>
          <w:t>COVID-19: guidance for health professionals (GOV.UK)</w:t>
        </w:r>
      </w:hyperlink>
    </w:p>
    <w:p w14:paraId="5210611D" w14:textId="44035EF4"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25">
        <w:r w:rsidRPr="005714CE">
          <w:rPr>
            <w:rStyle w:val="Hyperlink"/>
            <w:rFonts w:asciiTheme="minorHAnsi" w:hAnsiTheme="minorHAnsi" w:cstheme="minorHAnsi"/>
            <w:color w:val="000000" w:themeColor="text1"/>
          </w:rPr>
          <w:t>GOV.UK website</w:t>
        </w:r>
      </w:hyperlink>
      <w:r w:rsidRPr="005714CE">
        <w:rPr>
          <w:rFonts w:asciiTheme="minorHAnsi" w:hAnsiTheme="minorHAnsi" w:cstheme="minorHAnsi"/>
        </w:rPr>
        <w:t>, but contextualises it for the community pharmacy environment.</w:t>
      </w:r>
    </w:p>
    <w:p w14:paraId="0EB206C5" w14:textId="29D9DCFE" w:rsidR="54750988" w:rsidRPr="005714CE" w:rsidRDefault="54750988" w:rsidP="00833328">
      <w:pPr>
        <w:spacing w:line="240" w:lineRule="auto"/>
        <w:jc w:val="both"/>
        <w:rPr>
          <w:rFonts w:asciiTheme="minorHAnsi" w:hAnsiTheme="minorHAnsi" w:cstheme="minorHAnsi"/>
        </w:rPr>
      </w:pPr>
    </w:p>
    <w:p w14:paraId="739815DB" w14:textId="19A6E223" w:rsidR="122549B2" w:rsidRPr="005714CE" w:rsidRDefault="00D43CE5" w:rsidP="00833328">
      <w:pPr>
        <w:spacing w:line="240" w:lineRule="auto"/>
        <w:jc w:val="both"/>
        <w:rPr>
          <w:rFonts w:asciiTheme="minorHAnsi" w:hAnsiTheme="minorHAnsi" w:cstheme="minorHAnsi"/>
        </w:rPr>
      </w:pPr>
      <w:hyperlink r:id="rId26">
        <w:r w:rsidR="122549B2" w:rsidRPr="005714CE">
          <w:rPr>
            <w:rStyle w:val="Hyperlink"/>
            <w:rFonts w:asciiTheme="minorHAnsi" w:hAnsiTheme="minorHAnsi" w:cstheme="minorHAnsi"/>
            <w:b/>
            <w:bCs/>
            <w:color w:val="000000" w:themeColor="text1"/>
          </w:rPr>
          <w:t>NHSE&amp;I Coronavirus Primary Care webpage</w:t>
        </w:r>
      </w:hyperlink>
    </w:p>
    <w:p w14:paraId="1776B2A9" w14:textId="134CF8A1"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833328" w:rsidRDefault="7A930170" w:rsidP="00833328">
      <w:pPr>
        <w:spacing w:after="120" w:line="240" w:lineRule="auto"/>
        <w:jc w:val="both"/>
        <w:rPr>
          <w:rFonts w:asciiTheme="minorHAnsi" w:hAnsiTheme="minorHAnsi" w:cstheme="minorHAnsi"/>
          <w:i/>
          <w:iCs/>
        </w:rPr>
      </w:pPr>
    </w:p>
    <w:sectPr w:rsidR="7A930170" w:rsidRPr="00833328" w:rsidSect="00B364CE">
      <w:headerReference w:type="default" r:id="rId27"/>
      <w:footerReference w:type="default" r:id="rId28"/>
      <w:headerReference w:type="first" r:id="rId29"/>
      <w:footerReference w:type="first" r:id="rId30"/>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9097" w14:textId="77777777" w:rsidR="00D43CE5" w:rsidRDefault="00D43CE5" w:rsidP="00E472BA">
      <w:pPr>
        <w:spacing w:line="240" w:lineRule="auto"/>
      </w:pPr>
      <w:r>
        <w:separator/>
      </w:r>
    </w:p>
  </w:endnote>
  <w:endnote w:type="continuationSeparator" w:id="0">
    <w:p w14:paraId="3D2497DB" w14:textId="77777777" w:rsidR="00D43CE5" w:rsidRDefault="00D43CE5"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4C43" w14:textId="77777777" w:rsidR="00D43CE5" w:rsidRDefault="00D43CE5" w:rsidP="00E472BA">
      <w:pPr>
        <w:spacing w:line="240" w:lineRule="auto"/>
      </w:pPr>
      <w:r>
        <w:separator/>
      </w:r>
    </w:p>
  </w:footnote>
  <w:footnote w:type="continuationSeparator" w:id="0">
    <w:p w14:paraId="760E20B6" w14:textId="77777777" w:rsidR="00D43CE5" w:rsidRDefault="00D43CE5"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3"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6"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9"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4"/>
  </w:num>
  <w:num w:numId="6">
    <w:abstractNumId w:val="9"/>
  </w:num>
  <w:num w:numId="7">
    <w:abstractNumId w:val="7"/>
  </w:num>
  <w:num w:numId="8">
    <w:abstractNumId w:val="1"/>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6168"/>
    <w:rsid w:val="001C7CF7"/>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34832"/>
    <w:rsid w:val="003403B5"/>
    <w:rsid w:val="00343020"/>
    <w:rsid w:val="0034549C"/>
    <w:rsid w:val="003516A1"/>
    <w:rsid w:val="00351F73"/>
    <w:rsid w:val="00353432"/>
    <w:rsid w:val="0036335F"/>
    <w:rsid w:val="00365A01"/>
    <w:rsid w:val="00374068"/>
    <w:rsid w:val="003805AF"/>
    <w:rsid w:val="003910F9"/>
    <w:rsid w:val="00391612"/>
    <w:rsid w:val="003919B1"/>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E05E3"/>
    <w:rsid w:val="004E60B0"/>
    <w:rsid w:val="004F5233"/>
    <w:rsid w:val="00501726"/>
    <w:rsid w:val="00501A81"/>
    <w:rsid w:val="00504BD7"/>
    <w:rsid w:val="00507461"/>
    <w:rsid w:val="005079E4"/>
    <w:rsid w:val="00507C90"/>
    <w:rsid w:val="00514E2C"/>
    <w:rsid w:val="00536EF5"/>
    <w:rsid w:val="0054047B"/>
    <w:rsid w:val="0054250A"/>
    <w:rsid w:val="00542837"/>
    <w:rsid w:val="00542F47"/>
    <w:rsid w:val="005525D6"/>
    <w:rsid w:val="0055284F"/>
    <w:rsid w:val="00556BE4"/>
    <w:rsid w:val="00561A73"/>
    <w:rsid w:val="005714CE"/>
    <w:rsid w:val="005748C2"/>
    <w:rsid w:val="00575BEF"/>
    <w:rsid w:val="00582785"/>
    <w:rsid w:val="0058612F"/>
    <w:rsid w:val="00591194"/>
    <w:rsid w:val="00594F6C"/>
    <w:rsid w:val="005975F5"/>
    <w:rsid w:val="005A1909"/>
    <w:rsid w:val="005A2BE6"/>
    <w:rsid w:val="005B0D67"/>
    <w:rsid w:val="005B1718"/>
    <w:rsid w:val="005C2596"/>
    <w:rsid w:val="005C38E9"/>
    <w:rsid w:val="005C471E"/>
    <w:rsid w:val="005C71B4"/>
    <w:rsid w:val="005D1079"/>
    <w:rsid w:val="005D4C74"/>
    <w:rsid w:val="005D75F2"/>
    <w:rsid w:val="005E2609"/>
    <w:rsid w:val="005F1400"/>
    <w:rsid w:val="005F68B7"/>
    <w:rsid w:val="0060698F"/>
    <w:rsid w:val="00611838"/>
    <w:rsid w:val="00617851"/>
    <w:rsid w:val="00621886"/>
    <w:rsid w:val="00626CAB"/>
    <w:rsid w:val="00635796"/>
    <w:rsid w:val="0064212B"/>
    <w:rsid w:val="006444E0"/>
    <w:rsid w:val="00651520"/>
    <w:rsid w:val="00652504"/>
    <w:rsid w:val="0066531F"/>
    <w:rsid w:val="006665DC"/>
    <w:rsid w:val="006745E0"/>
    <w:rsid w:val="0068610C"/>
    <w:rsid w:val="0068AACB"/>
    <w:rsid w:val="00692B7E"/>
    <w:rsid w:val="00695754"/>
    <w:rsid w:val="006A0A3A"/>
    <w:rsid w:val="006A5147"/>
    <w:rsid w:val="006B4A33"/>
    <w:rsid w:val="006C1602"/>
    <w:rsid w:val="006C1D64"/>
    <w:rsid w:val="006C27FE"/>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603DA"/>
    <w:rsid w:val="007623DC"/>
    <w:rsid w:val="00762D12"/>
    <w:rsid w:val="00763843"/>
    <w:rsid w:val="007645C6"/>
    <w:rsid w:val="0076496F"/>
    <w:rsid w:val="00770FFE"/>
    <w:rsid w:val="00775E6C"/>
    <w:rsid w:val="00777B34"/>
    <w:rsid w:val="00777C63"/>
    <w:rsid w:val="00781080"/>
    <w:rsid w:val="00782C10"/>
    <w:rsid w:val="0079665E"/>
    <w:rsid w:val="007A1568"/>
    <w:rsid w:val="007A67D0"/>
    <w:rsid w:val="007B6D11"/>
    <w:rsid w:val="007D363E"/>
    <w:rsid w:val="007D6206"/>
    <w:rsid w:val="007D7C2D"/>
    <w:rsid w:val="007E0F7E"/>
    <w:rsid w:val="007E1CEB"/>
    <w:rsid w:val="007E1D7A"/>
    <w:rsid w:val="007E3700"/>
    <w:rsid w:val="008055A7"/>
    <w:rsid w:val="00806574"/>
    <w:rsid w:val="00807D9F"/>
    <w:rsid w:val="00810D13"/>
    <w:rsid w:val="0081542C"/>
    <w:rsid w:val="0081581D"/>
    <w:rsid w:val="008221D6"/>
    <w:rsid w:val="00830740"/>
    <w:rsid w:val="00833328"/>
    <w:rsid w:val="008338E4"/>
    <w:rsid w:val="00842703"/>
    <w:rsid w:val="008542D5"/>
    <w:rsid w:val="00860D53"/>
    <w:rsid w:val="00862FFF"/>
    <w:rsid w:val="008636DE"/>
    <w:rsid w:val="0087DD23"/>
    <w:rsid w:val="0088209F"/>
    <w:rsid w:val="0088688B"/>
    <w:rsid w:val="00887363"/>
    <w:rsid w:val="008B1415"/>
    <w:rsid w:val="008B2931"/>
    <w:rsid w:val="008B6709"/>
    <w:rsid w:val="008B70DF"/>
    <w:rsid w:val="008C65A7"/>
    <w:rsid w:val="008C69BC"/>
    <w:rsid w:val="008E55C3"/>
    <w:rsid w:val="00900745"/>
    <w:rsid w:val="0090470B"/>
    <w:rsid w:val="00905F19"/>
    <w:rsid w:val="00907E16"/>
    <w:rsid w:val="00910651"/>
    <w:rsid w:val="00910DE7"/>
    <w:rsid w:val="0091158C"/>
    <w:rsid w:val="009123F9"/>
    <w:rsid w:val="009158EC"/>
    <w:rsid w:val="00930BDF"/>
    <w:rsid w:val="009561BE"/>
    <w:rsid w:val="00956C6E"/>
    <w:rsid w:val="009608B0"/>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4BC3"/>
    <w:rsid w:val="00AC5877"/>
    <w:rsid w:val="00AD48AE"/>
    <w:rsid w:val="00AE33EC"/>
    <w:rsid w:val="00AF2A15"/>
    <w:rsid w:val="00AF5680"/>
    <w:rsid w:val="00B044CC"/>
    <w:rsid w:val="00B1038D"/>
    <w:rsid w:val="00B10B5B"/>
    <w:rsid w:val="00B1126B"/>
    <w:rsid w:val="00B116CF"/>
    <w:rsid w:val="00B116E0"/>
    <w:rsid w:val="00B11E48"/>
    <w:rsid w:val="00B13A6C"/>
    <w:rsid w:val="00B14EA0"/>
    <w:rsid w:val="00B253F7"/>
    <w:rsid w:val="00B313DC"/>
    <w:rsid w:val="00B35145"/>
    <w:rsid w:val="00B364CE"/>
    <w:rsid w:val="00B36F1D"/>
    <w:rsid w:val="00B3782A"/>
    <w:rsid w:val="00B411E9"/>
    <w:rsid w:val="00B639C4"/>
    <w:rsid w:val="00B63E01"/>
    <w:rsid w:val="00B63E43"/>
    <w:rsid w:val="00B653EB"/>
    <w:rsid w:val="00B704D2"/>
    <w:rsid w:val="00B70CF0"/>
    <w:rsid w:val="00B81186"/>
    <w:rsid w:val="00B825FD"/>
    <w:rsid w:val="00B82E54"/>
    <w:rsid w:val="00B93F38"/>
    <w:rsid w:val="00B96578"/>
    <w:rsid w:val="00BA51CE"/>
    <w:rsid w:val="00BA7A4C"/>
    <w:rsid w:val="00BB0FF5"/>
    <w:rsid w:val="00BB1271"/>
    <w:rsid w:val="00BC2757"/>
    <w:rsid w:val="00BD5683"/>
    <w:rsid w:val="00BE140B"/>
    <w:rsid w:val="00BF2363"/>
    <w:rsid w:val="00C01F3C"/>
    <w:rsid w:val="00C06A9F"/>
    <w:rsid w:val="00C15ECE"/>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A67F9"/>
    <w:rsid w:val="00CB02C4"/>
    <w:rsid w:val="00CB133B"/>
    <w:rsid w:val="00CB7CAE"/>
    <w:rsid w:val="00CC5A87"/>
    <w:rsid w:val="00CC6A14"/>
    <w:rsid w:val="00CD572D"/>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43CE5"/>
    <w:rsid w:val="00D57D33"/>
    <w:rsid w:val="00D64C04"/>
    <w:rsid w:val="00D65466"/>
    <w:rsid w:val="00D662AD"/>
    <w:rsid w:val="00D73FFC"/>
    <w:rsid w:val="00D76E13"/>
    <w:rsid w:val="00D844F5"/>
    <w:rsid w:val="00D87E87"/>
    <w:rsid w:val="00D93FAA"/>
    <w:rsid w:val="00D96613"/>
    <w:rsid w:val="00DA0B6A"/>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7C7B"/>
    <w:rsid w:val="00EA5420"/>
    <w:rsid w:val="00EA65AD"/>
    <w:rsid w:val="00EB1BEB"/>
    <w:rsid w:val="00EB382C"/>
    <w:rsid w:val="00EC318E"/>
    <w:rsid w:val="00EC4069"/>
    <w:rsid w:val="00ED0BB4"/>
    <w:rsid w:val="00ED1856"/>
    <w:rsid w:val="00ED1984"/>
    <w:rsid w:val="00ED44A5"/>
    <w:rsid w:val="00EE1A1E"/>
    <w:rsid w:val="00EE301A"/>
    <w:rsid w:val="00EF469D"/>
    <w:rsid w:val="00F001C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B1739"/>
    <w:rsid w:val="00FB3B7C"/>
    <w:rsid w:val="00FC2795"/>
    <w:rsid w:val="00FD4020"/>
    <w:rsid w:val="00FE1666"/>
    <w:rsid w:val="00FE1948"/>
    <w:rsid w:val="00FE328F"/>
    <w:rsid w:val="00FE7EA3"/>
    <w:rsid w:val="00FF09EB"/>
    <w:rsid w:val="00FF0ACA"/>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our-news/medicine-supply-notification-catapres-clonidine-100microgram-tablets/" TargetMode="External"/><Relationship Id="rId18" Type="http://schemas.openxmlformats.org/officeDocument/2006/relationships/hyperlink" Target="https://psnc.org.uk/the-healthcare-landscape/covid19/information-for-the-public/" TargetMode="External"/><Relationship Id="rId26" Type="http://schemas.openxmlformats.org/officeDocument/2006/relationships/hyperlink" Target="https://www.england.nhs.uk/coronavirus/primary-care/" TargetMode="External"/><Relationship Id="rId3" Type="http://schemas.openxmlformats.org/officeDocument/2006/relationships/customXml" Target="../customXml/item3.xml"/><Relationship Id="rId21" Type="http://schemas.openxmlformats.org/officeDocument/2006/relationships/hyperlink" Target="https://www.england.nhs.uk/coronavirus/primary-care/" TargetMode="External"/><Relationship Id="rId7" Type="http://schemas.openxmlformats.org/officeDocument/2006/relationships/settings" Target="settings.xml"/><Relationship Id="rId12" Type="http://schemas.openxmlformats.org/officeDocument/2006/relationships/hyperlink" Target="https://psnc.org.uk/our-news/medicine-supply-notification-metronidazole-acea-0-75-gel/" TargetMode="External"/><Relationship Id="rId17" Type="http://schemas.openxmlformats.org/officeDocument/2006/relationships/hyperlink" Target="https://psnc.org.uk/the-healthcare-landscape/covid19/contractor-guidance-and-support/" TargetMode="External"/><Relationship Id="rId25" Type="http://schemas.openxmlformats.org/officeDocument/2006/relationships/hyperlink" Target="https://www.gov.uk/government/collections/wuhan-novel-coronavirus" TargetMode="External"/><Relationship Id="rId2" Type="http://schemas.openxmlformats.org/officeDocument/2006/relationships/customXml" Target="../customXml/item2.xml"/><Relationship Id="rId16" Type="http://schemas.openxmlformats.org/officeDocument/2006/relationships/hyperlink" Target="https://psnc.org.uk/our-news/mhra-drug-safety-update-october-2021/" TargetMode="External"/><Relationship Id="rId20" Type="http://schemas.openxmlformats.org/officeDocument/2006/relationships/hyperlink" Target="https://www.gov.uk/government/collections/wuhan-novel-coronaviru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s.nhsbsa.nhs.uk/nhs-prescription-services-submissions/login" TargetMode="External"/><Relationship Id="rId24" Type="http://schemas.openxmlformats.org/officeDocument/2006/relationships/hyperlink" Target="https://www.gov.uk/government/collections/wuhan-novel-coronaviru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snc.org.uk/our-news/medicine-supply-notification-mesalazine-asacol-800mg-mr-gastro-resistant-tablets/" TargetMode="External"/><Relationship Id="rId23" Type="http://schemas.openxmlformats.org/officeDocument/2006/relationships/hyperlink" Target="https://campaignresources.phe.gov.uk/resources/campaigns/101/resources/5016"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snc.org.uk/contract-it/essential-service-clinical-governance/emergency-plann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medicine-supply-notification-nalcrom-sodium-cromoglicate-100mg-capsules-updated/" TargetMode="External"/><Relationship Id="rId22" Type="http://schemas.openxmlformats.org/officeDocument/2006/relationships/hyperlink" Target="https://www.england.nhs.uk/coronavirus/primary-care/"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PSNC letterhead</Template>
  <TotalTime>5</TotalTime>
  <Pages>2</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3</cp:revision>
  <cp:lastPrinted>2018-01-08T12:15:00Z</cp:lastPrinted>
  <dcterms:created xsi:type="dcterms:W3CDTF">2021-10-11T07:54:00Z</dcterms:created>
  <dcterms:modified xsi:type="dcterms:W3CDTF">2021-10-11T07:55:00Z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