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40713F7C" w14:textId="77777777" w:rsidR="0051516E" w:rsidRDefault="0010343E" w:rsidP="0051516E">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sidRPr="3F4F7646">
        <w:rPr>
          <w:rStyle w:val="normaltextrun"/>
          <w:rFonts w:ascii="Calibri" w:hAnsi="Calibri" w:cs="Calibri"/>
          <w:b/>
          <w:bCs/>
          <w:color w:val="5B518E"/>
          <w:sz w:val="28"/>
          <w:szCs w:val="28"/>
        </w:rPr>
        <w:t xml:space="preserve">Wednesday </w:t>
      </w:r>
      <w:r w:rsidR="003B67C9">
        <w:rPr>
          <w:rStyle w:val="normaltextrun"/>
          <w:rFonts w:ascii="Calibri" w:hAnsi="Calibri" w:cs="Calibri"/>
          <w:b/>
          <w:bCs/>
          <w:color w:val="5B518E"/>
          <w:sz w:val="28"/>
          <w:szCs w:val="28"/>
        </w:rPr>
        <w:t>24</w:t>
      </w:r>
      <w:r w:rsidRPr="3F4F7646">
        <w:rPr>
          <w:rStyle w:val="normaltextrun"/>
          <w:rFonts w:ascii="Calibri" w:hAnsi="Calibri" w:cs="Calibri"/>
          <w:b/>
          <w:bCs/>
          <w:color w:val="5B518E"/>
          <w:sz w:val="28"/>
          <w:szCs w:val="28"/>
          <w:vertAlign w:val="superscript"/>
        </w:rPr>
        <w:t>th</w:t>
      </w:r>
      <w:r w:rsidRPr="3F4F7646">
        <w:rPr>
          <w:rStyle w:val="normaltextrun"/>
          <w:rFonts w:ascii="Calibri" w:hAnsi="Calibri" w:cs="Calibri"/>
          <w:b/>
          <w:bCs/>
          <w:color w:val="5B518E"/>
          <w:sz w:val="28"/>
          <w:szCs w:val="28"/>
        </w:rPr>
        <w:t xml:space="preserve"> </w:t>
      </w:r>
      <w:r w:rsidR="003B67C9">
        <w:rPr>
          <w:rStyle w:val="normaltextrun"/>
          <w:rFonts w:ascii="Calibri" w:hAnsi="Calibri" w:cs="Calibri"/>
          <w:b/>
          <w:bCs/>
          <w:color w:val="5B518E"/>
          <w:sz w:val="28"/>
          <w:szCs w:val="28"/>
        </w:rPr>
        <w:t>November</w:t>
      </w:r>
      <w:r w:rsidRPr="3F4F7646">
        <w:rPr>
          <w:rStyle w:val="normaltextrun"/>
          <w:rFonts w:ascii="Calibri" w:hAnsi="Calibri" w:cs="Calibri"/>
          <w:b/>
          <w:bCs/>
          <w:color w:val="5B518E"/>
          <w:sz w:val="28"/>
          <w:szCs w:val="28"/>
        </w:rPr>
        <w:t xml:space="preserve"> 2021</w:t>
      </w:r>
      <w:r w:rsidRPr="3F4F7646">
        <w:rPr>
          <w:rStyle w:val="eop"/>
          <w:rFonts w:ascii="Calibri" w:hAnsi="Calibri" w:cs="Calibri"/>
          <w:color w:val="5B518E"/>
          <w:sz w:val="28"/>
          <w:szCs w:val="28"/>
        </w:rPr>
        <w:t> </w:t>
      </w:r>
      <w:r w:rsidR="0051516E">
        <w:rPr>
          <w:rStyle w:val="normaltextrun"/>
          <w:rFonts w:ascii="Calibri" w:hAnsi="Calibri" w:cs="Calibri"/>
          <w:b/>
          <w:bCs/>
          <w:color w:val="5B518E"/>
          <w:sz w:val="28"/>
          <w:szCs w:val="28"/>
          <w:shd w:val="clear" w:color="auto" w:fill="FFFFFF"/>
        </w:rPr>
        <w:t>commencing at 11:30 am</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42785E50" w14:textId="5BD61F07" w:rsidR="0010343E" w:rsidRDefault="44EB3C81" w:rsidP="6B3340CB">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sidRPr="6B3340CB">
        <w:rPr>
          <w:rStyle w:val="normaltextrun"/>
          <w:rFonts w:ascii="Calibri" w:hAnsi="Calibri" w:cs="Calibri"/>
          <w:b/>
          <w:bCs/>
          <w:color w:val="5B518E"/>
          <w:sz w:val="28"/>
          <w:szCs w:val="28"/>
        </w:rPr>
        <w:t>Dorset Suite, De Vere Grand Connaught Rooms, 61 - 65 Great Queen Street</w:t>
      </w:r>
      <w:r w:rsidR="001A1691">
        <w:rPr>
          <w:rStyle w:val="normaltextrun"/>
          <w:rFonts w:ascii="Calibri" w:hAnsi="Calibri" w:cs="Calibri"/>
          <w:b/>
          <w:bCs/>
          <w:color w:val="5B518E"/>
          <w:sz w:val="28"/>
          <w:szCs w:val="28"/>
        </w:rPr>
        <w:t xml:space="preserve"> </w:t>
      </w:r>
    </w:p>
    <w:p w14:paraId="7E4E8756" w14:textId="14274B1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 </w:t>
      </w:r>
      <w:r>
        <w:rPr>
          <w:rStyle w:val="eop"/>
          <w:rFonts w:ascii="Calibri" w:hAnsi="Calibri" w:cs="Calibri"/>
          <w:color w:val="000000"/>
          <w:sz w:val="28"/>
          <w:szCs w:val="28"/>
        </w:rPr>
        <w:t> </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5108DE92" w:rsidR="0010343E" w:rsidRDefault="0010343E" w:rsidP="268AB898">
      <w:pPr>
        <w:pStyle w:val="paragraph"/>
        <w:spacing w:before="0" w:beforeAutospacing="0" w:after="0" w:afterAutospacing="0"/>
        <w:ind w:right="255"/>
        <w:textAlignment w:val="baseline"/>
        <w:rPr>
          <w:rFonts w:ascii="Segoe UI" w:hAnsi="Segoe UI" w:cs="Segoe UI"/>
          <w:sz w:val="18"/>
          <w:szCs w:val="18"/>
        </w:rPr>
      </w:pPr>
      <w:r w:rsidRPr="268AB898">
        <w:rPr>
          <w:rStyle w:val="normaltextrun"/>
          <w:rFonts w:ascii="Calibri" w:hAnsi="Calibri" w:cs="Calibri"/>
          <w:b/>
          <w:bCs/>
          <w:color w:val="5B518E"/>
          <w:sz w:val="22"/>
          <w:szCs w:val="22"/>
        </w:rPr>
        <w:t>Members:</w:t>
      </w:r>
      <w:r w:rsidRPr="268AB898">
        <w:rPr>
          <w:rStyle w:val="normaltextrun"/>
          <w:b/>
          <w:bCs/>
          <w:color w:val="5B518E"/>
          <w:sz w:val="22"/>
          <w:szCs w:val="22"/>
        </w:rPr>
        <w:t> </w:t>
      </w:r>
      <w:r w:rsidRPr="268AB898">
        <w:rPr>
          <w:rStyle w:val="normaltextrun"/>
          <w:rFonts w:ascii="Calibri" w:hAnsi="Calibri" w:cs="Calibri"/>
          <w:sz w:val="22"/>
          <w:szCs w:val="22"/>
        </w:rPr>
        <w:t>David Broome</w:t>
      </w:r>
      <w:r w:rsidR="003B67C9" w:rsidRPr="268AB898">
        <w:rPr>
          <w:rStyle w:val="normaltextrun"/>
          <w:rFonts w:ascii="Calibri" w:hAnsi="Calibri" w:cs="Calibri"/>
          <w:sz w:val="22"/>
          <w:szCs w:val="22"/>
        </w:rPr>
        <w:t xml:space="preserve"> (Deputy Chairman)</w:t>
      </w:r>
      <w:r w:rsidRPr="268AB898">
        <w:rPr>
          <w:rStyle w:val="normaltextrun"/>
          <w:rFonts w:ascii="Calibri" w:hAnsi="Calibri" w:cs="Calibri"/>
          <w:sz w:val="22"/>
          <w:szCs w:val="22"/>
        </w:rPr>
        <w:t>, Peter Cattee (Chairman), Jas Heer, Tricia Kennerley, Margaret MacRury, Has Modi, Bharat Patel, </w:t>
      </w:r>
      <w:r w:rsidR="0DD5A373" w:rsidRPr="268AB898">
        <w:rPr>
          <w:rStyle w:val="normaltextrun"/>
          <w:rFonts w:ascii="Calibri" w:hAnsi="Calibri" w:cs="Calibri"/>
          <w:sz w:val="22"/>
          <w:szCs w:val="22"/>
        </w:rPr>
        <w:t xml:space="preserve">Prakash Patel, </w:t>
      </w:r>
      <w:r w:rsidRPr="268AB898">
        <w:rPr>
          <w:rStyle w:val="normaltextrun"/>
          <w:rFonts w:ascii="Calibri" w:hAnsi="Calibri" w:cs="Calibri"/>
          <w:sz w:val="22"/>
          <w:szCs w:val="22"/>
        </w:rPr>
        <w:t>Adrian Price, Anil Sharma</w:t>
      </w:r>
      <w:r w:rsidRPr="268AB898">
        <w:rPr>
          <w:rStyle w:val="eop"/>
          <w:rFonts w:ascii="Calibri" w:hAnsi="Calibri" w:cs="Calibri"/>
          <w:sz w:val="22"/>
          <w:szCs w:val="22"/>
        </w:rPr>
        <w:t>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5BB4F279" w:rsidR="0010343E" w:rsidRDefault="0010343E" w:rsidP="0010343E">
      <w:pPr>
        <w:pStyle w:val="paragraph"/>
        <w:spacing w:before="0" w:beforeAutospacing="0" w:after="0" w:afterAutospacing="0"/>
        <w:ind w:right="1125"/>
        <w:textAlignment w:val="baseline"/>
        <w:rPr>
          <w:rFonts w:ascii="Segoe UI" w:hAnsi="Segoe UI" w:cs="Segoe UI"/>
          <w:sz w:val="18"/>
          <w:szCs w:val="18"/>
        </w:rPr>
      </w:pPr>
      <w:r>
        <w:rPr>
          <w:rStyle w:val="normaltextrun"/>
          <w:rFonts w:ascii="Calibri" w:hAnsi="Calibri" w:cs="Calibri"/>
          <w:b/>
          <w:bCs/>
          <w:color w:val="5B518E"/>
          <w:sz w:val="22"/>
          <w:szCs w:val="22"/>
        </w:rPr>
        <w:t>In attendance: </w:t>
      </w:r>
      <w:r>
        <w:rPr>
          <w:rStyle w:val="normaltextrun"/>
          <w:rFonts w:ascii="Calibri" w:hAnsi="Calibri" w:cs="Calibri"/>
          <w:sz w:val="22"/>
          <w:szCs w:val="22"/>
        </w:rPr>
        <w:t>Mike Dent, Jack Cresswell, Suraj Shah, Rob Thomas</w:t>
      </w:r>
      <w:r>
        <w:rPr>
          <w:rStyle w:val="eop"/>
          <w:rFonts w:ascii="Calibri" w:hAnsi="Calibri" w:cs="Calibri"/>
          <w:sz w:val="22"/>
          <w:szCs w:val="22"/>
        </w:rPr>
        <w:t> </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6AF99E48" w14:textId="053A147D" w:rsidR="0010343E" w:rsidRDefault="0010343E" w:rsidP="00E30D53">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E30D53">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E30D53">
      <w:pPr>
        <w:pStyle w:val="paragraph"/>
        <w:numPr>
          <w:ilvl w:val="0"/>
          <w:numId w:val="1"/>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154D1B77" w:rsidR="0010343E" w:rsidRPr="0010343E" w:rsidRDefault="0010343E" w:rsidP="00E30D53">
      <w:pPr>
        <w:pStyle w:val="paragraph"/>
        <w:numPr>
          <w:ilvl w:val="0"/>
          <w:numId w:val="1"/>
        </w:numPr>
        <w:spacing w:before="0" w:beforeAutospacing="0" w:after="0" w:afterAutospacing="0"/>
        <w:textAlignment w:val="baseline"/>
        <w:rPr>
          <w:rFonts w:ascii="Calibri" w:hAnsi="Calibri" w:cs="Calibri"/>
          <w:sz w:val="22"/>
          <w:szCs w:val="22"/>
        </w:rPr>
      </w:pPr>
      <w:r w:rsidRPr="3F4F7646">
        <w:rPr>
          <w:rStyle w:val="normaltextrun"/>
          <w:rFonts w:ascii="Calibri" w:hAnsi="Calibri" w:cs="Calibri"/>
          <w:sz w:val="22"/>
          <w:szCs w:val="22"/>
        </w:rPr>
        <w:t>Minutes of last meeting </w:t>
      </w:r>
      <w:r w:rsidRPr="3F4F7646">
        <w:rPr>
          <w:rStyle w:val="normaltextrun"/>
          <w:rFonts w:ascii="Calibri" w:hAnsi="Calibri" w:cs="Calibri"/>
          <w:b/>
          <w:bCs/>
          <w:sz w:val="22"/>
          <w:szCs w:val="22"/>
        </w:rPr>
        <w:t>(Confidential Appendix FCS 01/</w:t>
      </w:r>
      <w:r w:rsidR="003B67C9">
        <w:rPr>
          <w:rStyle w:val="normaltextrun"/>
          <w:rFonts w:ascii="Calibri" w:hAnsi="Calibri" w:cs="Calibri"/>
          <w:b/>
          <w:bCs/>
          <w:sz w:val="22"/>
          <w:szCs w:val="22"/>
        </w:rPr>
        <w:t>11</w:t>
      </w:r>
      <w:r w:rsidRPr="3F4F7646">
        <w:rPr>
          <w:rStyle w:val="normaltextrun"/>
          <w:rFonts w:ascii="Calibri" w:hAnsi="Calibri" w:cs="Calibri"/>
          <w:b/>
          <w:bCs/>
          <w:sz w:val="22"/>
          <w:szCs w:val="22"/>
        </w:rPr>
        <w:t>/21) </w:t>
      </w:r>
      <w:r w:rsidRPr="3F4F7646">
        <w:rPr>
          <w:rStyle w:val="normaltextrun"/>
          <w:rFonts w:ascii="Calibri" w:hAnsi="Calibri" w:cs="Calibri"/>
          <w:sz w:val="22"/>
          <w:szCs w:val="22"/>
        </w:rPr>
        <w:t>and matters arising</w:t>
      </w:r>
      <w:r w:rsidRPr="3F4F7646">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Calibri" w:hAnsi="Calibri" w:cs="Calibri"/>
          <w:color w:val="5B518E"/>
          <w:sz w:val="22"/>
          <w:szCs w:val="22"/>
        </w:rPr>
      </w:pPr>
      <w:r w:rsidRPr="6B3340CB">
        <w:rPr>
          <w:rStyle w:val="normaltextrun"/>
          <w:rFonts w:ascii="Calibri" w:hAnsi="Calibri" w:cs="Calibri"/>
          <w:b/>
          <w:bCs/>
          <w:color w:val="5B518E"/>
          <w:sz w:val="22"/>
          <w:szCs w:val="22"/>
        </w:rPr>
        <w:t>REPORTS</w:t>
      </w:r>
      <w:r w:rsidRPr="6B3340CB">
        <w:rPr>
          <w:rStyle w:val="eop"/>
          <w:rFonts w:ascii="Calibri" w:hAnsi="Calibri" w:cs="Calibri"/>
          <w:color w:val="5B518E"/>
          <w:sz w:val="22"/>
          <w:szCs w:val="22"/>
        </w:rPr>
        <w:t> </w:t>
      </w:r>
    </w:p>
    <w:p w14:paraId="3D67A4E8" w14:textId="77777777" w:rsidR="004F5BE9" w:rsidRDefault="004F5BE9" w:rsidP="6B3340CB">
      <w:pPr>
        <w:pStyle w:val="paragraph"/>
        <w:spacing w:before="0" w:beforeAutospacing="0" w:after="0" w:afterAutospacing="0"/>
        <w:ind w:right="1125"/>
        <w:textAlignment w:val="baseline"/>
        <w:rPr>
          <w:rStyle w:val="eop"/>
          <w:rFonts w:ascii="Calibri" w:hAnsi="Calibri" w:cs="Calibri"/>
          <w:color w:val="5B518E"/>
          <w:sz w:val="22"/>
          <w:szCs w:val="22"/>
        </w:rPr>
      </w:pPr>
    </w:p>
    <w:p w14:paraId="0004CA98" w14:textId="392FAB56" w:rsidR="6F757EB3" w:rsidRPr="00E813F9" w:rsidRDefault="0A36CF5D" w:rsidP="00E30D53">
      <w:pPr>
        <w:pStyle w:val="paragraph"/>
        <w:numPr>
          <w:ilvl w:val="0"/>
          <w:numId w:val="1"/>
        </w:numPr>
        <w:spacing w:before="0" w:beforeAutospacing="0" w:after="0" w:afterAutospacing="0"/>
        <w:rPr>
          <w:rStyle w:val="normaltextrun"/>
          <w:rFonts w:ascii="Calibri" w:hAnsi="Calibri" w:cs="Calibri"/>
          <w:sz w:val="22"/>
          <w:szCs w:val="22"/>
        </w:rPr>
      </w:pPr>
      <w:r w:rsidRPr="6B3340CB">
        <w:rPr>
          <w:rStyle w:val="normaltextrun"/>
          <w:rFonts w:ascii="Calibri" w:hAnsi="Calibri" w:cs="Calibri"/>
          <w:sz w:val="22"/>
          <w:szCs w:val="22"/>
        </w:rPr>
        <w:t xml:space="preserve">CPCF </w:t>
      </w:r>
      <w:r w:rsidR="0EA0B041" w:rsidRPr="6B3340CB">
        <w:rPr>
          <w:rStyle w:val="normaltextrun"/>
          <w:rFonts w:ascii="Calibri" w:hAnsi="Calibri" w:cs="Calibri"/>
          <w:sz w:val="22"/>
          <w:szCs w:val="22"/>
        </w:rPr>
        <w:t>negotiations</w:t>
      </w:r>
    </w:p>
    <w:p w14:paraId="41F8FE5A" w14:textId="60E1F26C" w:rsidR="1A962B59" w:rsidRDefault="1A962B59" w:rsidP="00E30D53">
      <w:pPr>
        <w:pStyle w:val="paragraph"/>
        <w:numPr>
          <w:ilvl w:val="1"/>
          <w:numId w:val="1"/>
        </w:numPr>
        <w:spacing w:before="0" w:beforeAutospacing="0" w:after="0" w:afterAutospacing="0"/>
        <w:rPr>
          <w:rStyle w:val="normaltextrun"/>
          <w:rFonts w:asciiTheme="minorHAnsi" w:eastAsiaTheme="minorEastAsia" w:hAnsiTheme="minorHAnsi" w:cstheme="minorBidi"/>
        </w:rPr>
      </w:pPr>
      <w:r w:rsidRPr="6B3340CB">
        <w:rPr>
          <w:rStyle w:val="normaltextrun"/>
          <w:rFonts w:ascii="Calibri" w:hAnsi="Calibri" w:cs="Calibri"/>
          <w:sz w:val="22"/>
          <w:szCs w:val="22"/>
        </w:rPr>
        <w:t xml:space="preserve">Clinical </w:t>
      </w:r>
      <w:r w:rsidR="008D6F1B">
        <w:rPr>
          <w:rStyle w:val="normaltextrun"/>
          <w:rFonts w:ascii="Calibri" w:hAnsi="Calibri" w:cs="Calibri"/>
          <w:sz w:val="22"/>
          <w:szCs w:val="22"/>
        </w:rPr>
        <w:t>s</w:t>
      </w:r>
      <w:r w:rsidRPr="6B3340CB">
        <w:rPr>
          <w:rStyle w:val="normaltextrun"/>
          <w:rFonts w:ascii="Calibri" w:hAnsi="Calibri" w:cs="Calibri"/>
          <w:sz w:val="22"/>
          <w:szCs w:val="22"/>
        </w:rPr>
        <w:t xml:space="preserve">ervices </w:t>
      </w:r>
      <w:r w:rsidR="008D6F1B">
        <w:rPr>
          <w:rStyle w:val="normaltextrun"/>
          <w:rFonts w:ascii="Calibri" w:hAnsi="Calibri" w:cs="Calibri"/>
          <w:sz w:val="22"/>
          <w:szCs w:val="22"/>
        </w:rPr>
        <w:t xml:space="preserve">fee setting </w:t>
      </w:r>
      <w:r w:rsidRPr="6B3340CB">
        <w:rPr>
          <w:rStyle w:val="normaltextrun"/>
          <w:rFonts w:ascii="Calibri" w:hAnsi="Calibri" w:cs="Calibri"/>
          <w:b/>
          <w:bCs/>
          <w:sz w:val="22"/>
          <w:szCs w:val="22"/>
        </w:rPr>
        <w:t>(Confidential Appendix FCS 02/11/21)</w:t>
      </w:r>
    </w:p>
    <w:p w14:paraId="1A3F199B" w14:textId="77777777" w:rsidR="0010343E" w:rsidRDefault="354DCBBE" w:rsidP="6B3340CB">
      <w:pPr>
        <w:pStyle w:val="paragraph"/>
        <w:spacing w:before="0" w:beforeAutospacing="0" w:after="0" w:afterAutospacing="0"/>
        <w:ind w:left="1125" w:right="1125"/>
        <w:textAlignment w:val="baseline"/>
        <w:rPr>
          <w:rFonts w:ascii="Segoe UI" w:hAnsi="Segoe UI" w:cs="Segoe UI"/>
          <w:sz w:val="18"/>
          <w:szCs w:val="18"/>
        </w:rPr>
      </w:pPr>
      <w:r w:rsidRPr="6B3340CB">
        <w:rPr>
          <w:rStyle w:val="eop"/>
          <w:rFonts w:ascii="Calibri" w:hAnsi="Calibri" w:cs="Calibri"/>
          <w:sz w:val="22"/>
          <w:szCs w:val="22"/>
        </w:rPr>
        <w:t> </w:t>
      </w:r>
    </w:p>
    <w:p w14:paraId="01C606D6" w14:textId="15106975" w:rsidR="0010343E" w:rsidRDefault="354DCBBE" w:rsidP="00E30D53">
      <w:pPr>
        <w:pStyle w:val="paragraph"/>
        <w:numPr>
          <w:ilvl w:val="0"/>
          <w:numId w:val="1"/>
        </w:numPr>
        <w:spacing w:before="0" w:beforeAutospacing="0" w:after="0" w:afterAutospacing="0"/>
        <w:textAlignment w:val="baseline"/>
        <w:rPr>
          <w:rFonts w:ascii="Calibri" w:hAnsi="Calibri" w:cs="Calibri"/>
          <w:sz w:val="22"/>
          <w:szCs w:val="22"/>
        </w:rPr>
      </w:pPr>
      <w:r w:rsidRPr="57268712">
        <w:rPr>
          <w:rStyle w:val="normaltextrun"/>
          <w:rFonts w:ascii="Calibri" w:hAnsi="Calibri" w:cs="Calibri"/>
          <w:sz w:val="22"/>
          <w:szCs w:val="22"/>
        </w:rPr>
        <w:t>Remuneration</w:t>
      </w:r>
      <w:r w:rsidRPr="57268712">
        <w:rPr>
          <w:rStyle w:val="eop"/>
          <w:rFonts w:ascii="Calibri" w:hAnsi="Calibri" w:cs="Calibri"/>
          <w:sz w:val="22"/>
          <w:szCs w:val="22"/>
        </w:rPr>
        <w:t> </w:t>
      </w:r>
      <w:r w:rsidR="341967FA" w:rsidRPr="57268712">
        <w:rPr>
          <w:rStyle w:val="eop"/>
          <w:rFonts w:ascii="Calibri" w:hAnsi="Calibri" w:cs="Calibri"/>
          <w:sz w:val="22"/>
          <w:szCs w:val="22"/>
        </w:rPr>
        <w:t>and reimbursement</w:t>
      </w:r>
    </w:p>
    <w:p w14:paraId="62436A8F" w14:textId="651E389A" w:rsidR="00E813F9" w:rsidRPr="00E813F9" w:rsidRDefault="00B47A85" w:rsidP="00E30D53">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Contractor costs</w:t>
      </w:r>
      <w:r w:rsidR="45654F9E" w:rsidRPr="41159677">
        <w:rPr>
          <w:rStyle w:val="normaltextrun"/>
          <w:rFonts w:ascii="Calibri" w:hAnsi="Calibri" w:cs="Calibri"/>
          <w:sz w:val="22"/>
          <w:szCs w:val="22"/>
        </w:rPr>
        <w:t xml:space="preserve"> </w:t>
      </w:r>
      <w:r w:rsidR="354DCBBE" w:rsidRPr="41159677">
        <w:rPr>
          <w:rStyle w:val="normaltextrun"/>
          <w:rFonts w:ascii="Calibri" w:hAnsi="Calibri" w:cs="Calibri"/>
          <w:sz w:val="22"/>
          <w:szCs w:val="22"/>
        </w:rPr>
        <w:t>(</w:t>
      </w:r>
      <w:r w:rsidR="00C16355">
        <w:rPr>
          <w:rStyle w:val="normaltextrun"/>
          <w:rFonts w:ascii="Calibri" w:hAnsi="Calibri" w:cs="Calibri"/>
          <w:sz w:val="22"/>
          <w:szCs w:val="22"/>
        </w:rPr>
        <w:t xml:space="preserve">confidential </w:t>
      </w:r>
      <w:r w:rsidR="34CA8DAD" w:rsidRPr="41159677">
        <w:rPr>
          <w:rStyle w:val="normaltextrun"/>
          <w:rFonts w:ascii="Calibri" w:hAnsi="Calibri" w:cs="Calibri"/>
          <w:sz w:val="22"/>
          <w:szCs w:val="22"/>
        </w:rPr>
        <w:t>verbal report</w:t>
      </w:r>
      <w:r w:rsidR="354DCBBE" w:rsidRPr="41159677">
        <w:rPr>
          <w:rStyle w:val="normaltextrun"/>
          <w:rFonts w:ascii="Calibri" w:hAnsi="Calibri" w:cs="Calibri"/>
          <w:sz w:val="22"/>
          <w:szCs w:val="22"/>
        </w:rPr>
        <w:t>) </w:t>
      </w:r>
    </w:p>
    <w:p w14:paraId="43BE5477" w14:textId="6A0C3765" w:rsidR="0010343E" w:rsidRPr="007616D0" w:rsidRDefault="69FCCCDB" w:rsidP="00E30D53">
      <w:pPr>
        <w:pStyle w:val="paragraph"/>
        <w:numPr>
          <w:ilvl w:val="0"/>
          <w:numId w:val="2"/>
        </w:numPr>
        <w:spacing w:before="0" w:beforeAutospacing="0" w:after="0" w:afterAutospacing="0"/>
        <w:textAlignment w:val="baseline"/>
        <w:rPr>
          <w:rStyle w:val="normaltextrun"/>
        </w:rPr>
      </w:pPr>
      <w:r w:rsidRPr="41159677">
        <w:rPr>
          <w:rStyle w:val="normaltextrun"/>
          <w:rFonts w:ascii="Calibri" w:hAnsi="Calibri" w:cs="Calibri"/>
          <w:sz w:val="22"/>
          <w:szCs w:val="22"/>
        </w:rPr>
        <w:t>C-19 cost claims</w:t>
      </w:r>
      <w:r w:rsidR="1233DC56" w:rsidRPr="41159677">
        <w:rPr>
          <w:rStyle w:val="normaltextrun"/>
          <w:rFonts w:ascii="Calibri" w:hAnsi="Calibri" w:cs="Calibri"/>
          <w:sz w:val="22"/>
          <w:szCs w:val="22"/>
        </w:rPr>
        <w:t xml:space="preserve"> update (</w:t>
      </w:r>
      <w:r w:rsidR="00C16355">
        <w:rPr>
          <w:rStyle w:val="normaltextrun"/>
          <w:rFonts w:ascii="Calibri" w:hAnsi="Calibri" w:cs="Calibri"/>
          <w:sz w:val="22"/>
          <w:szCs w:val="22"/>
        </w:rPr>
        <w:t xml:space="preserve">confidential </w:t>
      </w:r>
      <w:r w:rsidR="1233DC56" w:rsidRPr="41159677">
        <w:rPr>
          <w:rStyle w:val="normaltextrun"/>
          <w:rFonts w:ascii="Calibri" w:hAnsi="Calibri" w:cs="Calibri"/>
          <w:sz w:val="22"/>
          <w:szCs w:val="22"/>
        </w:rPr>
        <w:t>verbal report)</w:t>
      </w:r>
    </w:p>
    <w:p w14:paraId="6DD96744" w14:textId="77777777" w:rsidR="007B2E33" w:rsidRDefault="2C1103BF" w:rsidP="00E30D53">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57268712">
        <w:rPr>
          <w:rStyle w:val="normaltextrun"/>
          <w:rFonts w:ascii="Calibri" w:hAnsi="Calibri" w:cs="Calibri"/>
          <w:sz w:val="22"/>
          <w:szCs w:val="22"/>
        </w:rPr>
        <w:t xml:space="preserve">CPCF outturn </w:t>
      </w:r>
      <w:r w:rsidRPr="57268712">
        <w:rPr>
          <w:rStyle w:val="normaltextrun"/>
          <w:rFonts w:ascii="Calibri" w:hAnsi="Calibri" w:cs="Calibri"/>
          <w:b/>
          <w:bCs/>
          <w:sz w:val="22"/>
          <w:szCs w:val="22"/>
        </w:rPr>
        <w:t>(Confidential Appendix FCS 03/11/21)</w:t>
      </w:r>
    </w:p>
    <w:p w14:paraId="6C05B16D" w14:textId="77777777" w:rsidR="007B2E33" w:rsidRDefault="2DBB18BC" w:rsidP="00E30D53">
      <w:pPr>
        <w:pStyle w:val="paragraph"/>
        <w:numPr>
          <w:ilvl w:val="0"/>
          <w:numId w:val="2"/>
        </w:numPr>
        <w:spacing w:before="0" w:beforeAutospacing="0" w:after="0" w:afterAutospacing="0"/>
        <w:rPr>
          <w:rFonts w:asciiTheme="minorHAnsi" w:eastAsiaTheme="minorEastAsia" w:hAnsiTheme="minorHAnsi" w:cstheme="minorBidi"/>
        </w:rPr>
      </w:pPr>
      <w:r w:rsidRPr="007B2E33">
        <w:rPr>
          <w:rStyle w:val="normaltextrun"/>
          <w:rFonts w:ascii="Calibri" w:hAnsi="Calibri" w:cs="Calibri"/>
          <w:sz w:val="22"/>
          <w:szCs w:val="22"/>
        </w:rPr>
        <w:t>Category M </w:t>
      </w:r>
      <w:r w:rsidR="6C0880C3" w:rsidRPr="007B2E33">
        <w:rPr>
          <w:rStyle w:val="normaltextrun"/>
          <w:rFonts w:ascii="Calibri" w:hAnsi="Calibri" w:cs="Calibri"/>
          <w:sz w:val="22"/>
          <w:szCs w:val="22"/>
        </w:rPr>
        <w:t>Oct</w:t>
      </w:r>
      <w:r w:rsidRPr="007B2E33">
        <w:rPr>
          <w:rStyle w:val="normaltextrun"/>
          <w:rFonts w:ascii="Calibri" w:hAnsi="Calibri" w:cs="Calibri"/>
          <w:sz w:val="22"/>
          <w:szCs w:val="22"/>
        </w:rPr>
        <w:t xml:space="preserve"> 2021</w:t>
      </w:r>
      <w:r w:rsidRPr="007B2E33">
        <w:rPr>
          <w:rStyle w:val="normaltextrun"/>
          <w:rFonts w:ascii="Calibri" w:hAnsi="Calibri" w:cs="Calibri"/>
          <w:color w:val="0000FF"/>
          <w:sz w:val="22"/>
          <w:szCs w:val="22"/>
        </w:rPr>
        <w:t> </w:t>
      </w:r>
      <w:r w:rsidRPr="007B2E33">
        <w:rPr>
          <w:rStyle w:val="normaltextrun"/>
          <w:rFonts w:ascii="Calibri" w:hAnsi="Calibri" w:cs="Calibri"/>
          <w:b/>
          <w:bCs/>
          <w:sz w:val="22"/>
          <w:szCs w:val="22"/>
        </w:rPr>
        <w:t>(Confidential Appendix FCS 0</w:t>
      </w:r>
      <w:r w:rsidR="7C887F6E" w:rsidRPr="007B2E33">
        <w:rPr>
          <w:rStyle w:val="normaltextrun"/>
          <w:rFonts w:ascii="Calibri" w:hAnsi="Calibri" w:cs="Calibri"/>
          <w:b/>
          <w:bCs/>
          <w:sz w:val="22"/>
          <w:szCs w:val="22"/>
        </w:rPr>
        <w:t>4</w:t>
      </w:r>
      <w:r w:rsidRPr="007B2E33">
        <w:rPr>
          <w:rStyle w:val="normaltextrun"/>
          <w:rFonts w:ascii="Calibri" w:hAnsi="Calibri" w:cs="Calibri"/>
          <w:b/>
          <w:bCs/>
          <w:sz w:val="22"/>
          <w:szCs w:val="22"/>
        </w:rPr>
        <w:t>/</w:t>
      </w:r>
      <w:r w:rsidR="1FBCFCA5" w:rsidRPr="007B2E33">
        <w:rPr>
          <w:rStyle w:val="normaltextrun"/>
          <w:rFonts w:ascii="Calibri" w:hAnsi="Calibri" w:cs="Calibri"/>
          <w:b/>
          <w:bCs/>
          <w:sz w:val="22"/>
          <w:szCs w:val="22"/>
        </w:rPr>
        <w:t>11</w:t>
      </w:r>
      <w:r w:rsidRPr="007B2E33">
        <w:rPr>
          <w:rStyle w:val="normaltextrun"/>
          <w:rFonts w:ascii="Calibri" w:hAnsi="Calibri" w:cs="Calibri"/>
          <w:b/>
          <w:bCs/>
          <w:sz w:val="22"/>
          <w:szCs w:val="22"/>
        </w:rPr>
        <w:t>/21)</w:t>
      </w:r>
      <w:r w:rsidRPr="007B2E33">
        <w:rPr>
          <w:rStyle w:val="eop"/>
          <w:rFonts w:ascii="Calibri" w:hAnsi="Calibri" w:cs="Calibri"/>
          <w:sz w:val="22"/>
          <w:szCs w:val="22"/>
        </w:rPr>
        <w:t> </w:t>
      </w:r>
    </w:p>
    <w:p w14:paraId="2EB5A4EF" w14:textId="77777777" w:rsidR="007B2E33" w:rsidRDefault="2DBB18BC" w:rsidP="00E30D53">
      <w:pPr>
        <w:pStyle w:val="paragraph"/>
        <w:numPr>
          <w:ilvl w:val="0"/>
          <w:numId w:val="2"/>
        </w:numPr>
        <w:spacing w:before="0" w:beforeAutospacing="0" w:after="0" w:afterAutospacing="0"/>
        <w:rPr>
          <w:rFonts w:asciiTheme="minorHAnsi" w:eastAsiaTheme="minorEastAsia" w:hAnsiTheme="minorHAnsi" w:cstheme="minorBidi"/>
        </w:rPr>
      </w:pPr>
      <w:r w:rsidRPr="007B2E33">
        <w:rPr>
          <w:rStyle w:val="normaltextrun"/>
          <w:rFonts w:ascii="Calibri" w:hAnsi="Calibri" w:cs="Calibri"/>
          <w:sz w:val="22"/>
          <w:szCs w:val="22"/>
        </w:rPr>
        <w:t>Margin update </w:t>
      </w:r>
      <w:r w:rsidRPr="007B2E33">
        <w:rPr>
          <w:rStyle w:val="normaltextrun"/>
          <w:rFonts w:ascii="Calibri" w:hAnsi="Calibri" w:cs="Calibri"/>
          <w:b/>
          <w:bCs/>
          <w:sz w:val="22"/>
          <w:szCs w:val="22"/>
        </w:rPr>
        <w:t>(Confidential Appendix FCS 0</w:t>
      </w:r>
      <w:r w:rsidR="4184E8BC" w:rsidRPr="007B2E33">
        <w:rPr>
          <w:rStyle w:val="normaltextrun"/>
          <w:rFonts w:ascii="Calibri" w:hAnsi="Calibri" w:cs="Calibri"/>
          <w:b/>
          <w:bCs/>
          <w:sz w:val="22"/>
          <w:szCs w:val="22"/>
        </w:rPr>
        <w:t>5</w:t>
      </w:r>
      <w:r w:rsidRPr="007B2E33">
        <w:rPr>
          <w:rStyle w:val="normaltextrun"/>
          <w:rFonts w:ascii="Calibri" w:hAnsi="Calibri" w:cs="Calibri"/>
          <w:b/>
          <w:bCs/>
          <w:sz w:val="22"/>
          <w:szCs w:val="22"/>
        </w:rPr>
        <w:t>/</w:t>
      </w:r>
      <w:r w:rsidR="1FBCFCA5" w:rsidRPr="007B2E33">
        <w:rPr>
          <w:rStyle w:val="normaltextrun"/>
          <w:rFonts w:ascii="Calibri" w:hAnsi="Calibri" w:cs="Calibri"/>
          <w:b/>
          <w:bCs/>
          <w:sz w:val="22"/>
          <w:szCs w:val="22"/>
        </w:rPr>
        <w:t>11</w:t>
      </w:r>
      <w:r w:rsidRPr="007B2E33">
        <w:rPr>
          <w:rStyle w:val="normaltextrun"/>
          <w:rFonts w:ascii="Calibri" w:hAnsi="Calibri" w:cs="Calibri"/>
          <w:b/>
          <w:bCs/>
          <w:sz w:val="22"/>
          <w:szCs w:val="22"/>
        </w:rPr>
        <w:t>/21) </w:t>
      </w:r>
    </w:p>
    <w:p w14:paraId="02932E04" w14:textId="77777777" w:rsidR="007B2E33" w:rsidRDefault="61D580FE" w:rsidP="00E30D53">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07B2E33">
        <w:rPr>
          <w:rStyle w:val="normaltextrun"/>
          <w:rFonts w:ascii="Calibri" w:hAnsi="Calibri" w:cs="Calibri"/>
          <w:sz w:val="22"/>
          <w:szCs w:val="22"/>
        </w:rPr>
        <w:t>Use of all suppliers’ data to calculate specials reimbursement prices</w:t>
      </w:r>
      <w:r w:rsidRPr="007B2E33">
        <w:rPr>
          <w:rStyle w:val="normaltextrun"/>
          <w:rFonts w:ascii="Calibri" w:hAnsi="Calibri" w:cs="Calibri"/>
          <w:b/>
          <w:bCs/>
          <w:sz w:val="22"/>
          <w:szCs w:val="22"/>
        </w:rPr>
        <w:t xml:space="preserve"> (Confidential Appendix 0</w:t>
      </w:r>
      <w:r w:rsidR="095895B4" w:rsidRPr="007B2E33">
        <w:rPr>
          <w:rStyle w:val="normaltextrun"/>
          <w:rFonts w:ascii="Calibri" w:hAnsi="Calibri" w:cs="Calibri"/>
          <w:b/>
          <w:bCs/>
          <w:sz w:val="22"/>
          <w:szCs w:val="22"/>
        </w:rPr>
        <w:t>6</w:t>
      </w:r>
      <w:r w:rsidRPr="007B2E33">
        <w:rPr>
          <w:rStyle w:val="normaltextrun"/>
          <w:rFonts w:ascii="Calibri" w:hAnsi="Calibri" w:cs="Calibri"/>
          <w:b/>
          <w:bCs/>
          <w:sz w:val="22"/>
          <w:szCs w:val="22"/>
        </w:rPr>
        <w:t>/11/21)</w:t>
      </w:r>
      <w:r w:rsidRPr="007B2E33">
        <w:rPr>
          <w:rStyle w:val="eop"/>
          <w:rFonts w:ascii="Calibri" w:hAnsi="Calibri" w:cs="Calibri"/>
          <w:sz w:val="22"/>
          <w:szCs w:val="22"/>
        </w:rPr>
        <w:t xml:space="preserve"> </w:t>
      </w:r>
    </w:p>
    <w:p w14:paraId="3A85ADEB" w14:textId="77777777" w:rsidR="007B2E33" w:rsidRDefault="61D580FE" w:rsidP="00E30D53">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07B2E33">
        <w:rPr>
          <w:rStyle w:val="eop"/>
          <w:rFonts w:ascii="Calibri" w:hAnsi="Calibri" w:cs="Calibri"/>
          <w:sz w:val="22"/>
          <w:szCs w:val="22"/>
        </w:rPr>
        <w:t xml:space="preserve">Reimbursement reforms update </w:t>
      </w:r>
      <w:r w:rsidRPr="007B2E33">
        <w:rPr>
          <w:rStyle w:val="normaltextrun"/>
          <w:rFonts w:ascii="Calibri" w:hAnsi="Calibri" w:cs="Calibri"/>
          <w:b/>
          <w:bCs/>
          <w:sz w:val="22"/>
          <w:szCs w:val="22"/>
        </w:rPr>
        <w:t>(Confidential Appendix FCS 0</w:t>
      </w:r>
      <w:r w:rsidR="5887E6F4" w:rsidRPr="007B2E33">
        <w:rPr>
          <w:rStyle w:val="normaltextrun"/>
          <w:rFonts w:ascii="Calibri" w:hAnsi="Calibri" w:cs="Calibri"/>
          <w:b/>
          <w:bCs/>
          <w:sz w:val="22"/>
          <w:szCs w:val="22"/>
        </w:rPr>
        <w:t>7</w:t>
      </w:r>
      <w:r w:rsidRPr="007B2E33">
        <w:rPr>
          <w:rStyle w:val="normaltextrun"/>
          <w:rFonts w:ascii="Calibri" w:hAnsi="Calibri" w:cs="Calibri"/>
          <w:b/>
          <w:bCs/>
          <w:sz w:val="22"/>
          <w:szCs w:val="22"/>
        </w:rPr>
        <w:t>/11/21)</w:t>
      </w:r>
    </w:p>
    <w:p w14:paraId="55AC6E47" w14:textId="77777777" w:rsidR="007B2E33" w:rsidRDefault="61D580FE" w:rsidP="00E30D53">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07B2E33">
        <w:rPr>
          <w:rStyle w:val="normaltextrun"/>
          <w:rFonts w:ascii="Calibri" w:hAnsi="Calibri" w:cs="Calibri"/>
          <w:sz w:val="22"/>
          <w:szCs w:val="22"/>
        </w:rPr>
        <w:t xml:space="preserve">Inclusion of ‘Specials in Packets’ to Part VIII of Drug Tariff </w:t>
      </w:r>
      <w:r w:rsidRPr="007B2E33">
        <w:rPr>
          <w:rStyle w:val="normaltextrun"/>
          <w:rFonts w:ascii="Calibri" w:hAnsi="Calibri" w:cs="Calibri"/>
          <w:b/>
          <w:bCs/>
          <w:sz w:val="22"/>
          <w:szCs w:val="22"/>
        </w:rPr>
        <w:t>(Confidential Appendix 0</w:t>
      </w:r>
      <w:r w:rsidR="57FD732A" w:rsidRPr="007B2E33">
        <w:rPr>
          <w:rStyle w:val="normaltextrun"/>
          <w:rFonts w:ascii="Calibri" w:hAnsi="Calibri" w:cs="Calibri"/>
          <w:b/>
          <w:bCs/>
          <w:sz w:val="22"/>
          <w:szCs w:val="22"/>
        </w:rPr>
        <w:t>8</w:t>
      </w:r>
      <w:r w:rsidRPr="007B2E33">
        <w:rPr>
          <w:rStyle w:val="normaltextrun"/>
          <w:rFonts w:ascii="Calibri" w:hAnsi="Calibri" w:cs="Calibri"/>
          <w:b/>
          <w:bCs/>
          <w:sz w:val="22"/>
          <w:szCs w:val="22"/>
        </w:rPr>
        <w:t>/11/21)</w:t>
      </w:r>
      <w:r w:rsidRPr="007B2E33">
        <w:rPr>
          <w:rStyle w:val="normaltextrun"/>
          <w:rFonts w:ascii="Calibri" w:hAnsi="Calibri" w:cs="Calibri"/>
          <w:sz w:val="22"/>
          <w:szCs w:val="22"/>
        </w:rPr>
        <w:t xml:space="preserve"> </w:t>
      </w:r>
    </w:p>
    <w:p w14:paraId="6BFF4BAE" w14:textId="77777777" w:rsidR="007B2E33" w:rsidRDefault="45C8FAE5" w:rsidP="00E30D53">
      <w:pPr>
        <w:pStyle w:val="paragraph"/>
        <w:numPr>
          <w:ilvl w:val="0"/>
          <w:numId w:val="2"/>
        </w:numPr>
        <w:spacing w:before="0" w:beforeAutospacing="0" w:after="0" w:afterAutospacing="0"/>
        <w:rPr>
          <w:rStyle w:val="normaltextrun"/>
          <w:rFonts w:asciiTheme="minorHAnsi" w:eastAsiaTheme="minorEastAsia" w:hAnsiTheme="minorHAnsi" w:cstheme="minorBidi"/>
        </w:rPr>
      </w:pPr>
      <w:r w:rsidRPr="007B2E33">
        <w:rPr>
          <w:rStyle w:val="normaltextrun"/>
          <w:rFonts w:ascii="Calibri" w:hAnsi="Calibri" w:cs="Calibri"/>
          <w:sz w:val="22"/>
          <w:szCs w:val="22"/>
        </w:rPr>
        <w:t>Scottish r</w:t>
      </w:r>
      <w:r w:rsidR="0C408A56" w:rsidRPr="007B2E33">
        <w:rPr>
          <w:rStyle w:val="normaltextrun"/>
          <w:rFonts w:ascii="Calibri" w:hAnsi="Calibri" w:cs="Calibri"/>
          <w:sz w:val="22"/>
          <w:szCs w:val="22"/>
        </w:rPr>
        <w:t xml:space="preserve">eimbursement </w:t>
      </w:r>
      <w:r w:rsidR="36D12042" w:rsidRPr="007B2E33">
        <w:rPr>
          <w:rStyle w:val="normaltextrun"/>
          <w:rFonts w:ascii="Calibri" w:hAnsi="Calibri" w:cs="Calibri"/>
          <w:sz w:val="22"/>
          <w:szCs w:val="22"/>
        </w:rPr>
        <w:t>model</w:t>
      </w:r>
      <w:r w:rsidR="0E9B086F" w:rsidRPr="007B2E33">
        <w:rPr>
          <w:rStyle w:val="normaltextrun"/>
          <w:rFonts w:ascii="Calibri" w:hAnsi="Calibri" w:cs="Calibri"/>
          <w:sz w:val="22"/>
          <w:szCs w:val="22"/>
        </w:rPr>
        <w:t xml:space="preserve"> for </w:t>
      </w:r>
      <w:r w:rsidR="1FBCFCA5" w:rsidRPr="007B2E33">
        <w:rPr>
          <w:rStyle w:val="normaltextrun"/>
          <w:rFonts w:ascii="Calibri" w:hAnsi="Calibri" w:cs="Calibri"/>
          <w:sz w:val="22"/>
          <w:szCs w:val="22"/>
        </w:rPr>
        <w:t xml:space="preserve">OPD </w:t>
      </w:r>
      <w:r w:rsidR="1FBCFCA5" w:rsidRPr="007B2E33">
        <w:rPr>
          <w:rStyle w:val="normaltextrun"/>
          <w:rFonts w:ascii="Calibri" w:hAnsi="Calibri" w:cs="Calibri"/>
          <w:b/>
          <w:bCs/>
          <w:sz w:val="22"/>
          <w:szCs w:val="22"/>
        </w:rPr>
        <w:t>(Confidential Appendix</w:t>
      </w:r>
      <w:r w:rsidR="40F30054" w:rsidRPr="007B2E33">
        <w:rPr>
          <w:rStyle w:val="normaltextrun"/>
          <w:rFonts w:ascii="Calibri" w:hAnsi="Calibri" w:cs="Calibri"/>
          <w:b/>
          <w:bCs/>
          <w:sz w:val="22"/>
          <w:szCs w:val="22"/>
        </w:rPr>
        <w:t xml:space="preserve"> 0</w:t>
      </w:r>
      <w:r w:rsidR="72FE9422" w:rsidRPr="007B2E33">
        <w:rPr>
          <w:rStyle w:val="normaltextrun"/>
          <w:rFonts w:ascii="Calibri" w:hAnsi="Calibri" w:cs="Calibri"/>
          <w:b/>
          <w:bCs/>
          <w:sz w:val="22"/>
          <w:szCs w:val="22"/>
        </w:rPr>
        <w:t>9</w:t>
      </w:r>
      <w:r w:rsidR="40F30054" w:rsidRPr="007B2E33">
        <w:rPr>
          <w:rStyle w:val="normaltextrun"/>
          <w:rFonts w:ascii="Calibri" w:hAnsi="Calibri" w:cs="Calibri"/>
          <w:b/>
          <w:bCs/>
          <w:sz w:val="22"/>
          <w:szCs w:val="22"/>
        </w:rPr>
        <w:t>/11/21</w:t>
      </w:r>
      <w:r w:rsidR="1FBCFCA5" w:rsidRPr="007B2E33">
        <w:rPr>
          <w:rStyle w:val="normaltextrun"/>
          <w:rFonts w:ascii="Calibri" w:hAnsi="Calibri" w:cs="Calibri"/>
          <w:b/>
          <w:bCs/>
          <w:sz w:val="22"/>
          <w:szCs w:val="22"/>
        </w:rPr>
        <w:t>)</w:t>
      </w:r>
    </w:p>
    <w:p w14:paraId="4E032F1D" w14:textId="77777777" w:rsidR="007B2E33" w:rsidRDefault="1FBCFCA5" w:rsidP="00E30D53">
      <w:pPr>
        <w:pStyle w:val="paragraph"/>
        <w:numPr>
          <w:ilvl w:val="0"/>
          <w:numId w:val="2"/>
        </w:numPr>
        <w:spacing w:before="0" w:beforeAutospacing="0" w:after="0" w:afterAutospacing="0"/>
        <w:rPr>
          <w:rFonts w:asciiTheme="minorHAnsi" w:eastAsiaTheme="minorEastAsia" w:hAnsiTheme="minorHAnsi" w:cstheme="minorBidi"/>
        </w:rPr>
      </w:pPr>
      <w:r w:rsidRPr="007B2E33">
        <w:rPr>
          <w:rStyle w:val="normaltextrun"/>
          <w:rFonts w:ascii="Calibri" w:hAnsi="Calibri" w:cs="Calibri"/>
          <w:sz w:val="22"/>
          <w:szCs w:val="22"/>
        </w:rPr>
        <w:t xml:space="preserve">Proposed changes to HRT levy payments </w:t>
      </w:r>
      <w:r w:rsidRPr="007B2E33">
        <w:rPr>
          <w:rStyle w:val="normaltextrun"/>
          <w:rFonts w:ascii="Calibri" w:hAnsi="Calibri" w:cs="Calibri"/>
          <w:b/>
          <w:bCs/>
          <w:sz w:val="22"/>
          <w:szCs w:val="22"/>
        </w:rPr>
        <w:t xml:space="preserve">(Confidential Appendix </w:t>
      </w:r>
      <w:r w:rsidR="318C62EF" w:rsidRPr="007B2E33">
        <w:rPr>
          <w:rStyle w:val="normaltextrun"/>
          <w:rFonts w:ascii="Calibri" w:hAnsi="Calibri" w:cs="Calibri"/>
          <w:b/>
          <w:bCs/>
          <w:sz w:val="22"/>
          <w:szCs w:val="22"/>
        </w:rPr>
        <w:t>10</w:t>
      </w:r>
      <w:r w:rsidR="40F30054" w:rsidRPr="007B2E33">
        <w:rPr>
          <w:rStyle w:val="normaltextrun"/>
          <w:rFonts w:ascii="Calibri" w:hAnsi="Calibri" w:cs="Calibri"/>
          <w:b/>
          <w:bCs/>
          <w:sz w:val="22"/>
          <w:szCs w:val="22"/>
        </w:rPr>
        <w:t>/11/21</w:t>
      </w:r>
      <w:r w:rsidRPr="007B2E33">
        <w:rPr>
          <w:rStyle w:val="normaltextrun"/>
          <w:rFonts w:ascii="Calibri" w:hAnsi="Calibri" w:cs="Calibri"/>
          <w:b/>
          <w:bCs/>
          <w:sz w:val="22"/>
          <w:szCs w:val="22"/>
        </w:rPr>
        <w:t>)</w:t>
      </w:r>
    </w:p>
    <w:p w14:paraId="03BF58B4" w14:textId="216F830C" w:rsidR="0010343E" w:rsidRPr="007B2E33" w:rsidRDefault="2DBB18BC" w:rsidP="00E30D53">
      <w:pPr>
        <w:pStyle w:val="paragraph"/>
        <w:numPr>
          <w:ilvl w:val="0"/>
          <w:numId w:val="2"/>
        </w:numPr>
        <w:spacing w:before="0" w:beforeAutospacing="0" w:after="0" w:afterAutospacing="0"/>
        <w:rPr>
          <w:rStyle w:val="eop"/>
          <w:rFonts w:asciiTheme="minorHAnsi" w:eastAsiaTheme="minorEastAsia" w:hAnsiTheme="minorHAnsi" w:cstheme="minorBidi"/>
        </w:rPr>
      </w:pPr>
      <w:r w:rsidRPr="007B2E33">
        <w:rPr>
          <w:rStyle w:val="eop"/>
          <w:rFonts w:ascii="Calibri" w:hAnsi="Calibri" w:cs="Calibri"/>
          <w:sz w:val="22"/>
          <w:szCs w:val="22"/>
        </w:rPr>
        <w:t xml:space="preserve">Price concessions update </w:t>
      </w:r>
      <w:r w:rsidRPr="007B2E33">
        <w:rPr>
          <w:rStyle w:val="eop"/>
          <w:rFonts w:ascii="Calibri" w:hAnsi="Calibri" w:cs="Calibri"/>
          <w:b/>
          <w:bCs/>
          <w:sz w:val="22"/>
          <w:szCs w:val="22"/>
        </w:rPr>
        <w:t xml:space="preserve">(Appendix FCS </w:t>
      </w:r>
      <w:r w:rsidR="1FF8C3AA" w:rsidRPr="007B2E33">
        <w:rPr>
          <w:rStyle w:val="eop"/>
          <w:rFonts w:ascii="Calibri" w:hAnsi="Calibri" w:cs="Calibri"/>
          <w:b/>
          <w:bCs/>
          <w:sz w:val="22"/>
          <w:szCs w:val="22"/>
        </w:rPr>
        <w:t>1</w:t>
      </w:r>
      <w:r w:rsidR="476CC512" w:rsidRPr="007B2E33">
        <w:rPr>
          <w:rStyle w:val="eop"/>
          <w:rFonts w:ascii="Calibri" w:hAnsi="Calibri" w:cs="Calibri"/>
          <w:b/>
          <w:bCs/>
          <w:sz w:val="22"/>
          <w:szCs w:val="22"/>
        </w:rPr>
        <w:t>1</w:t>
      </w:r>
      <w:r w:rsidRPr="007B2E33">
        <w:rPr>
          <w:rStyle w:val="eop"/>
          <w:rFonts w:ascii="Calibri" w:hAnsi="Calibri" w:cs="Calibri"/>
          <w:b/>
          <w:bCs/>
          <w:sz w:val="22"/>
          <w:szCs w:val="22"/>
        </w:rPr>
        <w:t>/</w:t>
      </w:r>
      <w:r w:rsidR="40F30054" w:rsidRPr="007B2E33">
        <w:rPr>
          <w:rStyle w:val="eop"/>
          <w:rFonts w:ascii="Calibri" w:hAnsi="Calibri" w:cs="Calibri"/>
          <w:b/>
          <w:bCs/>
          <w:sz w:val="22"/>
          <w:szCs w:val="22"/>
        </w:rPr>
        <w:t>11</w:t>
      </w:r>
      <w:r w:rsidRPr="007B2E33">
        <w:rPr>
          <w:rStyle w:val="eop"/>
          <w:rFonts w:ascii="Calibri" w:hAnsi="Calibri" w:cs="Calibri"/>
          <w:b/>
          <w:bCs/>
          <w:sz w:val="22"/>
          <w:szCs w:val="22"/>
        </w:rPr>
        <w:t>/21)</w:t>
      </w:r>
    </w:p>
    <w:p w14:paraId="04241DF4" w14:textId="2194DB75" w:rsidR="0010343E" w:rsidRPr="0010343E" w:rsidRDefault="0010343E" w:rsidP="28E632B4">
      <w:pPr>
        <w:pStyle w:val="paragraph"/>
        <w:spacing w:before="0" w:beforeAutospacing="0" w:after="0" w:afterAutospacing="0"/>
        <w:textAlignment w:val="baseline"/>
        <w:rPr>
          <w:rStyle w:val="eop"/>
        </w:rPr>
      </w:pPr>
    </w:p>
    <w:p w14:paraId="0503FAFF" w14:textId="00C19C31" w:rsidR="0010343E" w:rsidRPr="0010343E" w:rsidRDefault="354DCBBE" w:rsidP="00E30D53">
      <w:pPr>
        <w:pStyle w:val="paragraph"/>
        <w:numPr>
          <w:ilvl w:val="0"/>
          <w:numId w:val="1"/>
        </w:numPr>
        <w:spacing w:before="0" w:beforeAutospacing="0" w:after="0" w:afterAutospacing="0"/>
        <w:textAlignment w:val="baseline"/>
        <w:rPr>
          <w:color w:val="000000" w:themeColor="text1"/>
          <w:sz w:val="22"/>
          <w:szCs w:val="22"/>
        </w:rPr>
      </w:pPr>
      <w:r w:rsidRPr="57268712">
        <w:rPr>
          <w:rStyle w:val="normaltextrun"/>
          <w:rFonts w:ascii="Calibri" w:hAnsi="Calibri" w:cs="Calibri"/>
          <w:sz w:val="22"/>
          <w:szCs w:val="22"/>
        </w:rPr>
        <w:t>General funding update </w:t>
      </w:r>
      <w:r w:rsidRPr="57268712">
        <w:rPr>
          <w:rStyle w:val="normaltextrun"/>
          <w:rFonts w:ascii="Calibri" w:hAnsi="Calibri" w:cs="Calibri"/>
          <w:b/>
          <w:bCs/>
          <w:sz w:val="22"/>
          <w:szCs w:val="22"/>
        </w:rPr>
        <w:t>(Appendix FCS </w:t>
      </w:r>
      <w:r w:rsidR="483A3DAF" w:rsidRPr="57268712">
        <w:rPr>
          <w:rStyle w:val="normaltextrun"/>
          <w:rFonts w:ascii="Calibri" w:hAnsi="Calibri" w:cs="Calibri"/>
          <w:b/>
          <w:bCs/>
          <w:sz w:val="22"/>
          <w:szCs w:val="22"/>
        </w:rPr>
        <w:t>1</w:t>
      </w:r>
      <w:r w:rsidR="13BD355C" w:rsidRPr="57268712">
        <w:rPr>
          <w:rStyle w:val="normaltextrun"/>
          <w:rFonts w:ascii="Calibri" w:hAnsi="Calibri" w:cs="Calibri"/>
          <w:b/>
          <w:bCs/>
          <w:sz w:val="22"/>
          <w:szCs w:val="22"/>
        </w:rPr>
        <w:t>2</w:t>
      </w:r>
      <w:r w:rsidRPr="57268712">
        <w:rPr>
          <w:rStyle w:val="normaltextrun"/>
          <w:rFonts w:ascii="Calibri" w:hAnsi="Calibri" w:cs="Calibri"/>
          <w:b/>
          <w:bCs/>
          <w:sz w:val="22"/>
          <w:szCs w:val="22"/>
        </w:rPr>
        <w:t>/</w:t>
      </w:r>
      <w:r w:rsidR="40F30054" w:rsidRPr="57268712">
        <w:rPr>
          <w:rStyle w:val="normaltextrun"/>
          <w:rFonts w:ascii="Calibri" w:hAnsi="Calibri" w:cs="Calibri"/>
          <w:b/>
          <w:bCs/>
          <w:sz w:val="22"/>
          <w:szCs w:val="22"/>
        </w:rPr>
        <w:t>11</w:t>
      </w:r>
      <w:r w:rsidRPr="57268712">
        <w:rPr>
          <w:rStyle w:val="normaltextrun"/>
          <w:rFonts w:ascii="Calibri" w:hAnsi="Calibri" w:cs="Calibri"/>
          <w:b/>
          <w:bCs/>
          <w:sz w:val="22"/>
          <w:szCs w:val="22"/>
        </w:rPr>
        <w:t>/21)</w:t>
      </w:r>
    </w:p>
    <w:p w14:paraId="5A457DFB" w14:textId="090A37E0" w:rsidR="0010343E" w:rsidRPr="0010343E" w:rsidRDefault="0010343E" w:rsidP="42B61739">
      <w:pPr>
        <w:pStyle w:val="paragraph"/>
        <w:spacing w:before="0" w:beforeAutospacing="0" w:after="0" w:afterAutospacing="0"/>
        <w:textAlignment w:val="baseline"/>
        <w:rPr>
          <w:sz w:val="22"/>
          <w:szCs w:val="22"/>
        </w:rPr>
      </w:pPr>
      <w:r w:rsidRPr="42B61739">
        <w:rPr>
          <w:rStyle w:val="normaltextrun"/>
          <w:rFonts w:ascii="Calibri" w:hAnsi="Calibri" w:cs="Calibri"/>
          <w:b/>
          <w:bCs/>
          <w:sz w:val="22"/>
          <w:szCs w:val="22"/>
        </w:rPr>
        <w:t> </w:t>
      </w:r>
      <w:r w:rsidRPr="42B61739">
        <w:rPr>
          <w:rStyle w:val="eop"/>
          <w:rFonts w:ascii="Calibri" w:hAnsi="Calibri" w:cs="Calibri"/>
          <w:sz w:val="22"/>
          <w:szCs w:val="22"/>
        </w:rPr>
        <w:t> </w:t>
      </w:r>
    </w:p>
    <w:p w14:paraId="3DE769BB" w14:textId="4CE2E2BE" w:rsidR="0010343E" w:rsidRPr="0010343E" w:rsidRDefault="2CF05E2A" w:rsidP="00E30D53">
      <w:pPr>
        <w:pStyle w:val="paragraph"/>
        <w:numPr>
          <w:ilvl w:val="0"/>
          <w:numId w:val="1"/>
        </w:numPr>
        <w:spacing w:before="0" w:beforeAutospacing="0" w:after="0" w:afterAutospacing="0"/>
        <w:textAlignment w:val="baseline"/>
        <w:rPr>
          <w:rStyle w:val="eop"/>
          <w:color w:val="000000" w:themeColor="text1"/>
          <w:sz w:val="22"/>
          <w:szCs w:val="22"/>
        </w:rPr>
      </w:pPr>
      <w:r w:rsidRPr="57268712">
        <w:rPr>
          <w:rStyle w:val="eop"/>
          <w:rFonts w:ascii="Calibri" w:hAnsi="Calibri" w:cs="Calibri"/>
          <w:sz w:val="22"/>
          <w:szCs w:val="22"/>
        </w:rPr>
        <w:t xml:space="preserve">Services dashboard </w:t>
      </w:r>
      <w:r w:rsidRPr="57268712">
        <w:rPr>
          <w:rStyle w:val="eop"/>
          <w:rFonts w:ascii="Calibri" w:hAnsi="Calibri" w:cs="Calibri"/>
          <w:b/>
          <w:bCs/>
          <w:sz w:val="22"/>
          <w:szCs w:val="22"/>
        </w:rPr>
        <w:t xml:space="preserve">(Appendix FCS </w:t>
      </w:r>
      <w:r w:rsidR="6417B948" w:rsidRPr="57268712">
        <w:rPr>
          <w:rStyle w:val="eop"/>
          <w:rFonts w:ascii="Calibri" w:hAnsi="Calibri" w:cs="Calibri"/>
          <w:b/>
          <w:bCs/>
          <w:sz w:val="22"/>
          <w:szCs w:val="22"/>
        </w:rPr>
        <w:t>1</w:t>
      </w:r>
      <w:r w:rsidR="00A9649D" w:rsidRPr="57268712">
        <w:rPr>
          <w:rStyle w:val="eop"/>
          <w:rFonts w:ascii="Calibri" w:hAnsi="Calibri" w:cs="Calibri"/>
          <w:b/>
          <w:bCs/>
          <w:sz w:val="22"/>
          <w:szCs w:val="22"/>
        </w:rPr>
        <w:t>3</w:t>
      </w:r>
      <w:r w:rsidRPr="57268712">
        <w:rPr>
          <w:rStyle w:val="eop"/>
          <w:rFonts w:ascii="Calibri" w:hAnsi="Calibri" w:cs="Calibri"/>
          <w:b/>
          <w:bCs/>
          <w:sz w:val="22"/>
          <w:szCs w:val="22"/>
        </w:rPr>
        <w:t>/11/21)</w:t>
      </w:r>
    </w:p>
    <w:p w14:paraId="2BF9E1A0" w14:textId="3F70E597" w:rsidR="0010343E" w:rsidRPr="0010343E" w:rsidRDefault="0010343E" w:rsidP="42B61739">
      <w:pPr>
        <w:pStyle w:val="paragraph"/>
        <w:spacing w:before="0" w:beforeAutospacing="0" w:after="0" w:afterAutospacing="0"/>
        <w:textAlignment w:val="baseline"/>
        <w:rPr>
          <w:rStyle w:val="eop"/>
        </w:rPr>
      </w:pPr>
    </w:p>
    <w:p w14:paraId="6CE7CBD3" w14:textId="272B718B" w:rsidR="0010343E" w:rsidRPr="0010343E" w:rsidRDefault="354DCBBE" w:rsidP="00E30D53">
      <w:pPr>
        <w:pStyle w:val="paragraph"/>
        <w:numPr>
          <w:ilvl w:val="0"/>
          <w:numId w:val="1"/>
        </w:numPr>
        <w:spacing w:before="0" w:beforeAutospacing="0" w:after="0" w:afterAutospacing="0"/>
        <w:textAlignment w:val="baseline"/>
        <w:rPr>
          <w:rStyle w:val="scxw96657786"/>
          <w:sz w:val="22"/>
          <w:szCs w:val="22"/>
        </w:rPr>
      </w:pPr>
      <w:r w:rsidRPr="57268712">
        <w:rPr>
          <w:rStyle w:val="normaltextrun"/>
          <w:rFonts w:ascii="Calibri" w:hAnsi="Calibri" w:cs="Calibri"/>
          <w:sz w:val="22"/>
          <w:szCs w:val="22"/>
        </w:rPr>
        <w:t>Statistics</w:t>
      </w:r>
      <w:r w:rsidRPr="57268712">
        <w:rPr>
          <w:rStyle w:val="normaltextrun"/>
          <w:rFonts w:ascii="Calibri" w:hAnsi="Calibri" w:cs="Calibri"/>
          <w:color w:val="0000FF"/>
          <w:sz w:val="22"/>
          <w:szCs w:val="22"/>
        </w:rPr>
        <w:t> </w:t>
      </w:r>
      <w:r w:rsidRPr="57268712">
        <w:rPr>
          <w:rStyle w:val="normaltextrun"/>
          <w:rFonts w:ascii="Calibri" w:hAnsi="Calibri" w:cs="Calibri"/>
          <w:b/>
          <w:bCs/>
          <w:sz w:val="22"/>
          <w:szCs w:val="22"/>
        </w:rPr>
        <w:t>(Appendix FCS </w:t>
      </w:r>
      <w:r w:rsidR="4E3C62C4" w:rsidRPr="57268712">
        <w:rPr>
          <w:rStyle w:val="normaltextrun"/>
          <w:rFonts w:ascii="Calibri" w:hAnsi="Calibri" w:cs="Calibri"/>
          <w:b/>
          <w:bCs/>
          <w:sz w:val="22"/>
          <w:szCs w:val="22"/>
        </w:rPr>
        <w:t>1</w:t>
      </w:r>
      <w:r w:rsidR="7496407C" w:rsidRPr="57268712">
        <w:rPr>
          <w:rStyle w:val="normaltextrun"/>
          <w:rFonts w:ascii="Calibri" w:hAnsi="Calibri" w:cs="Calibri"/>
          <w:b/>
          <w:bCs/>
          <w:sz w:val="22"/>
          <w:szCs w:val="22"/>
        </w:rPr>
        <w:t>4</w:t>
      </w:r>
      <w:r w:rsidRPr="57268712">
        <w:rPr>
          <w:rStyle w:val="normaltextrun"/>
          <w:rFonts w:ascii="Calibri" w:hAnsi="Calibri" w:cs="Calibri"/>
          <w:b/>
          <w:bCs/>
          <w:sz w:val="22"/>
          <w:szCs w:val="22"/>
        </w:rPr>
        <w:t>/</w:t>
      </w:r>
      <w:r w:rsidR="1873AE87" w:rsidRPr="57268712">
        <w:rPr>
          <w:rStyle w:val="normaltextrun"/>
          <w:rFonts w:ascii="Calibri" w:hAnsi="Calibri" w:cs="Calibri"/>
          <w:b/>
          <w:bCs/>
          <w:sz w:val="22"/>
          <w:szCs w:val="22"/>
        </w:rPr>
        <w:t>11</w:t>
      </w:r>
      <w:r w:rsidRPr="57268712">
        <w:rPr>
          <w:rStyle w:val="normaltextrun"/>
          <w:rFonts w:ascii="Calibri" w:hAnsi="Calibri" w:cs="Calibri"/>
          <w:b/>
          <w:bCs/>
          <w:sz w:val="22"/>
          <w:szCs w:val="22"/>
        </w:rPr>
        <w:t>/21)</w:t>
      </w:r>
      <w:r w:rsidRPr="57268712">
        <w:rPr>
          <w:rStyle w:val="normaltextrun"/>
          <w:rFonts w:ascii="Calibri" w:hAnsi="Calibri" w:cs="Calibri"/>
          <w:b/>
          <w:bCs/>
          <w:color w:val="0000FF"/>
          <w:sz w:val="22"/>
          <w:szCs w:val="22"/>
        </w:rPr>
        <w:t> </w:t>
      </w:r>
      <w:r w:rsidRPr="57268712">
        <w:rPr>
          <w:rStyle w:val="scxw96657786"/>
          <w:rFonts w:ascii="Calibri" w:hAnsi="Calibri" w:cs="Calibri"/>
          <w:color w:val="0000FF"/>
          <w:sz w:val="22"/>
          <w:szCs w:val="22"/>
        </w:rPr>
        <w:t> </w:t>
      </w:r>
      <w:r>
        <w:br/>
      </w:r>
    </w:p>
    <w:p w14:paraId="46AC817C" w14:textId="54E07D6F" w:rsidR="00EB094C" w:rsidRDefault="354DCBBE" w:rsidP="00E30D53">
      <w:pPr>
        <w:pStyle w:val="paragraph"/>
        <w:numPr>
          <w:ilvl w:val="0"/>
          <w:numId w:val="1"/>
        </w:numPr>
        <w:spacing w:before="0" w:beforeAutospacing="0" w:after="0" w:afterAutospacing="0"/>
        <w:textAlignment w:val="baseline"/>
        <w:rPr>
          <w:rStyle w:val="eop"/>
          <w:rFonts w:ascii="Calibri" w:hAnsi="Calibri" w:cs="Calibri"/>
          <w:color w:val="5B518F"/>
          <w:sz w:val="22"/>
          <w:szCs w:val="22"/>
        </w:rPr>
      </w:pPr>
      <w:r w:rsidRPr="57268712">
        <w:rPr>
          <w:rStyle w:val="normaltextrun"/>
          <w:rFonts w:ascii="Calibri" w:hAnsi="Calibri" w:cs="Calibri"/>
          <w:sz w:val="22"/>
          <w:szCs w:val="22"/>
        </w:rPr>
        <w:t>Any other business</w:t>
      </w:r>
      <w:r w:rsidRPr="57268712">
        <w:rPr>
          <w:rStyle w:val="eop"/>
          <w:rFonts w:ascii="Calibri" w:hAnsi="Calibri" w:cs="Calibri"/>
          <w:sz w:val="22"/>
          <w:szCs w:val="22"/>
        </w:rPr>
        <w:t> </w:t>
      </w:r>
      <w:r w:rsidR="0010343E" w:rsidRPr="008D6F1B">
        <w:rPr>
          <w:rStyle w:val="eop"/>
          <w:rFonts w:ascii="Calibri" w:hAnsi="Calibri" w:cs="Calibri"/>
          <w:color w:val="5B518F"/>
          <w:sz w:val="22"/>
          <w:szCs w:val="22"/>
        </w:rPr>
        <w:t> </w:t>
      </w:r>
    </w:p>
    <w:p w14:paraId="168FF14D" w14:textId="0F338B3A" w:rsidR="00EB094C" w:rsidRDefault="00EB094C" w:rsidP="00EB094C">
      <w:pPr>
        <w:spacing w:before="15" w:after="1"/>
        <w:ind w:right="689"/>
        <w:jc w:val="right"/>
        <w:rPr>
          <w:rFonts w:ascii="Calibri" w:hAnsi="Calibri" w:cs="Calibri"/>
          <w:color w:val="5B518F"/>
        </w:rPr>
      </w:pPr>
      <w:r>
        <w:rPr>
          <w:rFonts w:ascii="Calibri" w:hAnsi="Calibri" w:cs="Calibri"/>
          <w:color w:val="5B518F"/>
        </w:rPr>
        <w:br w:type="page"/>
      </w:r>
      <w:r>
        <w:rPr>
          <w:rFonts w:ascii="Calibri" w:hAnsi="Calibri" w:cs="Calibri"/>
          <w:color w:val="5B518F"/>
        </w:rPr>
        <w:lastRenderedPageBreak/>
        <w:t>Appendix FCS 11/11/21</w:t>
      </w:r>
    </w:p>
    <w:p w14:paraId="4770E425" w14:textId="77777777" w:rsidR="00EB094C" w:rsidRPr="00907E6A" w:rsidRDefault="00EB094C" w:rsidP="00EB094C">
      <w:pPr>
        <w:spacing w:before="15" w:after="1"/>
        <w:ind w:right="689"/>
        <w:rPr>
          <w:b/>
          <w:bCs/>
          <w:color w:val="000000" w:themeColor="text1"/>
        </w:rPr>
      </w:pPr>
    </w:p>
    <w:tbl>
      <w:tblPr>
        <w:tblW w:w="0" w:type="auto"/>
        <w:tblLayout w:type="fixed"/>
        <w:tblLook w:val="01E0" w:firstRow="1" w:lastRow="1" w:firstColumn="1" w:lastColumn="1" w:noHBand="0" w:noVBand="0"/>
      </w:tblPr>
      <w:tblGrid>
        <w:gridCol w:w="3510"/>
        <w:gridCol w:w="5385"/>
      </w:tblGrid>
      <w:tr w:rsidR="00EB094C" w14:paraId="58D305B2" w14:textId="77777777" w:rsidTr="003A24C9">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8E6B3" w14:textId="77777777" w:rsidR="00EB094C" w:rsidRDefault="00EB094C" w:rsidP="003A24C9">
            <w:pPr>
              <w:spacing w:before="11"/>
              <w:jc w:val="both"/>
            </w:pPr>
          </w:p>
          <w:p w14:paraId="5B271EB1" w14:textId="77777777" w:rsidR="00EB094C" w:rsidRDefault="00EB094C" w:rsidP="003A24C9">
            <w:pPr>
              <w:pStyle w:val="TableParagraph"/>
              <w:ind w:left="107"/>
              <w:jc w:val="both"/>
            </w:pPr>
            <w:r w:rsidRPr="680B3C7F">
              <w:t>Subject</w:t>
            </w:r>
          </w:p>
        </w:tc>
        <w:tc>
          <w:tcPr>
            <w:tcW w:w="5385" w:type="dxa"/>
            <w:tcBorders>
              <w:top w:val="single" w:sz="6" w:space="0" w:color="000000" w:themeColor="text1"/>
              <w:bottom w:val="single" w:sz="6" w:space="0" w:color="000000" w:themeColor="text1"/>
              <w:right w:val="single" w:sz="6" w:space="0" w:color="000000" w:themeColor="text1"/>
            </w:tcBorders>
          </w:tcPr>
          <w:p w14:paraId="06D158F3" w14:textId="77777777" w:rsidR="00EB094C" w:rsidRDefault="00EB094C" w:rsidP="003A24C9">
            <w:pPr>
              <w:spacing w:before="11"/>
              <w:jc w:val="both"/>
            </w:pPr>
          </w:p>
          <w:p w14:paraId="284E244A" w14:textId="77777777" w:rsidR="00EB094C" w:rsidRDefault="00EB094C" w:rsidP="003A24C9">
            <w:pPr>
              <w:pStyle w:val="TableParagraph"/>
              <w:ind w:left="107"/>
              <w:jc w:val="both"/>
            </w:pPr>
            <w:r w:rsidRPr="680B3C7F">
              <w:t>Price concessions update</w:t>
            </w:r>
          </w:p>
        </w:tc>
      </w:tr>
      <w:tr w:rsidR="00EB094C" w14:paraId="6C1E960E" w14:textId="77777777" w:rsidTr="003A24C9">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328E5D33" w14:textId="77777777" w:rsidR="00EB094C" w:rsidRDefault="00EB094C" w:rsidP="003A24C9">
            <w:pPr>
              <w:spacing w:before="11"/>
              <w:jc w:val="both"/>
            </w:pPr>
          </w:p>
          <w:p w14:paraId="1A9A37B5" w14:textId="77777777" w:rsidR="00EB094C" w:rsidRDefault="00EB094C" w:rsidP="003A24C9">
            <w:pPr>
              <w:pStyle w:val="TableParagraph"/>
              <w:ind w:left="107"/>
              <w:jc w:val="both"/>
            </w:pPr>
            <w:r w:rsidRPr="680B3C7F">
              <w:t>Date of meeting</w:t>
            </w:r>
          </w:p>
        </w:tc>
        <w:tc>
          <w:tcPr>
            <w:tcW w:w="5385" w:type="dxa"/>
            <w:tcBorders>
              <w:bottom w:val="single" w:sz="6" w:space="0" w:color="000000" w:themeColor="text1"/>
              <w:right w:val="single" w:sz="6" w:space="0" w:color="000000" w:themeColor="text1"/>
            </w:tcBorders>
          </w:tcPr>
          <w:p w14:paraId="2957EDDA" w14:textId="77777777" w:rsidR="00EB094C" w:rsidRDefault="00EB094C" w:rsidP="003A24C9">
            <w:pPr>
              <w:spacing w:before="11"/>
              <w:jc w:val="both"/>
            </w:pPr>
          </w:p>
          <w:p w14:paraId="2D4C8888" w14:textId="77777777" w:rsidR="00EB094C" w:rsidRDefault="00EB094C" w:rsidP="003A24C9">
            <w:pPr>
              <w:pStyle w:val="TableParagraph"/>
              <w:ind w:left="107"/>
              <w:jc w:val="both"/>
            </w:pPr>
            <w:r>
              <w:t xml:space="preserve"> November 2021</w:t>
            </w:r>
          </w:p>
        </w:tc>
      </w:tr>
      <w:tr w:rsidR="00EB094C" w14:paraId="17FE6518" w14:textId="77777777" w:rsidTr="003A24C9">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6C6F9051" w14:textId="77777777" w:rsidR="00EB094C" w:rsidRDefault="00EB094C" w:rsidP="003A24C9">
            <w:pPr>
              <w:spacing w:before="11"/>
              <w:jc w:val="both"/>
            </w:pPr>
          </w:p>
          <w:p w14:paraId="0F006FBC" w14:textId="77777777" w:rsidR="00EB094C" w:rsidRDefault="00EB094C" w:rsidP="003A24C9">
            <w:pPr>
              <w:pStyle w:val="TableParagraph"/>
              <w:ind w:left="107"/>
              <w:jc w:val="both"/>
            </w:pPr>
            <w:r w:rsidRPr="680B3C7F">
              <w:t>Committee/Subcommittee</w:t>
            </w:r>
          </w:p>
        </w:tc>
        <w:tc>
          <w:tcPr>
            <w:tcW w:w="5385" w:type="dxa"/>
            <w:tcBorders>
              <w:bottom w:val="single" w:sz="6" w:space="0" w:color="000000" w:themeColor="text1"/>
              <w:right w:val="single" w:sz="6" w:space="0" w:color="000000" w:themeColor="text1"/>
            </w:tcBorders>
          </w:tcPr>
          <w:p w14:paraId="1ECB3FF6" w14:textId="77777777" w:rsidR="00EB094C" w:rsidRDefault="00EB094C" w:rsidP="003A24C9">
            <w:pPr>
              <w:spacing w:before="11"/>
              <w:jc w:val="both"/>
            </w:pPr>
          </w:p>
          <w:p w14:paraId="766190D6" w14:textId="77777777" w:rsidR="00EB094C" w:rsidRDefault="00EB094C" w:rsidP="003A24C9">
            <w:pPr>
              <w:pStyle w:val="TableParagraph"/>
              <w:ind w:left="107"/>
              <w:jc w:val="both"/>
            </w:pPr>
            <w:proofErr w:type="spellStart"/>
            <w:r w:rsidRPr="680B3C7F">
              <w:t>FunCon</w:t>
            </w:r>
            <w:proofErr w:type="spellEnd"/>
          </w:p>
        </w:tc>
      </w:tr>
      <w:tr w:rsidR="00EB094C" w14:paraId="4FAE2B7C" w14:textId="77777777" w:rsidTr="003A24C9">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15790D3B" w14:textId="77777777" w:rsidR="00EB094C" w:rsidRDefault="00EB094C" w:rsidP="003A24C9">
            <w:pPr>
              <w:spacing w:before="12"/>
              <w:jc w:val="both"/>
            </w:pPr>
          </w:p>
          <w:p w14:paraId="5FFD5D29" w14:textId="77777777" w:rsidR="00EB094C" w:rsidRDefault="00EB094C" w:rsidP="003A24C9">
            <w:pPr>
              <w:pStyle w:val="TableParagraph"/>
              <w:ind w:left="107"/>
              <w:jc w:val="both"/>
            </w:pPr>
            <w:r w:rsidRPr="680B3C7F">
              <w:t>Status</w:t>
            </w:r>
          </w:p>
        </w:tc>
        <w:tc>
          <w:tcPr>
            <w:tcW w:w="5385" w:type="dxa"/>
            <w:tcBorders>
              <w:bottom w:val="single" w:sz="6" w:space="0" w:color="000000" w:themeColor="text1"/>
              <w:right w:val="single" w:sz="6" w:space="0" w:color="000000" w:themeColor="text1"/>
            </w:tcBorders>
          </w:tcPr>
          <w:p w14:paraId="15EBC7BD" w14:textId="77777777" w:rsidR="00EB094C" w:rsidRDefault="00EB094C" w:rsidP="003A24C9">
            <w:pPr>
              <w:spacing w:before="12"/>
              <w:jc w:val="both"/>
            </w:pPr>
          </w:p>
          <w:p w14:paraId="115A48F9" w14:textId="77777777" w:rsidR="00EB094C" w:rsidRDefault="00EB094C" w:rsidP="003A24C9">
            <w:pPr>
              <w:pStyle w:val="TableParagraph"/>
              <w:ind w:left="107"/>
              <w:jc w:val="both"/>
            </w:pPr>
            <w:r w:rsidRPr="680B3C7F">
              <w:t>Not confidential</w:t>
            </w:r>
          </w:p>
        </w:tc>
      </w:tr>
      <w:tr w:rsidR="00EB094C" w14:paraId="62EA93D3" w14:textId="77777777" w:rsidTr="003A24C9">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67C70245" w14:textId="77777777" w:rsidR="00EB094C" w:rsidRDefault="00EB094C" w:rsidP="003A24C9">
            <w:pPr>
              <w:spacing w:before="11"/>
              <w:jc w:val="both"/>
            </w:pPr>
          </w:p>
          <w:p w14:paraId="58AF032E" w14:textId="77777777" w:rsidR="00EB094C" w:rsidRDefault="00EB094C" w:rsidP="003A24C9">
            <w:pPr>
              <w:pStyle w:val="TableParagraph"/>
              <w:ind w:left="107"/>
              <w:jc w:val="both"/>
            </w:pPr>
            <w:r w:rsidRPr="680B3C7F">
              <w:t>Overview</w:t>
            </w:r>
          </w:p>
        </w:tc>
        <w:tc>
          <w:tcPr>
            <w:tcW w:w="5385" w:type="dxa"/>
            <w:tcBorders>
              <w:bottom w:val="single" w:sz="6" w:space="0" w:color="000000" w:themeColor="text1"/>
              <w:right w:val="single" w:sz="6" w:space="0" w:color="000000" w:themeColor="text1"/>
            </w:tcBorders>
          </w:tcPr>
          <w:p w14:paraId="4D19EE0D" w14:textId="77777777" w:rsidR="00EB094C" w:rsidRDefault="00EB094C" w:rsidP="003A24C9">
            <w:pPr>
              <w:spacing w:before="11"/>
              <w:jc w:val="both"/>
            </w:pPr>
          </w:p>
          <w:p w14:paraId="76CE499A" w14:textId="77777777" w:rsidR="00EB094C" w:rsidRDefault="00EB094C" w:rsidP="003A24C9">
            <w:pPr>
              <w:pStyle w:val="TableParagraph"/>
              <w:ind w:left="107"/>
              <w:jc w:val="both"/>
            </w:pPr>
            <w:r>
              <w:t>Overview of monthly price concessions granted</w:t>
            </w:r>
          </w:p>
        </w:tc>
      </w:tr>
      <w:tr w:rsidR="00EB094C" w14:paraId="627B16D3" w14:textId="77777777" w:rsidTr="003A24C9">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5C3601A8" w14:textId="77777777" w:rsidR="00EB094C" w:rsidRDefault="00EB094C" w:rsidP="003A24C9">
            <w:pPr>
              <w:spacing w:before="11"/>
              <w:jc w:val="both"/>
            </w:pPr>
          </w:p>
          <w:p w14:paraId="1EEA7B7A" w14:textId="77777777" w:rsidR="00EB094C" w:rsidRDefault="00EB094C" w:rsidP="003A24C9">
            <w:pPr>
              <w:pStyle w:val="TableParagraph"/>
              <w:ind w:left="107"/>
              <w:jc w:val="both"/>
            </w:pPr>
            <w:r w:rsidRPr="680B3C7F">
              <w:t>Proposed action(s)</w:t>
            </w:r>
          </w:p>
        </w:tc>
        <w:tc>
          <w:tcPr>
            <w:tcW w:w="5385" w:type="dxa"/>
            <w:tcBorders>
              <w:bottom w:val="single" w:sz="6" w:space="0" w:color="000000" w:themeColor="text1"/>
              <w:right w:val="single" w:sz="6" w:space="0" w:color="000000" w:themeColor="text1"/>
            </w:tcBorders>
          </w:tcPr>
          <w:p w14:paraId="248FAAF3" w14:textId="77777777" w:rsidR="00EB094C" w:rsidRDefault="00EB094C" w:rsidP="003A24C9">
            <w:pPr>
              <w:spacing w:before="11"/>
              <w:jc w:val="both"/>
            </w:pPr>
          </w:p>
          <w:p w14:paraId="369DE586" w14:textId="77777777" w:rsidR="00EB094C" w:rsidRDefault="00EB094C" w:rsidP="003A24C9">
            <w:pPr>
              <w:pStyle w:val="TableParagraph"/>
              <w:ind w:left="107"/>
              <w:jc w:val="both"/>
            </w:pPr>
            <w:r>
              <w:t>For information only</w:t>
            </w:r>
          </w:p>
        </w:tc>
      </w:tr>
      <w:tr w:rsidR="00EB094C" w14:paraId="6A271A51" w14:textId="77777777" w:rsidTr="003A24C9">
        <w:trPr>
          <w:trHeight w:val="1065"/>
        </w:trPr>
        <w:tc>
          <w:tcPr>
            <w:tcW w:w="3510" w:type="dxa"/>
            <w:tcBorders>
              <w:left w:val="single" w:sz="6" w:space="0" w:color="000000" w:themeColor="text1"/>
              <w:bottom w:val="single" w:sz="6" w:space="0" w:color="000000" w:themeColor="text1"/>
              <w:right w:val="single" w:sz="6" w:space="0" w:color="000000" w:themeColor="text1"/>
            </w:tcBorders>
          </w:tcPr>
          <w:p w14:paraId="272791FE" w14:textId="77777777" w:rsidR="00EB094C" w:rsidRDefault="00EB094C" w:rsidP="003A24C9">
            <w:pPr>
              <w:spacing w:before="11"/>
              <w:jc w:val="both"/>
            </w:pPr>
          </w:p>
          <w:p w14:paraId="341881FC" w14:textId="77777777" w:rsidR="00EB094C" w:rsidRDefault="00EB094C" w:rsidP="003A24C9">
            <w:pPr>
              <w:pStyle w:val="TableParagraph"/>
              <w:ind w:left="107"/>
              <w:jc w:val="both"/>
            </w:pPr>
            <w:r w:rsidRPr="680B3C7F">
              <w:t>Author(s) of the paper</w:t>
            </w:r>
          </w:p>
        </w:tc>
        <w:tc>
          <w:tcPr>
            <w:tcW w:w="5385" w:type="dxa"/>
            <w:tcBorders>
              <w:bottom w:val="single" w:sz="6" w:space="0" w:color="000000" w:themeColor="text1"/>
              <w:right w:val="single" w:sz="6" w:space="0" w:color="000000" w:themeColor="text1"/>
            </w:tcBorders>
          </w:tcPr>
          <w:p w14:paraId="2B3F69AE" w14:textId="77777777" w:rsidR="00EB094C" w:rsidRDefault="00EB094C" w:rsidP="003A24C9">
            <w:pPr>
              <w:spacing w:before="11"/>
              <w:jc w:val="both"/>
            </w:pPr>
          </w:p>
          <w:p w14:paraId="3AC5F67A" w14:textId="77777777" w:rsidR="00EB094C" w:rsidRDefault="00EB094C" w:rsidP="003A24C9">
            <w:pPr>
              <w:pStyle w:val="TableParagraph"/>
              <w:ind w:left="107" w:right="1299"/>
              <w:jc w:val="both"/>
            </w:pPr>
            <w:r w:rsidRPr="680B3C7F">
              <w:t xml:space="preserve">PSNC Dispensing &amp; Supply Team </w:t>
            </w:r>
          </w:p>
          <w:p w14:paraId="578D7DFC" w14:textId="77777777" w:rsidR="00EB094C" w:rsidRDefault="00EB094C" w:rsidP="003A24C9">
            <w:pPr>
              <w:ind w:left="107" w:right="1299"/>
              <w:jc w:val="both"/>
            </w:pPr>
          </w:p>
        </w:tc>
      </w:tr>
    </w:tbl>
    <w:p w14:paraId="7929733C" w14:textId="77777777" w:rsidR="00EB094C" w:rsidRPr="00907E6A" w:rsidRDefault="00EB094C" w:rsidP="00EB094C">
      <w:pPr>
        <w:spacing w:before="15"/>
        <w:ind w:right="2880"/>
        <w:jc w:val="both"/>
        <w:rPr>
          <w:color w:val="5B518E"/>
        </w:rPr>
      </w:pPr>
    </w:p>
    <w:p w14:paraId="4636AE85" w14:textId="77777777" w:rsidR="00EB094C" w:rsidRPr="00907E6A" w:rsidRDefault="00EB094C" w:rsidP="00EB094C">
      <w:pPr>
        <w:spacing w:before="15"/>
        <w:ind w:right="2880"/>
        <w:jc w:val="both"/>
        <w:rPr>
          <w:color w:val="5B518E"/>
        </w:rPr>
      </w:pPr>
    </w:p>
    <w:p w14:paraId="3AD2098C" w14:textId="77777777" w:rsidR="00EB094C" w:rsidRPr="00907E6A" w:rsidRDefault="00EB094C" w:rsidP="00EB094C">
      <w:pPr>
        <w:spacing w:before="15"/>
        <w:ind w:left="851" w:right="2880"/>
        <w:jc w:val="both"/>
        <w:rPr>
          <w:b/>
          <w:bCs/>
          <w:color w:val="5B518E"/>
        </w:rPr>
      </w:pPr>
    </w:p>
    <w:p w14:paraId="26C5028C" w14:textId="77777777" w:rsidR="00EB094C" w:rsidRPr="00907E6A" w:rsidRDefault="00EB094C" w:rsidP="00EB094C">
      <w:pPr>
        <w:spacing w:before="15"/>
        <w:ind w:left="851" w:right="2880"/>
        <w:jc w:val="both"/>
        <w:rPr>
          <w:b/>
          <w:color w:val="5B518E"/>
        </w:rPr>
      </w:pPr>
    </w:p>
    <w:p w14:paraId="6EFF81A9" w14:textId="77777777" w:rsidR="00EB094C" w:rsidRPr="00907E6A" w:rsidRDefault="00EB094C" w:rsidP="00EB094C">
      <w:pPr>
        <w:spacing w:before="15"/>
        <w:ind w:left="851" w:right="2880"/>
        <w:jc w:val="both"/>
        <w:rPr>
          <w:b/>
          <w:color w:val="5B518E"/>
        </w:rPr>
      </w:pPr>
    </w:p>
    <w:p w14:paraId="5B1E1133" w14:textId="77777777" w:rsidR="00EB094C" w:rsidRPr="00907E6A" w:rsidRDefault="00EB094C" w:rsidP="00EB094C">
      <w:pPr>
        <w:spacing w:before="15"/>
        <w:ind w:left="851" w:right="2880"/>
        <w:jc w:val="both"/>
        <w:rPr>
          <w:b/>
          <w:color w:val="5B518E"/>
        </w:rPr>
      </w:pPr>
    </w:p>
    <w:p w14:paraId="2B86C571" w14:textId="77777777" w:rsidR="00EB094C" w:rsidRPr="00907E6A" w:rsidRDefault="00EB094C" w:rsidP="00EB094C">
      <w:pPr>
        <w:spacing w:before="15"/>
        <w:ind w:left="851" w:right="2880"/>
        <w:jc w:val="both"/>
        <w:rPr>
          <w:b/>
          <w:color w:val="5B518E"/>
        </w:rPr>
      </w:pPr>
    </w:p>
    <w:p w14:paraId="6C5159D0" w14:textId="77777777" w:rsidR="00EB094C" w:rsidRPr="00907E6A" w:rsidRDefault="00EB094C" w:rsidP="00EB094C">
      <w:pPr>
        <w:spacing w:before="15"/>
        <w:ind w:left="851" w:right="2880"/>
        <w:jc w:val="both"/>
        <w:rPr>
          <w:b/>
          <w:color w:val="5B518E"/>
        </w:rPr>
      </w:pPr>
    </w:p>
    <w:p w14:paraId="07EF71A2" w14:textId="77777777" w:rsidR="00EB094C" w:rsidRPr="00907E6A" w:rsidRDefault="00EB094C" w:rsidP="00EB094C">
      <w:pPr>
        <w:spacing w:before="15"/>
        <w:ind w:left="851" w:right="2880"/>
        <w:jc w:val="both"/>
        <w:rPr>
          <w:b/>
          <w:color w:val="5B518E"/>
        </w:rPr>
      </w:pPr>
    </w:p>
    <w:p w14:paraId="07E70B14" w14:textId="77777777" w:rsidR="00EB094C" w:rsidRPr="00907E6A" w:rsidRDefault="00EB094C" w:rsidP="00EB094C">
      <w:pPr>
        <w:spacing w:before="15"/>
        <w:ind w:left="851" w:right="2880"/>
        <w:jc w:val="both"/>
        <w:rPr>
          <w:b/>
          <w:color w:val="5B518E"/>
        </w:rPr>
      </w:pPr>
    </w:p>
    <w:p w14:paraId="45A0ACB9" w14:textId="77777777" w:rsidR="00EB094C" w:rsidRPr="00907E6A" w:rsidRDefault="00EB094C" w:rsidP="00EB094C">
      <w:pPr>
        <w:spacing w:before="15"/>
        <w:ind w:left="851" w:right="2880"/>
        <w:jc w:val="both"/>
        <w:rPr>
          <w:b/>
          <w:color w:val="5B518E"/>
        </w:rPr>
      </w:pPr>
    </w:p>
    <w:p w14:paraId="400F005C" w14:textId="77777777" w:rsidR="00EB094C" w:rsidRPr="00907E6A" w:rsidRDefault="00EB094C" w:rsidP="00EB094C">
      <w:pPr>
        <w:spacing w:before="15"/>
        <w:ind w:left="851" w:right="2880"/>
        <w:jc w:val="both"/>
        <w:rPr>
          <w:b/>
          <w:color w:val="5B518E"/>
        </w:rPr>
      </w:pPr>
    </w:p>
    <w:p w14:paraId="1A8DAA62" w14:textId="77777777" w:rsidR="00EB094C" w:rsidRPr="00907E6A" w:rsidRDefault="00EB094C" w:rsidP="00EB094C">
      <w:pPr>
        <w:spacing w:before="15"/>
        <w:ind w:left="851" w:right="2880"/>
        <w:jc w:val="both"/>
        <w:rPr>
          <w:b/>
          <w:color w:val="5B518E"/>
        </w:rPr>
      </w:pPr>
    </w:p>
    <w:p w14:paraId="47CE26BA" w14:textId="77777777" w:rsidR="00EB094C" w:rsidRDefault="00EB094C" w:rsidP="00EB094C">
      <w:pPr>
        <w:spacing w:before="15"/>
        <w:ind w:left="851" w:right="2880"/>
        <w:jc w:val="both"/>
        <w:rPr>
          <w:b/>
          <w:color w:val="5B518E"/>
        </w:rPr>
      </w:pPr>
    </w:p>
    <w:p w14:paraId="4AB07F18" w14:textId="77777777" w:rsidR="00EB094C" w:rsidRDefault="00EB094C" w:rsidP="00EB094C">
      <w:pPr>
        <w:spacing w:before="15"/>
        <w:ind w:left="851" w:right="2880"/>
        <w:jc w:val="both"/>
        <w:rPr>
          <w:b/>
          <w:color w:val="5B518E"/>
        </w:rPr>
      </w:pPr>
    </w:p>
    <w:p w14:paraId="7008872B" w14:textId="77777777" w:rsidR="00EB094C" w:rsidRDefault="00EB094C" w:rsidP="00EB094C">
      <w:pPr>
        <w:spacing w:before="15"/>
        <w:ind w:left="851" w:right="2880"/>
        <w:jc w:val="both"/>
        <w:rPr>
          <w:b/>
          <w:color w:val="5B518E"/>
        </w:rPr>
      </w:pPr>
    </w:p>
    <w:p w14:paraId="245667B7" w14:textId="24DCC840" w:rsidR="00EB094C" w:rsidRPr="00EB094C" w:rsidRDefault="00EB094C" w:rsidP="00EB094C">
      <w:pPr>
        <w:rPr>
          <w:b/>
          <w:bCs/>
          <w:color w:val="5B518E"/>
          <w:sz w:val="28"/>
          <w:szCs w:val="28"/>
        </w:rPr>
      </w:pPr>
      <w:r w:rsidRPr="1E0D7A02">
        <w:rPr>
          <w:rFonts w:ascii="Calibri Light" w:eastAsia="Calibri Light" w:hAnsi="Calibri Light" w:cs="Calibri Light"/>
          <w:color w:val="000000" w:themeColor="text1"/>
          <w:sz w:val="56"/>
          <w:szCs w:val="56"/>
        </w:rPr>
        <w:lastRenderedPageBreak/>
        <w:t>Price concessions update</w:t>
      </w:r>
      <w:r>
        <w:br/>
      </w:r>
      <w:r>
        <w:br/>
      </w:r>
    </w:p>
    <w:p w14:paraId="21D5A2A3" w14:textId="77777777" w:rsidR="00EB094C" w:rsidRPr="00D303D2" w:rsidRDefault="00EB094C" w:rsidP="00EB094C">
      <w:pPr>
        <w:spacing w:after="200"/>
        <w:rPr>
          <w:rFonts w:ascii="Calibri Light" w:eastAsia="Calibri Light" w:hAnsi="Calibri Light" w:cs="Calibri Light"/>
          <w:color w:val="2F5496" w:themeColor="accent1" w:themeShade="BF"/>
          <w:sz w:val="32"/>
          <w:szCs w:val="32"/>
          <w:lang w:val="en-US"/>
        </w:rPr>
      </w:pPr>
      <w:r w:rsidRPr="1E0D7A02">
        <w:rPr>
          <w:rFonts w:ascii="Calibri Light" w:eastAsia="Calibri Light" w:hAnsi="Calibri Light" w:cs="Calibri Light"/>
          <w:color w:val="2F5496" w:themeColor="accent1" w:themeShade="BF"/>
          <w:sz w:val="32"/>
          <w:szCs w:val="32"/>
        </w:rPr>
        <w:t>November 2021</w:t>
      </w:r>
    </w:p>
    <w:p w14:paraId="1BCD01D0" w14:textId="77777777" w:rsidR="00EB094C" w:rsidRPr="00D303D2" w:rsidRDefault="00EB094C" w:rsidP="00EB094C">
      <w:pPr>
        <w:spacing w:after="200"/>
        <w:rPr>
          <w:rFonts w:asciiTheme="majorHAnsi" w:eastAsiaTheme="majorEastAsia" w:hAnsiTheme="majorHAnsi" w:cstheme="majorBidi"/>
          <w:color w:val="44546A" w:themeColor="text2"/>
          <w:sz w:val="32"/>
          <w:szCs w:val="32"/>
        </w:rPr>
      </w:pPr>
      <w:r w:rsidRPr="1E0D7A02">
        <w:rPr>
          <w:rFonts w:asciiTheme="majorHAnsi" w:eastAsiaTheme="majorEastAsia" w:hAnsiTheme="majorHAnsi" w:cstheme="majorBidi"/>
          <w:color w:val="44546A" w:themeColor="text2"/>
          <w:sz w:val="32"/>
          <w:szCs w:val="32"/>
        </w:rPr>
        <w:t> </w:t>
      </w:r>
    </w:p>
    <w:p w14:paraId="22CB3DB0" w14:textId="77777777" w:rsidR="00EB094C" w:rsidRPr="00D303D2" w:rsidRDefault="00EB094C" w:rsidP="00E30D53">
      <w:pPr>
        <w:numPr>
          <w:ilvl w:val="0"/>
          <w:numId w:val="3"/>
        </w:numPr>
        <w:autoSpaceDE w:val="0"/>
        <w:autoSpaceDN w:val="0"/>
        <w:spacing w:after="200" w:line="276" w:lineRule="auto"/>
        <w:rPr>
          <w:rFonts w:eastAsiaTheme="minorEastAsia"/>
        </w:rPr>
      </w:pPr>
      <w:r w:rsidRPr="1E0D7A02">
        <w:t xml:space="preserve">At the time of writing (17 November 2021), PSNC have applied for </w:t>
      </w:r>
      <w:r w:rsidRPr="1E0D7A02">
        <w:rPr>
          <w:b/>
          <w:bCs/>
        </w:rPr>
        <w:t>61</w:t>
      </w:r>
      <w:r w:rsidRPr="1E0D7A02">
        <w:t xml:space="preserve"> price concessions and are awaiting a first response from DHSC.</w:t>
      </w:r>
    </w:p>
    <w:p w14:paraId="6A0A5A75" w14:textId="77777777" w:rsidR="00EB094C" w:rsidRPr="00D303D2" w:rsidRDefault="00EB094C" w:rsidP="00EB094C">
      <w:pPr>
        <w:pStyle w:val="NoSpacing"/>
      </w:pPr>
    </w:p>
    <w:p w14:paraId="2A3D2C52" w14:textId="77777777" w:rsidR="00EB094C" w:rsidRPr="00D303D2" w:rsidRDefault="00EB094C" w:rsidP="00EB094C">
      <w:pPr>
        <w:pStyle w:val="NoSpacing"/>
      </w:pPr>
    </w:p>
    <w:p w14:paraId="07DA1C43" w14:textId="77777777" w:rsidR="00EB094C" w:rsidRPr="00D303D2" w:rsidRDefault="00EB094C" w:rsidP="00EB094C">
      <w:pPr>
        <w:spacing w:after="200" w:line="276" w:lineRule="auto"/>
        <w:rPr>
          <w:rFonts w:ascii="Calibri Light" w:eastAsia="Calibri Light" w:hAnsi="Calibri Light" w:cs="Calibri Light"/>
          <w:color w:val="2F5496" w:themeColor="accent1" w:themeShade="BF"/>
          <w:sz w:val="32"/>
          <w:szCs w:val="32"/>
          <w:lang w:val="en-US"/>
        </w:rPr>
      </w:pPr>
      <w:r w:rsidRPr="1E0D7A02">
        <w:rPr>
          <w:rFonts w:ascii="Calibri Light" w:eastAsia="Calibri Light" w:hAnsi="Calibri Light" w:cs="Calibri Light"/>
          <w:color w:val="2F5496" w:themeColor="accent1" w:themeShade="BF"/>
          <w:sz w:val="32"/>
          <w:szCs w:val="32"/>
          <w:lang w:val="en-US"/>
        </w:rPr>
        <w:t xml:space="preserve">October 2021 </w:t>
      </w:r>
      <w:r>
        <w:br/>
      </w:r>
    </w:p>
    <w:p w14:paraId="557ADAFB" w14:textId="77777777" w:rsidR="00EB094C" w:rsidRPr="00D303D2" w:rsidRDefault="00EB094C" w:rsidP="00E30D53">
      <w:pPr>
        <w:numPr>
          <w:ilvl w:val="0"/>
          <w:numId w:val="3"/>
        </w:numPr>
        <w:autoSpaceDE w:val="0"/>
        <w:autoSpaceDN w:val="0"/>
        <w:spacing w:after="200" w:line="276" w:lineRule="auto"/>
        <w:rPr>
          <w:rFonts w:eastAsiaTheme="minorEastAsia"/>
        </w:rPr>
      </w:pPr>
      <w:r w:rsidRPr="1E1632F1">
        <w:t>PSNC applied for a total of </w:t>
      </w:r>
      <w:r w:rsidRPr="1E1632F1">
        <w:rPr>
          <w:b/>
          <w:bCs/>
        </w:rPr>
        <w:t>49 </w:t>
      </w:r>
      <w:r w:rsidRPr="1E1632F1">
        <w:t>price concessions in October 2021; DHSC wrote to PSNC on 1 November 2021 with the list of final prices.</w:t>
      </w:r>
    </w:p>
    <w:p w14:paraId="652FA234" w14:textId="77777777" w:rsidR="00EB094C" w:rsidRPr="00D303D2" w:rsidRDefault="00EB094C" w:rsidP="00E30D53">
      <w:pPr>
        <w:numPr>
          <w:ilvl w:val="1"/>
          <w:numId w:val="3"/>
        </w:numPr>
        <w:autoSpaceDE w:val="0"/>
        <w:autoSpaceDN w:val="0"/>
        <w:spacing w:after="200" w:line="276" w:lineRule="auto"/>
        <w:rPr>
          <w:rFonts w:eastAsiaTheme="minorEastAsia"/>
          <w:b/>
          <w:bCs/>
        </w:rPr>
      </w:pPr>
      <w:r w:rsidRPr="1E0D7A02">
        <w:rPr>
          <w:b/>
          <w:bCs/>
        </w:rPr>
        <w:t>40</w:t>
      </w:r>
      <w:r w:rsidRPr="1E0D7A02">
        <w:t xml:space="preserve"> price concessions </w:t>
      </w:r>
      <w:r w:rsidRPr="1E0D7A02">
        <w:rPr>
          <w:u w:val="single"/>
        </w:rPr>
        <w:t>agreed</w:t>
      </w:r>
      <w:r w:rsidRPr="1E0D7A02">
        <w:t xml:space="preserve"> between DHSC and PSNC. </w:t>
      </w:r>
    </w:p>
    <w:p w14:paraId="6F6E889E" w14:textId="77777777" w:rsidR="00EB094C" w:rsidRPr="00D303D2" w:rsidRDefault="00EB094C" w:rsidP="00E30D53">
      <w:pPr>
        <w:numPr>
          <w:ilvl w:val="1"/>
          <w:numId w:val="3"/>
        </w:numPr>
        <w:autoSpaceDE w:val="0"/>
        <w:autoSpaceDN w:val="0"/>
        <w:spacing w:after="200" w:line="276" w:lineRule="auto"/>
        <w:rPr>
          <w:b/>
          <w:bCs/>
        </w:rPr>
      </w:pPr>
      <w:r w:rsidRPr="1E0D7A02">
        <w:rPr>
          <w:b/>
          <w:bCs/>
        </w:rPr>
        <w:t>8</w:t>
      </w:r>
      <w:r w:rsidRPr="1E0D7A02">
        <w:t xml:space="preserve"> products had prices </w:t>
      </w:r>
      <w:r w:rsidRPr="1E0D7A02">
        <w:rPr>
          <w:u w:val="single"/>
        </w:rPr>
        <w:t>imposed</w:t>
      </w:r>
      <w:r w:rsidRPr="1E0D7A02">
        <w:t xml:space="preserve"> as PSNC was unable to agree to the final prices proposed by DHSC. </w:t>
      </w:r>
    </w:p>
    <w:p w14:paraId="7E7C0C88" w14:textId="77777777" w:rsidR="00EB094C" w:rsidRPr="00D303D2" w:rsidRDefault="00EB094C" w:rsidP="00E30D53">
      <w:pPr>
        <w:numPr>
          <w:ilvl w:val="1"/>
          <w:numId w:val="3"/>
        </w:numPr>
        <w:autoSpaceDE w:val="0"/>
        <w:autoSpaceDN w:val="0"/>
        <w:spacing w:after="200" w:line="276" w:lineRule="auto"/>
        <w:rPr>
          <w:rFonts w:eastAsiaTheme="minorEastAsia"/>
          <w:b/>
          <w:bCs/>
        </w:rPr>
      </w:pPr>
      <w:r w:rsidRPr="1E0D7A02">
        <w:rPr>
          <w:b/>
          <w:bCs/>
        </w:rPr>
        <w:t xml:space="preserve">1 </w:t>
      </w:r>
      <w:r w:rsidRPr="1E0D7A02">
        <w:t xml:space="preserve">product where PSNC and DHSC </w:t>
      </w:r>
      <w:r w:rsidRPr="1E0D7A02">
        <w:rPr>
          <w:u w:val="single"/>
        </w:rPr>
        <w:t>agreed to no concessionary price</w:t>
      </w:r>
      <w:r w:rsidRPr="1E0D7A02">
        <w:t xml:space="preserve"> required.</w:t>
      </w:r>
    </w:p>
    <w:p w14:paraId="77F9B66A" w14:textId="77777777" w:rsidR="00EB094C" w:rsidRPr="00D303D2" w:rsidRDefault="00EB094C" w:rsidP="00E30D53">
      <w:pPr>
        <w:numPr>
          <w:ilvl w:val="1"/>
          <w:numId w:val="3"/>
        </w:numPr>
        <w:autoSpaceDE w:val="0"/>
        <w:autoSpaceDN w:val="0"/>
        <w:spacing w:after="200" w:line="276" w:lineRule="auto"/>
        <w:rPr>
          <w:rFonts w:eastAsiaTheme="minorEastAsia"/>
          <w:b/>
          <w:bCs/>
        </w:rPr>
      </w:pPr>
      <w:r w:rsidRPr="1E0D7A02">
        <w:rPr>
          <w:b/>
          <w:bCs/>
        </w:rPr>
        <w:t>0</w:t>
      </w:r>
      <w:r w:rsidRPr="1E0D7A02">
        <w:t xml:space="preserve"> products had a </w:t>
      </w:r>
      <w:r w:rsidRPr="1E0D7A02">
        <w:rPr>
          <w:u w:val="single"/>
        </w:rPr>
        <w:t>no concessionary price imposed</w:t>
      </w:r>
      <w:r w:rsidRPr="1E0D7A02">
        <w:t xml:space="preserve"> by DHSC.</w:t>
      </w:r>
    </w:p>
    <w:p w14:paraId="41D7E7D6" w14:textId="77777777" w:rsidR="00EB094C" w:rsidRPr="00D303D2" w:rsidRDefault="00EB094C" w:rsidP="00EB094C">
      <w:pPr>
        <w:pStyle w:val="NoSpacing"/>
      </w:pPr>
    </w:p>
    <w:p w14:paraId="12E5C2CE" w14:textId="77777777" w:rsidR="00EB094C" w:rsidRPr="00D303D2" w:rsidRDefault="00EB094C" w:rsidP="00EB094C">
      <w:pPr>
        <w:spacing w:after="200"/>
        <w:rPr>
          <w:rFonts w:ascii="Calibri Light" w:eastAsia="Calibri Light" w:hAnsi="Calibri Light" w:cs="Calibri Light"/>
          <w:color w:val="2F5496" w:themeColor="accent1" w:themeShade="BF"/>
          <w:sz w:val="32"/>
          <w:szCs w:val="32"/>
          <w:lang w:val="en-US"/>
        </w:rPr>
      </w:pPr>
      <w:r w:rsidRPr="1E0D7A02">
        <w:rPr>
          <w:rFonts w:ascii="Calibri Light" w:eastAsia="Calibri Light" w:hAnsi="Calibri Light" w:cs="Calibri Light"/>
          <w:color w:val="2F5496" w:themeColor="accent1" w:themeShade="BF"/>
          <w:sz w:val="32"/>
          <w:szCs w:val="32"/>
          <w:lang w:val="en-US"/>
        </w:rPr>
        <w:t>September 2021</w:t>
      </w:r>
      <w:r>
        <w:br/>
      </w:r>
    </w:p>
    <w:p w14:paraId="136F05F2" w14:textId="77777777" w:rsidR="00EB094C" w:rsidRPr="00503BFE" w:rsidRDefault="00EB094C" w:rsidP="00E30D53">
      <w:pPr>
        <w:pStyle w:val="ListParagraph"/>
        <w:numPr>
          <w:ilvl w:val="0"/>
          <w:numId w:val="4"/>
        </w:numPr>
        <w:spacing w:after="0" w:line="240" w:lineRule="auto"/>
        <w:rPr>
          <w:color w:val="000000" w:themeColor="text1"/>
        </w:rPr>
      </w:pPr>
      <w:r w:rsidRPr="1E0D7A02">
        <w:rPr>
          <w:color w:val="000000" w:themeColor="text1"/>
        </w:rPr>
        <w:t xml:space="preserve">PSNC applied for a total of </w:t>
      </w:r>
      <w:r w:rsidRPr="1E0D7A02">
        <w:rPr>
          <w:b/>
          <w:bCs/>
          <w:color w:val="000000" w:themeColor="text1"/>
        </w:rPr>
        <w:t>46 </w:t>
      </w:r>
      <w:r w:rsidRPr="1E0D7A02">
        <w:rPr>
          <w:color w:val="000000" w:themeColor="text1"/>
        </w:rPr>
        <w:t>price concessions in September 2021; DHSC wrote to PSNC on 30 September 2021 with the list of final prices.</w:t>
      </w:r>
      <w:r>
        <w:br/>
      </w:r>
    </w:p>
    <w:p w14:paraId="2543D5BB" w14:textId="77777777" w:rsidR="00EB094C" w:rsidRPr="00503BFE" w:rsidRDefault="00EB094C" w:rsidP="00E30D53">
      <w:pPr>
        <w:pStyle w:val="ListParagraph"/>
        <w:numPr>
          <w:ilvl w:val="1"/>
          <w:numId w:val="4"/>
        </w:numPr>
        <w:spacing w:after="0" w:line="240" w:lineRule="auto"/>
        <w:rPr>
          <w:rFonts w:eastAsiaTheme="minorEastAsia"/>
          <w:b/>
          <w:bCs/>
          <w:color w:val="000000" w:themeColor="text1"/>
        </w:rPr>
      </w:pPr>
      <w:r w:rsidRPr="1E0D7A02">
        <w:rPr>
          <w:b/>
          <w:bCs/>
          <w:color w:val="000000" w:themeColor="text1"/>
        </w:rPr>
        <w:t>42</w:t>
      </w:r>
      <w:r w:rsidRPr="1E0D7A02">
        <w:rPr>
          <w:color w:val="000000" w:themeColor="text1"/>
        </w:rPr>
        <w:t xml:space="preserve"> price concessions </w:t>
      </w:r>
      <w:r w:rsidRPr="1E0D7A02">
        <w:rPr>
          <w:color w:val="000000" w:themeColor="text1"/>
          <w:u w:val="single"/>
        </w:rPr>
        <w:t>agreed</w:t>
      </w:r>
      <w:r w:rsidRPr="1E0D7A02">
        <w:rPr>
          <w:color w:val="000000" w:themeColor="text1"/>
        </w:rPr>
        <w:t xml:space="preserve"> between DHSC and PSNC. </w:t>
      </w:r>
      <w:r>
        <w:br/>
      </w:r>
    </w:p>
    <w:p w14:paraId="366B1EFB" w14:textId="77777777" w:rsidR="00EB094C" w:rsidRPr="00315865" w:rsidRDefault="00EB094C" w:rsidP="00E30D53">
      <w:pPr>
        <w:pStyle w:val="ListParagraph"/>
        <w:numPr>
          <w:ilvl w:val="1"/>
          <w:numId w:val="4"/>
        </w:numPr>
        <w:spacing w:after="0" w:line="240" w:lineRule="auto"/>
        <w:rPr>
          <w:b/>
          <w:bCs/>
          <w:color w:val="000000" w:themeColor="text1"/>
        </w:rPr>
      </w:pPr>
      <w:r w:rsidRPr="1E0D7A02">
        <w:rPr>
          <w:b/>
          <w:bCs/>
          <w:color w:val="000000" w:themeColor="text1"/>
        </w:rPr>
        <w:t xml:space="preserve">2 </w:t>
      </w:r>
      <w:r w:rsidRPr="1E0D7A02">
        <w:rPr>
          <w:color w:val="000000" w:themeColor="text1"/>
        </w:rPr>
        <w:t xml:space="preserve">products had prices </w:t>
      </w:r>
      <w:r w:rsidRPr="1E0D7A02">
        <w:rPr>
          <w:color w:val="000000" w:themeColor="text1"/>
          <w:u w:val="single"/>
        </w:rPr>
        <w:t>imposed</w:t>
      </w:r>
      <w:r w:rsidRPr="1E0D7A02">
        <w:rPr>
          <w:color w:val="000000" w:themeColor="text1"/>
        </w:rPr>
        <w:t xml:space="preserve"> as PSNC was unable to agree to the final prices proposed by DHSC.</w:t>
      </w:r>
      <w:r>
        <w:br/>
      </w:r>
    </w:p>
    <w:p w14:paraId="469057ED" w14:textId="77777777" w:rsidR="00EB094C" w:rsidRPr="00315865" w:rsidRDefault="00EB094C" w:rsidP="00E30D53">
      <w:pPr>
        <w:widowControl w:val="0"/>
        <w:numPr>
          <w:ilvl w:val="1"/>
          <w:numId w:val="4"/>
        </w:numPr>
        <w:autoSpaceDE w:val="0"/>
        <w:autoSpaceDN w:val="0"/>
        <w:spacing w:after="0" w:line="276" w:lineRule="auto"/>
        <w:rPr>
          <w:rFonts w:eastAsiaTheme="minorEastAsia"/>
          <w:b/>
          <w:bCs/>
        </w:rPr>
      </w:pPr>
      <w:r w:rsidRPr="1E0D7A02">
        <w:rPr>
          <w:b/>
          <w:bCs/>
        </w:rPr>
        <w:t xml:space="preserve">1 </w:t>
      </w:r>
      <w:r w:rsidRPr="1E0D7A02">
        <w:t xml:space="preserve">product where PSNC and DHSC </w:t>
      </w:r>
      <w:r w:rsidRPr="1E0D7A02">
        <w:rPr>
          <w:u w:val="single"/>
        </w:rPr>
        <w:t>agreed to no concessionary price</w:t>
      </w:r>
      <w:r w:rsidRPr="1E0D7A02">
        <w:t xml:space="preserve"> required.</w:t>
      </w:r>
      <w:r>
        <w:br/>
      </w:r>
    </w:p>
    <w:p w14:paraId="2A8A09A6" w14:textId="77777777" w:rsidR="00EB094C" w:rsidRPr="00503BFE" w:rsidRDefault="00EB094C" w:rsidP="00E30D53">
      <w:pPr>
        <w:pStyle w:val="ListParagraph"/>
        <w:numPr>
          <w:ilvl w:val="1"/>
          <w:numId w:val="4"/>
        </w:numPr>
        <w:spacing w:after="0" w:line="240" w:lineRule="auto"/>
        <w:rPr>
          <w:color w:val="000000" w:themeColor="text1"/>
        </w:rPr>
      </w:pPr>
      <w:r w:rsidRPr="1E0D7A02">
        <w:rPr>
          <w:b/>
          <w:bCs/>
          <w:color w:val="000000" w:themeColor="text1"/>
        </w:rPr>
        <w:t>1</w:t>
      </w:r>
      <w:r w:rsidRPr="1E0D7A02">
        <w:rPr>
          <w:color w:val="000000" w:themeColor="text1"/>
        </w:rPr>
        <w:t xml:space="preserve"> product had a </w:t>
      </w:r>
      <w:r w:rsidRPr="1E0D7A02">
        <w:rPr>
          <w:color w:val="000000" w:themeColor="text1"/>
          <w:u w:val="single"/>
        </w:rPr>
        <w:t>no concessionary price imposed</w:t>
      </w:r>
      <w:r w:rsidRPr="1E0D7A02">
        <w:rPr>
          <w:color w:val="000000" w:themeColor="text1"/>
        </w:rPr>
        <w:t xml:space="preserve"> by DHSC.</w:t>
      </w:r>
    </w:p>
    <w:p w14:paraId="0CA0E406" w14:textId="77777777" w:rsidR="00EB094C" w:rsidRDefault="00EB094C" w:rsidP="00EB094C">
      <w:pPr>
        <w:pStyle w:val="NoSpacing"/>
      </w:pPr>
      <w:r>
        <w:br/>
      </w:r>
    </w:p>
    <w:p w14:paraId="13586EEF" w14:textId="77777777" w:rsidR="00EB094C" w:rsidRDefault="00EB094C" w:rsidP="00EB094C">
      <w:pPr>
        <w:pStyle w:val="NoSpacing"/>
        <w:rPr>
          <w:rFonts w:asciiTheme="majorHAnsi" w:eastAsiaTheme="majorEastAsia" w:hAnsiTheme="majorHAnsi" w:cstheme="majorBidi"/>
          <w:color w:val="2F5496" w:themeColor="accent1" w:themeShade="BF"/>
          <w:sz w:val="32"/>
          <w:szCs w:val="32"/>
        </w:rPr>
      </w:pPr>
    </w:p>
    <w:p w14:paraId="3952BA21" w14:textId="77777777" w:rsidR="00EB094C" w:rsidRDefault="00EB094C" w:rsidP="00EB094C">
      <w:pPr>
        <w:pStyle w:val="NoSpacing"/>
        <w:rPr>
          <w:rFonts w:asciiTheme="majorHAnsi" w:eastAsiaTheme="majorEastAsia" w:hAnsiTheme="majorHAnsi" w:cstheme="majorBidi"/>
          <w:color w:val="2F5496" w:themeColor="accent1" w:themeShade="BF"/>
          <w:sz w:val="32"/>
          <w:szCs w:val="32"/>
        </w:rPr>
      </w:pPr>
      <w:r w:rsidRPr="1E0D7A02">
        <w:rPr>
          <w:rFonts w:asciiTheme="majorHAnsi" w:eastAsiaTheme="majorEastAsia" w:hAnsiTheme="majorHAnsi" w:cstheme="majorBidi"/>
          <w:color w:val="2F5496" w:themeColor="accent1" w:themeShade="BF"/>
          <w:sz w:val="32"/>
          <w:szCs w:val="32"/>
        </w:rPr>
        <w:lastRenderedPageBreak/>
        <w:t>Price concessions summary</w:t>
      </w:r>
      <w:r>
        <w:br/>
      </w:r>
    </w:p>
    <w:p w14:paraId="35BB4AF2" w14:textId="77777777" w:rsidR="00EB094C" w:rsidRPr="000E768C" w:rsidRDefault="00EB094C" w:rsidP="00EB094C">
      <w:pPr>
        <w:rPr>
          <w:rFonts w:ascii="Times New Roman" w:eastAsia="Times New Roman" w:hAnsi="Times New Roman" w:cs="Times New Roman"/>
          <w:sz w:val="24"/>
          <w:szCs w:val="24"/>
          <w:lang w:eastAsia="en-GB"/>
        </w:rPr>
      </w:pPr>
      <w:r>
        <w:rPr>
          <w:noProof/>
        </w:rPr>
        <w:drawing>
          <wp:inline distT="0" distB="0" distL="0" distR="0" wp14:anchorId="7870EF9B" wp14:editId="1FA5051F">
            <wp:extent cx="5835650" cy="3514725"/>
            <wp:effectExtent l="0" t="0" r="12700" b="9525"/>
            <wp:docPr id="4" name="Chart 4">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370046" w14:textId="77777777" w:rsidR="00EB094C" w:rsidRPr="009361C0" w:rsidRDefault="00EB094C" w:rsidP="00EB094C">
      <w:pPr>
        <w:jc w:val="center"/>
        <w:rPr>
          <w:rFonts w:ascii="Times New Roman" w:eastAsia="Times New Roman" w:hAnsi="Times New Roman" w:cs="Times New Roman"/>
          <w:sz w:val="24"/>
          <w:szCs w:val="24"/>
          <w:lang w:eastAsia="en-GB"/>
        </w:rPr>
      </w:pPr>
      <w:r>
        <w:rPr>
          <w:noProof/>
        </w:rPr>
        <w:drawing>
          <wp:inline distT="0" distB="0" distL="0" distR="0" wp14:anchorId="18C23AD3" wp14:editId="6E576BD8">
            <wp:extent cx="5848350" cy="3190875"/>
            <wp:effectExtent l="0" t="0" r="0" b="9525"/>
            <wp:docPr id="1" name="Chart 1">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127FE1" w14:textId="77777777" w:rsidR="00EB094C" w:rsidRDefault="00EB094C" w:rsidP="00EB094C">
      <w:pPr>
        <w:ind w:hanging="426"/>
      </w:pPr>
    </w:p>
    <w:p w14:paraId="4AC0BDB8" w14:textId="77777777" w:rsidR="00EB094C" w:rsidRDefault="00EB094C" w:rsidP="00EB094C">
      <w:pPr>
        <w:rPr>
          <w:rFonts w:eastAsiaTheme="minorEastAsia"/>
          <w:i/>
          <w:iCs/>
          <w:sz w:val="18"/>
          <w:szCs w:val="18"/>
          <w:lang w:eastAsia="en-GB"/>
        </w:rPr>
      </w:pPr>
      <w:r w:rsidRPr="477D00D9">
        <w:rPr>
          <w:rFonts w:eastAsiaTheme="minorEastAsia"/>
          <w:i/>
          <w:iCs/>
          <w:sz w:val="18"/>
          <w:szCs w:val="18"/>
          <w:lang w:eastAsia="en-GB"/>
        </w:rPr>
        <w:t>From November 2020, a new bar (in yellow) has been added to the charts above showing the percentage and number of products for which PSNC initially applied for a price concession but later agreed to withdraw the application(s) or agree to no concessionary price(s) for these products because the data available later in the month supported the availability of stock at or below the listed Drug Tariff price.</w:t>
      </w:r>
    </w:p>
    <w:p w14:paraId="1C2F125F" w14:textId="48407B7A" w:rsidR="00EB094C" w:rsidRDefault="00EB094C" w:rsidP="00EB094C">
      <w:pPr>
        <w:jc w:val="right"/>
        <w:rPr>
          <w:rFonts w:ascii="Calibri" w:eastAsia="Times New Roman" w:hAnsi="Calibri" w:cs="Calibri"/>
          <w:color w:val="5B518F"/>
          <w:lang w:eastAsia="en-GB"/>
        </w:rPr>
      </w:pPr>
      <w:r>
        <w:rPr>
          <w:rFonts w:ascii="Calibri" w:eastAsia="Times New Roman" w:hAnsi="Calibri" w:cs="Calibri"/>
          <w:color w:val="5B518F"/>
          <w:lang w:eastAsia="en-GB"/>
        </w:rPr>
        <w:br w:type="page"/>
      </w:r>
      <w:r>
        <w:rPr>
          <w:rFonts w:ascii="Calibri" w:eastAsia="Times New Roman" w:hAnsi="Calibri" w:cs="Calibri"/>
          <w:color w:val="5B518F"/>
          <w:lang w:eastAsia="en-GB"/>
        </w:rPr>
        <w:lastRenderedPageBreak/>
        <w:t>Appendix FCS 12/11/21</w:t>
      </w:r>
    </w:p>
    <w:p w14:paraId="24263A1A" w14:textId="77777777" w:rsidR="00EB094C" w:rsidRDefault="00EB094C" w:rsidP="00EB094C">
      <w:pPr>
        <w:pStyle w:val="BodyText"/>
        <w:spacing w:after="1"/>
        <w:jc w:val="both"/>
        <w:rPr>
          <w:b/>
          <w:bCs/>
        </w:rPr>
      </w:pPr>
    </w:p>
    <w:p w14:paraId="698FCDB0" w14:textId="77777777" w:rsidR="00EB094C" w:rsidRDefault="00EB094C" w:rsidP="00EB094C">
      <w:pPr>
        <w:ind w:right="689"/>
        <w:jc w:val="right"/>
        <w:rPr>
          <w:b/>
          <w:bCs/>
        </w:rPr>
      </w:pPr>
      <w:r>
        <w:br/>
      </w:r>
    </w:p>
    <w:p w14:paraId="4CD2B566" w14:textId="77777777" w:rsidR="00EB094C" w:rsidRDefault="00EB094C" w:rsidP="00EB094C">
      <w:pPr>
        <w:pStyle w:val="BodyText"/>
        <w:spacing w:after="1"/>
        <w:jc w:val="both"/>
        <w:rPr>
          <w:b/>
          <w:bCs/>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EB094C" w:rsidRPr="00907E6A" w14:paraId="27F2C0F6" w14:textId="77777777" w:rsidTr="003A24C9">
        <w:trPr>
          <w:trHeight w:val="802"/>
        </w:trPr>
        <w:tc>
          <w:tcPr>
            <w:tcW w:w="3522" w:type="dxa"/>
          </w:tcPr>
          <w:p w14:paraId="4A85E970" w14:textId="77777777" w:rsidR="00EB094C" w:rsidRPr="00907E6A" w:rsidRDefault="00EB094C" w:rsidP="003A24C9">
            <w:pPr>
              <w:pStyle w:val="TableParagraph"/>
              <w:spacing w:before="11"/>
              <w:jc w:val="both"/>
              <w:rPr>
                <w:b/>
              </w:rPr>
            </w:pPr>
          </w:p>
          <w:p w14:paraId="0E59504C" w14:textId="77777777" w:rsidR="00EB094C" w:rsidRPr="00907E6A" w:rsidRDefault="00EB094C" w:rsidP="003A24C9">
            <w:pPr>
              <w:pStyle w:val="TableParagraph"/>
              <w:ind w:left="107"/>
              <w:jc w:val="both"/>
            </w:pPr>
            <w:r w:rsidRPr="00907E6A">
              <w:t>Subject</w:t>
            </w:r>
          </w:p>
        </w:tc>
        <w:tc>
          <w:tcPr>
            <w:tcW w:w="5386" w:type="dxa"/>
          </w:tcPr>
          <w:p w14:paraId="136A2896" w14:textId="77777777" w:rsidR="00EB094C" w:rsidRPr="00907E6A" w:rsidRDefault="00EB094C" w:rsidP="003A24C9">
            <w:pPr>
              <w:pStyle w:val="TableParagraph"/>
              <w:spacing w:before="11"/>
              <w:jc w:val="both"/>
              <w:rPr>
                <w:b/>
              </w:rPr>
            </w:pPr>
          </w:p>
          <w:p w14:paraId="6AA3C613" w14:textId="77777777" w:rsidR="00EB094C" w:rsidRPr="00907E6A" w:rsidRDefault="00EB094C" w:rsidP="003A24C9">
            <w:pPr>
              <w:pStyle w:val="TableParagraph"/>
              <w:ind w:left="107"/>
              <w:jc w:val="both"/>
            </w:pPr>
            <w:r w:rsidRPr="00907E6A">
              <w:t>General funding update</w:t>
            </w:r>
          </w:p>
        </w:tc>
      </w:tr>
      <w:tr w:rsidR="00EB094C" w:rsidRPr="00907E6A" w14:paraId="21EEAEAD" w14:textId="77777777" w:rsidTr="003A24C9">
        <w:trPr>
          <w:trHeight w:val="803"/>
        </w:trPr>
        <w:tc>
          <w:tcPr>
            <w:tcW w:w="3522" w:type="dxa"/>
          </w:tcPr>
          <w:p w14:paraId="26E17316" w14:textId="77777777" w:rsidR="00EB094C" w:rsidRPr="00907E6A" w:rsidRDefault="00EB094C" w:rsidP="003A24C9">
            <w:pPr>
              <w:pStyle w:val="TableParagraph"/>
              <w:spacing w:before="11"/>
              <w:jc w:val="both"/>
              <w:rPr>
                <w:b/>
              </w:rPr>
            </w:pPr>
          </w:p>
          <w:p w14:paraId="3208E50A" w14:textId="77777777" w:rsidR="00EB094C" w:rsidRPr="00907E6A" w:rsidRDefault="00EB094C" w:rsidP="003A24C9">
            <w:pPr>
              <w:pStyle w:val="TableParagraph"/>
              <w:ind w:left="107"/>
              <w:jc w:val="both"/>
            </w:pPr>
            <w:r w:rsidRPr="00907E6A">
              <w:t>Date of meeting</w:t>
            </w:r>
          </w:p>
        </w:tc>
        <w:tc>
          <w:tcPr>
            <w:tcW w:w="5386" w:type="dxa"/>
          </w:tcPr>
          <w:p w14:paraId="1A478681" w14:textId="77777777" w:rsidR="00EB094C" w:rsidRPr="00907E6A" w:rsidRDefault="00EB094C" w:rsidP="003A24C9">
            <w:pPr>
              <w:pStyle w:val="TableParagraph"/>
              <w:spacing w:before="11"/>
              <w:jc w:val="both"/>
              <w:rPr>
                <w:b/>
              </w:rPr>
            </w:pPr>
          </w:p>
          <w:p w14:paraId="44FFBC7C" w14:textId="77777777" w:rsidR="00EB094C" w:rsidRPr="00907E6A" w:rsidRDefault="00EB094C" w:rsidP="003A24C9">
            <w:pPr>
              <w:pStyle w:val="TableParagraph"/>
              <w:ind w:left="107"/>
              <w:jc w:val="both"/>
            </w:pPr>
            <w:r>
              <w:t xml:space="preserve"> November 2021</w:t>
            </w:r>
          </w:p>
        </w:tc>
      </w:tr>
      <w:tr w:rsidR="00EB094C" w:rsidRPr="00907E6A" w14:paraId="28CB1369" w14:textId="77777777" w:rsidTr="003A24C9">
        <w:trPr>
          <w:trHeight w:val="803"/>
        </w:trPr>
        <w:tc>
          <w:tcPr>
            <w:tcW w:w="3522" w:type="dxa"/>
          </w:tcPr>
          <w:p w14:paraId="5CAFDD37" w14:textId="77777777" w:rsidR="00EB094C" w:rsidRPr="00907E6A" w:rsidRDefault="00EB094C" w:rsidP="003A24C9">
            <w:pPr>
              <w:pStyle w:val="TableParagraph"/>
              <w:spacing w:before="11"/>
              <w:jc w:val="both"/>
              <w:rPr>
                <w:b/>
              </w:rPr>
            </w:pPr>
          </w:p>
          <w:p w14:paraId="61C673ED" w14:textId="77777777" w:rsidR="00EB094C" w:rsidRPr="00907E6A" w:rsidRDefault="00EB094C" w:rsidP="003A24C9">
            <w:pPr>
              <w:pStyle w:val="TableParagraph"/>
              <w:ind w:left="107"/>
              <w:jc w:val="both"/>
            </w:pPr>
            <w:r w:rsidRPr="00907E6A">
              <w:t>Committee/Subcommittee</w:t>
            </w:r>
          </w:p>
        </w:tc>
        <w:tc>
          <w:tcPr>
            <w:tcW w:w="5386" w:type="dxa"/>
          </w:tcPr>
          <w:p w14:paraId="155A28FC" w14:textId="77777777" w:rsidR="00EB094C" w:rsidRPr="00907E6A" w:rsidRDefault="00EB094C" w:rsidP="003A24C9">
            <w:pPr>
              <w:pStyle w:val="TableParagraph"/>
              <w:spacing w:before="11"/>
              <w:jc w:val="both"/>
              <w:rPr>
                <w:b/>
              </w:rPr>
            </w:pPr>
          </w:p>
          <w:p w14:paraId="3EE315E0" w14:textId="77777777" w:rsidR="00EB094C" w:rsidRPr="00907E6A" w:rsidRDefault="00EB094C" w:rsidP="003A24C9">
            <w:pPr>
              <w:pStyle w:val="TableParagraph"/>
              <w:ind w:left="107"/>
              <w:jc w:val="both"/>
            </w:pPr>
            <w:proofErr w:type="spellStart"/>
            <w:r w:rsidRPr="00907E6A">
              <w:t>FunCon</w:t>
            </w:r>
            <w:proofErr w:type="spellEnd"/>
          </w:p>
        </w:tc>
      </w:tr>
      <w:tr w:rsidR="00EB094C" w:rsidRPr="00907E6A" w14:paraId="2909BEF1" w14:textId="77777777" w:rsidTr="003A24C9">
        <w:trPr>
          <w:trHeight w:val="801"/>
        </w:trPr>
        <w:tc>
          <w:tcPr>
            <w:tcW w:w="3522" w:type="dxa"/>
          </w:tcPr>
          <w:p w14:paraId="11B45F3D" w14:textId="77777777" w:rsidR="00EB094C" w:rsidRPr="00907E6A" w:rsidRDefault="00EB094C" w:rsidP="003A24C9">
            <w:pPr>
              <w:pStyle w:val="TableParagraph"/>
              <w:spacing w:before="12"/>
              <w:jc w:val="both"/>
              <w:rPr>
                <w:b/>
              </w:rPr>
            </w:pPr>
          </w:p>
          <w:p w14:paraId="4FB6748F" w14:textId="77777777" w:rsidR="00EB094C" w:rsidRPr="00907E6A" w:rsidRDefault="00EB094C" w:rsidP="003A24C9">
            <w:pPr>
              <w:pStyle w:val="TableParagraph"/>
              <w:ind w:left="107"/>
              <w:jc w:val="both"/>
            </w:pPr>
            <w:r w:rsidRPr="00907E6A">
              <w:t>Status</w:t>
            </w:r>
          </w:p>
        </w:tc>
        <w:tc>
          <w:tcPr>
            <w:tcW w:w="5386" w:type="dxa"/>
          </w:tcPr>
          <w:p w14:paraId="25A28424" w14:textId="77777777" w:rsidR="00EB094C" w:rsidRPr="00907E6A" w:rsidRDefault="00EB094C" w:rsidP="003A24C9">
            <w:pPr>
              <w:pStyle w:val="TableParagraph"/>
              <w:spacing w:before="12"/>
              <w:jc w:val="both"/>
              <w:rPr>
                <w:b/>
              </w:rPr>
            </w:pPr>
          </w:p>
          <w:p w14:paraId="66B42C06" w14:textId="77777777" w:rsidR="00EB094C" w:rsidRPr="00907E6A" w:rsidRDefault="00EB094C" w:rsidP="003A24C9">
            <w:pPr>
              <w:pStyle w:val="TableParagraph"/>
              <w:ind w:left="107"/>
              <w:jc w:val="both"/>
            </w:pPr>
            <w:r>
              <w:t>Not confidential</w:t>
            </w:r>
          </w:p>
        </w:tc>
      </w:tr>
      <w:tr w:rsidR="00EB094C" w:rsidRPr="00907E6A" w14:paraId="196FC2EF" w14:textId="77777777" w:rsidTr="003A24C9">
        <w:trPr>
          <w:trHeight w:val="802"/>
        </w:trPr>
        <w:tc>
          <w:tcPr>
            <w:tcW w:w="3522" w:type="dxa"/>
          </w:tcPr>
          <w:p w14:paraId="75EEF871" w14:textId="77777777" w:rsidR="00EB094C" w:rsidRPr="00907E6A" w:rsidRDefault="00EB094C" w:rsidP="003A24C9">
            <w:pPr>
              <w:pStyle w:val="TableParagraph"/>
              <w:spacing w:before="11"/>
              <w:jc w:val="both"/>
              <w:rPr>
                <w:b/>
              </w:rPr>
            </w:pPr>
          </w:p>
          <w:p w14:paraId="6BBDFF88" w14:textId="77777777" w:rsidR="00EB094C" w:rsidRPr="00907E6A" w:rsidRDefault="00EB094C" w:rsidP="003A24C9">
            <w:pPr>
              <w:pStyle w:val="TableParagraph"/>
              <w:ind w:left="107"/>
              <w:jc w:val="both"/>
            </w:pPr>
            <w:r w:rsidRPr="00907E6A">
              <w:t>Overview</w:t>
            </w:r>
          </w:p>
        </w:tc>
        <w:tc>
          <w:tcPr>
            <w:tcW w:w="5386" w:type="dxa"/>
          </w:tcPr>
          <w:p w14:paraId="7301079A" w14:textId="77777777" w:rsidR="00EB094C" w:rsidRPr="00907E6A" w:rsidRDefault="00EB094C" w:rsidP="003A24C9">
            <w:pPr>
              <w:pStyle w:val="TableParagraph"/>
              <w:spacing w:before="11"/>
              <w:jc w:val="both"/>
              <w:rPr>
                <w:b/>
              </w:rPr>
            </w:pPr>
          </w:p>
          <w:p w14:paraId="098DA140" w14:textId="77777777" w:rsidR="00EB094C" w:rsidRPr="00907E6A" w:rsidRDefault="00EB094C" w:rsidP="003A24C9">
            <w:pPr>
              <w:pStyle w:val="TableParagraph"/>
              <w:ind w:left="107"/>
              <w:jc w:val="both"/>
            </w:pPr>
            <w:r w:rsidRPr="00907E6A">
              <w:t>General update on various funding issues</w:t>
            </w:r>
          </w:p>
        </w:tc>
      </w:tr>
      <w:tr w:rsidR="00EB094C" w:rsidRPr="00907E6A" w14:paraId="33C2EFCE" w14:textId="77777777" w:rsidTr="003A24C9">
        <w:trPr>
          <w:trHeight w:val="803"/>
        </w:trPr>
        <w:tc>
          <w:tcPr>
            <w:tcW w:w="3522" w:type="dxa"/>
          </w:tcPr>
          <w:p w14:paraId="6F960484" w14:textId="77777777" w:rsidR="00EB094C" w:rsidRPr="00907E6A" w:rsidRDefault="00EB094C" w:rsidP="003A24C9">
            <w:pPr>
              <w:pStyle w:val="TableParagraph"/>
              <w:spacing w:before="11"/>
              <w:jc w:val="both"/>
              <w:rPr>
                <w:b/>
              </w:rPr>
            </w:pPr>
          </w:p>
          <w:p w14:paraId="693836E9" w14:textId="77777777" w:rsidR="00EB094C" w:rsidRPr="00907E6A" w:rsidRDefault="00EB094C" w:rsidP="003A24C9">
            <w:pPr>
              <w:pStyle w:val="TableParagraph"/>
              <w:ind w:left="107"/>
              <w:jc w:val="both"/>
            </w:pPr>
            <w:r w:rsidRPr="00907E6A">
              <w:t>Proposed action(s)</w:t>
            </w:r>
          </w:p>
        </w:tc>
        <w:tc>
          <w:tcPr>
            <w:tcW w:w="5386" w:type="dxa"/>
          </w:tcPr>
          <w:p w14:paraId="2C9F6555" w14:textId="77777777" w:rsidR="00EB094C" w:rsidRPr="00907E6A" w:rsidRDefault="00EB094C" w:rsidP="003A24C9">
            <w:pPr>
              <w:pStyle w:val="TableParagraph"/>
              <w:spacing w:before="11"/>
              <w:jc w:val="both"/>
              <w:rPr>
                <w:b/>
                <w:bCs/>
              </w:rPr>
            </w:pPr>
          </w:p>
          <w:p w14:paraId="79FF3BCD" w14:textId="77777777" w:rsidR="00EB094C" w:rsidRPr="00907E6A" w:rsidRDefault="00EB094C" w:rsidP="003A24C9">
            <w:pPr>
              <w:pStyle w:val="TableParagraph"/>
              <w:ind w:left="107"/>
              <w:jc w:val="both"/>
            </w:pPr>
            <w:r>
              <w:t>No action required</w:t>
            </w:r>
          </w:p>
          <w:p w14:paraId="4FA62414" w14:textId="77777777" w:rsidR="00EB094C" w:rsidRPr="00907E6A" w:rsidRDefault="00EB094C" w:rsidP="003A24C9">
            <w:pPr>
              <w:pStyle w:val="TableParagraph"/>
              <w:spacing w:before="11" w:line="259" w:lineRule="auto"/>
              <w:jc w:val="both"/>
              <w:rPr>
                <w:b/>
                <w:bCs/>
              </w:rPr>
            </w:pPr>
          </w:p>
        </w:tc>
      </w:tr>
      <w:tr w:rsidR="00EB094C" w:rsidRPr="00907E6A" w14:paraId="1C742598" w14:textId="77777777" w:rsidTr="003A24C9">
        <w:trPr>
          <w:trHeight w:val="1071"/>
        </w:trPr>
        <w:tc>
          <w:tcPr>
            <w:tcW w:w="3522" w:type="dxa"/>
          </w:tcPr>
          <w:p w14:paraId="587671D3" w14:textId="77777777" w:rsidR="00EB094C" w:rsidRPr="00907E6A" w:rsidRDefault="00EB094C" w:rsidP="003A24C9">
            <w:pPr>
              <w:pStyle w:val="TableParagraph"/>
              <w:spacing w:before="11"/>
              <w:jc w:val="both"/>
              <w:rPr>
                <w:b/>
              </w:rPr>
            </w:pPr>
          </w:p>
          <w:p w14:paraId="52F98A23" w14:textId="77777777" w:rsidR="00EB094C" w:rsidRPr="00907E6A" w:rsidRDefault="00EB094C" w:rsidP="003A24C9">
            <w:pPr>
              <w:pStyle w:val="TableParagraph"/>
              <w:ind w:left="107"/>
              <w:jc w:val="both"/>
            </w:pPr>
            <w:r w:rsidRPr="00907E6A">
              <w:t>Author(s) of the paper</w:t>
            </w:r>
          </w:p>
        </w:tc>
        <w:tc>
          <w:tcPr>
            <w:tcW w:w="5386" w:type="dxa"/>
          </w:tcPr>
          <w:p w14:paraId="4A353C6D" w14:textId="77777777" w:rsidR="00EB094C" w:rsidRPr="00907E6A" w:rsidRDefault="00EB094C" w:rsidP="003A24C9">
            <w:pPr>
              <w:pStyle w:val="TableParagraph"/>
              <w:spacing w:before="11"/>
              <w:jc w:val="both"/>
              <w:rPr>
                <w:b/>
              </w:rPr>
            </w:pPr>
          </w:p>
          <w:p w14:paraId="775C0806" w14:textId="77777777" w:rsidR="00EB094C" w:rsidRDefault="00EB094C" w:rsidP="003A24C9">
            <w:pPr>
              <w:pStyle w:val="TableParagraph"/>
              <w:ind w:left="107" w:right="1299"/>
              <w:jc w:val="both"/>
            </w:pPr>
            <w:r w:rsidRPr="00907E6A">
              <w:t xml:space="preserve">PSNC </w:t>
            </w:r>
            <w:r>
              <w:t>Dispensing &amp; Supply</w:t>
            </w:r>
            <w:r w:rsidRPr="00907E6A">
              <w:t xml:space="preserve"> Team </w:t>
            </w:r>
          </w:p>
          <w:p w14:paraId="20ACB3A3" w14:textId="77777777" w:rsidR="00EB094C" w:rsidRPr="00907E6A" w:rsidRDefault="00EB094C" w:rsidP="003A24C9">
            <w:pPr>
              <w:pStyle w:val="TableParagraph"/>
              <w:ind w:left="107" w:right="1299"/>
              <w:jc w:val="both"/>
            </w:pPr>
          </w:p>
        </w:tc>
      </w:tr>
    </w:tbl>
    <w:p w14:paraId="2ED30698" w14:textId="77777777" w:rsidR="00EB094C" w:rsidRPr="00907E6A" w:rsidRDefault="00EB094C" w:rsidP="00EB094C">
      <w:pPr>
        <w:spacing w:before="15"/>
        <w:ind w:right="2880"/>
        <w:jc w:val="both"/>
        <w:rPr>
          <w:b/>
          <w:bCs/>
          <w:color w:val="5B518E"/>
        </w:rPr>
      </w:pPr>
    </w:p>
    <w:p w14:paraId="70B0CEE8" w14:textId="77777777" w:rsidR="00EB094C" w:rsidRPr="00907E6A" w:rsidRDefault="00EB094C" w:rsidP="00EB094C">
      <w:pPr>
        <w:spacing w:before="15"/>
        <w:ind w:left="851" w:right="2880"/>
        <w:jc w:val="both"/>
        <w:rPr>
          <w:b/>
          <w:color w:val="5B518E"/>
        </w:rPr>
      </w:pPr>
    </w:p>
    <w:p w14:paraId="49FE8461" w14:textId="77777777" w:rsidR="00EB094C" w:rsidRPr="00907E6A" w:rsidRDefault="00EB094C" w:rsidP="00EB094C">
      <w:pPr>
        <w:spacing w:before="15"/>
        <w:ind w:left="851" w:right="2880"/>
        <w:jc w:val="both"/>
        <w:rPr>
          <w:b/>
          <w:color w:val="5B518E"/>
        </w:rPr>
      </w:pPr>
    </w:p>
    <w:p w14:paraId="44295EDF" w14:textId="77777777" w:rsidR="00EB094C" w:rsidRPr="00907E6A" w:rsidRDefault="00EB094C" w:rsidP="00EB094C">
      <w:pPr>
        <w:spacing w:before="15"/>
        <w:ind w:left="851" w:right="2880"/>
        <w:jc w:val="both"/>
        <w:rPr>
          <w:b/>
          <w:color w:val="5B518E"/>
        </w:rPr>
      </w:pPr>
    </w:p>
    <w:p w14:paraId="02295E7E" w14:textId="77777777" w:rsidR="00EB094C" w:rsidRPr="00907E6A" w:rsidRDefault="00EB094C" w:rsidP="00EB094C">
      <w:pPr>
        <w:spacing w:before="15"/>
        <w:ind w:left="851" w:right="2880"/>
        <w:jc w:val="both"/>
        <w:rPr>
          <w:b/>
          <w:color w:val="5B518E"/>
        </w:rPr>
      </w:pPr>
    </w:p>
    <w:p w14:paraId="081AB436" w14:textId="77777777" w:rsidR="00EB094C" w:rsidRDefault="00EB094C" w:rsidP="00EB094C">
      <w:pPr>
        <w:spacing w:before="15"/>
        <w:ind w:left="851" w:right="2880"/>
        <w:jc w:val="both"/>
        <w:rPr>
          <w:b/>
          <w:color w:val="5B518E"/>
        </w:rPr>
      </w:pPr>
    </w:p>
    <w:p w14:paraId="03802416" w14:textId="77777777" w:rsidR="00EB094C" w:rsidRDefault="00EB094C" w:rsidP="00EB094C">
      <w:pPr>
        <w:spacing w:before="15"/>
        <w:ind w:left="851" w:right="2880"/>
        <w:jc w:val="both"/>
        <w:rPr>
          <w:b/>
          <w:color w:val="5B518E"/>
        </w:rPr>
      </w:pPr>
    </w:p>
    <w:p w14:paraId="65F50765" w14:textId="77777777" w:rsidR="00EB094C" w:rsidRDefault="00EB094C" w:rsidP="00EB094C">
      <w:pPr>
        <w:spacing w:before="15"/>
        <w:ind w:left="851" w:right="2880"/>
        <w:jc w:val="both"/>
        <w:rPr>
          <w:b/>
          <w:color w:val="5B518E"/>
        </w:rPr>
      </w:pPr>
    </w:p>
    <w:p w14:paraId="04298D1B" w14:textId="77777777" w:rsidR="00EB094C" w:rsidRDefault="00EB094C" w:rsidP="00EB094C">
      <w:pPr>
        <w:spacing w:before="15"/>
        <w:ind w:left="851" w:right="2880"/>
        <w:jc w:val="both"/>
        <w:rPr>
          <w:b/>
          <w:color w:val="5B518E"/>
        </w:rPr>
      </w:pPr>
    </w:p>
    <w:p w14:paraId="49170878" w14:textId="77777777" w:rsidR="00EB094C" w:rsidRDefault="00EB094C" w:rsidP="00EB094C">
      <w:pPr>
        <w:spacing w:before="15"/>
        <w:ind w:left="851" w:right="2880"/>
        <w:jc w:val="both"/>
        <w:rPr>
          <w:b/>
          <w:color w:val="5B518E"/>
        </w:rPr>
      </w:pPr>
    </w:p>
    <w:p w14:paraId="13ACBE43" w14:textId="77777777" w:rsidR="00EB094C" w:rsidRDefault="00EB094C" w:rsidP="00EB094C">
      <w:pPr>
        <w:spacing w:before="15"/>
        <w:ind w:left="851" w:right="2880"/>
        <w:jc w:val="both"/>
        <w:rPr>
          <w:b/>
          <w:color w:val="5B518E"/>
        </w:rPr>
      </w:pPr>
    </w:p>
    <w:p w14:paraId="650BBB92" w14:textId="77777777" w:rsidR="00EB094C" w:rsidRDefault="00EB094C" w:rsidP="00EB094C">
      <w:pPr>
        <w:spacing w:before="15"/>
        <w:ind w:left="851" w:right="2880"/>
        <w:jc w:val="both"/>
        <w:rPr>
          <w:b/>
          <w:color w:val="5B518E"/>
        </w:rPr>
      </w:pPr>
    </w:p>
    <w:p w14:paraId="0E27C8D4" w14:textId="77777777" w:rsidR="00EB094C" w:rsidRPr="00907E6A" w:rsidRDefault="00EB094C" w:rsidP="00EB094C">
      <w:pPr>
        <w:spacing w:before="15"/>
        <w:ind w:left="851" w:right="2880"/>
        <w:jc w:val="both"/>
        <w:rPr>
          <w:b/>
          <w:color w:val="5B518E"/>
        </w:rPr>
      </w:pPr>
    </w:p>
    <w:p w14:paraId="7DBD66A9" w14:textId="295191D7" w:rsidR="00EB094C" w:rsidRPr="00EB094C" w:rsidRDefault="00EB094C" w:rsidP="00EB094C">
      <w:pPr>
        <w:jc w:val="both"/>
        <w:rPr>
          <w:b/>
          <w:bCs/>
          <w:color w:val="5B518E"/>
          <w:sz w:val="28"/>
          <w:szCs w:val="28"/>
        </w:rPr>
      </w:pPr>
      <w:r w:rsidRPr="587BDBD4">
        <w:rPr>
          <w:rFonts w:ascii="Calibri Light" w:eastAsia="Calibri Light" w:hAnsi="Calibri Light" w:cs="Calibri Light"/>
          <w:color w:val="000000" w:themeColor="text1"/>
          <w:sz w:val="56"/>
          <w:szCs w:val="56"/>
        </w:rPr>
        <w:lastRenderedPageBreak/>
        <w:t>General funding update</w:t>
      </w:r>
    </w:p>
    <w:p w14:paraId="66186F02" w14:textId="77777777" w:rsidR="00EB094C" w:rsidRDefault="00EB094C" w:rsidP="00EB094C">
      <w:pPr>
        <w:pStyle w:val="BodyText"/>
        <w:ind w:right="937"/>
        <w:jc w:val="both"/>
      </w:pPr>
    </w:p>
    <w:p w14:paraId="52678541" w14:textId="77777777" w:rsidR="00EB094C" w:rsidRDefault="00EB094C" w:rsidP="00EB094C">
      <w:pPr>
        <w:pStyle w:val="NoSpacing"/>
      </w:pPr>
      <w:r>
        <w:t>The following items are matters of report:</w:t>
      </w:r>
    </w:p>
    <w:p w14:paraId="686FED2C" w14:textId="77777777" w:rsidR="00EB094C" w:rsidRDefault="00EB094C" w:rsidP="00EB094C">
      <w:pPr>
        <w:pStyle w:val="NoSpacing"/>
      </w:pPr>
    </w:p>
    <w:p w14:paraId="28EA93AB" w14:textId="77777777" w:rsidR="00EB094C" w:rsidRPr="00431E90"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Over_half_of" w:history="1">
        <w:r w:rsidR="00EB094C" w:rsidRPr="00133F04">
          <w:rPr>
            <w:rStyle w:val="Hyperlink"/>
          </w:rPr>
          <w:t>Over half of all pharmacies benefit from new earlier advance payment timetable</w:t>
        </w:r>
      </w:hyperlink>
    </w:p>
    <w:p w14:paraId="4A2FC310"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Extended_submission_deadlines" w:history="1">
        <w:r w:rsidR="00EB094C" w:rsidRPr="00133F04">
          <w:rPr>
            <w:rStyle w:val="Hyperlink"/>
          </w:rPr>
          <w:t>Extended submission deadlines for bank holidays</w:t>
        </w:r>
      </w:hyperlink>
    </w:p>
    <w:p w14:paraId="255B22A4"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End_to_Pharmacy" w:history="1">
        <w:r w:rsidR="00EB094C" w:rsidRPr="00133F04">
          <w:rPr>
            <w:rStyle w:val="Hyperlink"/>
          </w:rPr>
          <w:t>End to Pharmacy Earlier Payment Scheme</w:t>
        </w:r>
      </w:hyperlink>
    </w:p>
    <w:p w14:paraId="344CC1A6"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Updated_prescription_sorting" w:history="1">
        <w:r w:rsidR="00EB094C" w:rsidRPr="00133F04">
          <w:rPr>
            <w:rStyle w:val="Hyperlink"/>
          </w:rPr>
          <w:t>Updated prescription sorting and red separator requirements</w:t>
        </w:r>
      </w:hyperlink>
    </w:p>
    <w:p w14:paraId="7FADCF7F"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Updated_paper_FP34C" w:history="1">
        <w:r w:rsidR="00EB094C" w:rsidRPr="00133F04">
          <w:rPr>
            <w:rStyle w:val="Hyperlink"/>
          </w:rPr>
          <w:t>Updated paper FP34C form</w:t>
        </w:r>
      </w:hyperlink>
    </w:p>
    <w:p w14:paraId="49FE454E"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Post_Payment_Verification" w:history="1">
        <w:r w:rsidR="00EB094C" w:rsidRPr="00133F04">
          <w:rPr>
            <w:rStyle w:val="Hyperlink"/>
          </w:rPr>
          <w:t>Post Payment Verification (PPV) activity for Out of Pocket (OOP) expense claims</w:t>
        </w:r>
      </w:hyperlink>
    </w:p>
    <w:p w14:paraId="3AB59914"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Venlafaxine_37.5mg/5ml_and" w:history="1">
        <w:r w:rsidR="00EB094C" w:rsidRPr="00133F04">
          <w:rPr>
            <w:rStyle w:val="Hyperlink"/>
          </w:rPr>
          <w:t>Venlafaxine 37.5mg/5ml and 75mg/5ml oral solution sugar free to be deleted from Part VIIIB of November Drug Tariff</w:t>
        </w:r>
      </w:hyperlink>
    </w:p>
    <w:p w14:paraId="63BE62A4"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Adjusted_price_for" w:history="1">
        <w:r w:rsidR="00EB094C" w:rsidRPr="00133F04">
          <w:rPr>
            <w:rStyle w:val="Hyperlink"/>
          </w:rPr>
          <w:t xml:space="preserve">Adjusted price for </w:t>
        </w:r>
        <w:proofErr w:type="spellStart"/>
        <w:r w:rsidR="00EB094C" w:rsidRPr="00133F04">
          <w:rPr>
            <w:rStyle w:val="Hyperlink"/>
          </w:rPr>
          <w:t>Indoramin</w:t>
        </w:r>
        <w:proofErr w:type="spellEnd"/>
        <w:r w:rsidR="00EB094C" w:rsidRPr="00133F04">
          <w:rPr>
            <w:rStyle w:val="Hyperlink"/>
          </w:rPr>
          <w:t xml:space="preserve"> 20mg tablets following price changes in October 2021</w:t>
        </w:r>
      </w:hyperlink>
    </w:p>
    <w:p w14:paraId="19DB0745"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Adjusted_price_for_1" w:history="1">
        <w:r w:rsidR="00EB094C" w:rsidRPr="00133F04">
          <w:rPr>
            <w:rStyle w:val="Hyperlink"/>
          </w:rPr>
          <w:t>Adjusted price for Cetirizine 1mg/ml oral solution sugar free following price changes in August 2021</w:t>
        </w:r>
      </w:hyperlink>
    </w:p>
    <w:p w14:paraId="02B2A5CE" w14:textId="77777777" w:rsidR="00EB094C" w:rsidRPr="00AA2C12" w:rsidRDefault="00933807" w:rsidP="00E30D53">
      <w:pPr>
        <w:pStyle w:val="ListParagraph"/>
        <w:widowControl w:val="0"/>
        <w:numPr>
          <w:ilvl w:val="0"/>
          <w:numId w:val="6"/>
        </w:numPr>
        <w:autoSpaceDE w:val="0"/>
        <w:autoSpaceDN w:val="0"/>
        <w:spacing w:before="15" w:after="0" w:line="240" w:lineRule="auto"/>
        <w:ind w:right="-22"/>
        <w:contextualSpacing w:val="0"/>
        <w:jc w:val="both"/>
        <w:rPr>
          <w:rStyle w:val="Hyperlink"/>
          <w:color w:val="5B518E"/>
        </w:rPr>
      </w:pPr>
      <w:hyperlink w:anchor="_Updated_SSP_endorsement">
        <w:r w:rsidR="00EB094C" w:rsidRPr="7ADA0077">
          <w:rPr>
            <w:rStyle w:val="Hyperlink"/>
          </w:rPr>
          <w:t>Updated SSP endorsement information</w:t>
        </w:r>
      </w:hyperlink>
    </w:p>
    <w:p w14:paraId="1A8F8B1B" w14:textId="77777777" w:rsidR="00EB094C" w:rsidRPr="00E6093E" w:rsidRDefault="00933807" w:rsidP="00E30D53">
      <w:pPr>
        <w:pStyle w:val="ListParagraph"/>
        <w:widowControl w:val="0"/>
        <w:numPr>
          <w:ilvl w:val="0"/>
          <w:numId w:val="6"/>
        </w:numPr>
        <w:autoSpaceDE w:val="0"/>
        <w:autoSpaceDN w:val="0"/>
        <w:spacing w:before="15" w:after="0" w:line="240" w:lineRule="auto"/>
        <w:ind w:right="-22"/>
        <w:contextualSpacing w:val="0"/>
        <w:jc w:val="both"/>
        <w:rPr>
          <w:rStyle w:val="Hyperlink"/>
          <w:color w:val="5B518E"/>
        </w:rPr>
      </w:pPr>
      <w:hyperlink w:anchor="_New_SSP_issued">
        <w:r w:rsidR="00EB094C" w:rsidRPr="7ADA0077">
          <w:rPr>
            <w:rStyle w:val="Hyperlink"/>
          </w:rPr>
          <w:t>New SSP issued for Lipitor® 20mg chewable tablets</w:t>
        </w:r>
      </w:hyperlink>
    </w:p>
    <w:p w14:paraId="0FD8584A"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Further_extension_to" w:history="1">
        <w:r w:rsidR="00EB094C" w:rsidRPr="00E6093E">
          <w:rPr>
            <w:rStyle w:val="Hyperlink"/>
          </w:rPr>
          <w:t>Further extension to SSP05 for Fluoxetine 10mg tablets</w:t>
        </w:r>
      </w:hyperlink>
    </w:p>
    <w:p w14:paraId="79BFD251"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Summary_of_payments" w:history="1">
        <w:r w:rsidR="00EB094C" w:rsidRPr="00133F04">
          <w:rPr>
            <w:rStyle w:val="Hyperlink"/>
          </w:rPr>
          <w:t>Summary of payments including claiming deadlines</w:t>
        </w:r>
      </w:hyperlink>
    </w:p>
    <w:p w14:paraId="4EF4598C"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Over_400_products" w:history="1">
        <w:r w:rsidR="00EB094C" w:rsidRPr="00133F04">
          <w:rPr>
            <w:rStyle w:val="Hyperlink"/>
          </w:rPr>
          <w:t>Over 400 products added to DND list in past 18 months</w:t>
        </w:r>
      </w:hyperlink>
    </w:p>
    <w:p w14:paraId="0F1C2DE6"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Update_summary_of" w:history="1">
        <w:r w:rsidR="00EB094C" w:rsidRPr="00133F04">
          <w:rPr>
            <w:rStyle w:val="Hyperlink"/>
          </w:rPr>
          <w:t>Update summary of applications submitted to DHSC for re-determination of special container status</w:t>
        </w:r>
      </w:hyperlink>
    </w:p>
    <w:p w14:paraId="47198275"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Market_movements_with" w:history="1">
        <w:r w:rsidR="00EB094C" w:rsidRPr="00133F04">
          <w:rPr>
            <w:rStyle w:val="Hyperlink"/>
          </w:rPr>
          <w:t>Market movements with implications for supply</w:t>
        </w:r>
      </w:hyperlink>
    </w:p>
    <w:p w14:paraId="38AE9B4B" w14:textId="77777777" w:rsidR="00EB094C"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Webinar_on_changes" w:history="1">
        <w:r w:rsidR="00EB094C" w:rsidRPr="00133F04">
          <w:rPr>
            <w:rStyle w:val="Hyperlink"/>
          </w:rPr>
          <w:t>Webinar on changes to advance payments and submission requirements</w:t>
        </w:r>
      </w:hyperlink>
    </w:p>
    <w:p w14:paraId="1D886F74" w14:textId="77777777" w:rsidR="00EB094C" w:rsidRPr="00015928" w:rsidRDefault="00933807" w:rsidP="00E30D53">
      <w:pPr>
        <w:pStyle w:val="ListParagraph"/>
        <w:widowControl w:val="0"/>
        <w:numPr>
          <w:ilvl w:val="0"/>
          <w:numId w:val="6"/>
        </w:numPr>
        <w:autoSpaceDE w:val="0"/>
        <w:autoSpaceDN w:val="0"/>
        <w:spacing w:before="15" w:after="0" w:line="240" w:lineRule="auto"/>
        <w:ind w:right="-22"/>
        <w:contextualSpacing w:val="0"/>
        <w:jc w:val="both"/>
        <w:rPr>
          <w:color w:val="5B518E"/>
        </w:rPr>
      </w:pPr>
      <w:hyperlink w:anchor="_Pharmacy_factsheets_for" w:history="1">
        <w:r w:rsidR="00EB094C" w:rsidRPr="00133F04">
          <w:rPr>
            <w:rStyle w:val="Hyperlink"/>
          </w:rPr>
          <w:t>Pharmacy factsheets for community pharmacy over last 12 months</w:t>
        </w:r>
      </w:hyperlink>
    </w:p>
    <w:p w14:paraId="16287B80" w14:textId="77777777" w:rsidR="00EB094C" w:rsidRDefault="00EB094C" w:rsidP="00EB094C">
      <w:pPr>
        <w:pStyle w:val="NoSpacing"/>
      </w:pPr>
    </w:p>
    <w:p w14:paraId="2A16A67B" w14:textId="77777777" w:rsidR="00EB094C" w:rsidRPr="00806152" w:rsidRDefault="00EB094C" w:rsidP="00EB094C">
      <w:pPr>
        <w:pStyle w:val="NoSpacing"/>
      </w:pPr>
    </w:p>
    <w:p w14:paraId="41FD9360" w14:textId="77777777" w:rsidR="00EB094C" w:rsidRPr="00C40DFD" w:rsidRDefault="00EB094C" w:rsidP="00EB094C">
      <w:pPr>
        <w:pStyle w:val="Heading4"/>
        <w:rPr>
          <w:rFonts w:ascii="Calibri Light" w:hAnsi="Calibri Light" w:cs="Calibri Light"/>
          <w:i w:val="0"/>
          <w:iCs w:val="0"/>
          <w:sz w:val="32"/>
          <w:szCs w:val="32"/>
        </w:rPr>
      </w:pPr>
      <w:bookmarkStart w:id="0" w:name="_Over_half_of"/>
      <w:bookmarkEnd w:id="0"/>
      <w:r w:rsidRPr="00C40DFD">
        <w:rPr>
          <w:rFonts w:ascii="Calibri Light" w:hAnsi="Calibri Light" w:cs="Calibri Light"/>
          <w:i w:val="0"/>
          <w:iCs w:val="0"/>
          <w:sz w:val="32"/>
          <w:szCs w:val="32"/>
        </w:rPr>
        <w:t>Over half of all pharmacies benefit from new earlier advance payment timetable</w:t>
      </w:r>
    </w:p>
    <w:p w14:paraId="380BA9C9" w14:textId="77777777" w:rsidR="00EB094C" w:rsidRDefault="00EB094C" w:rsidP="00EB094C">
      <w:pPr>
        <w:pStyle w:val="NoSpacing"/>
      </w:pPr>
    </w:p>
    <w:p w14:paraId="327D4AAE" w14:textId="77777777" w:rsidR="00EB094C" w:rsidRDefault="00EB094C" w:rsidP="00EB094C">
      <w:pPr>
        <w:jc w:val="both"/>
      </w:pPr>
      <w:r w:rsidRPr="5B712038">
        <w:t>Over</w:t>
      </w:r>
      <w:r w:rsidRPr="5B712038">
        <w:rPr>
          <w:b/>
          <w:bCs/>
        </w:rPr>
        <w:t xml:space="preserve"> 6,000</w:t>
      </w:r>
      <w:r w:rsidRPr="5B712038">
        <w:t xml:space="preserve"> pharmacy contractors who declared their October 2021 FP34C submission figures through the</w:t>
      </w:r>
      <w:r w:rsidRPr="5B712038">
        <w:rPr>
          <w:color w:val="444444"/>
        </w:rPr>
        <w:t xml:space="preserve"> </w:t>
      </w:r>
      <w:hyperlink r:id="rId12">
        <w:r w:rsidRPr="5B712038">
          <w:rPr>
            <w:rStyle w:val="Hyperlink"/>
            <w:b/>
            <w:bCs/>
          </w:rPr>
          <w:t>Manage Your Service (MYS) portal</w:t>
        </w:r>
      </w:hyperlink>
      <w:r w:rsidRPr="5B712038">
        <w:rPr>
          <w:color w:val="444444"/>
        </w:rPr>
        <w:t xml:space="preserve"> </w:t>
      </w:r>
      <w:r w:rsidRPr="5B712038">
        <w:rPr>
          <w:b/>
          <w:bCs/>
        </w:rPr>
        <w:t>by 5th November</w:t>
      </w:r>
      <w:r w:rsidRPr="5B712038">
        <w:t xml:space="preserve"> received</w:t>
      </w:r>
      <w:r w:rsidRPr="5B712038">
        <w:rPr>
          <w:b/>
          <w:bCs/>
        </w:rPr>
        <w:t xml:space="preserve"> earlier advance payments on 11th November</w:t>
      </w:r>
      <w:r w:rsidRPr="5B712038">
        <w:t xml:space="preserve"> (circa</w:t>
      </w:r>
      <w:r w:rsidRPr="5B712038">
        <w:rPr>
          <w:color w:val="444444"/>
        </w:rPr>
        <w:t xml:space="preserve"> </w:t>
      </w:r>
      <w:r w:rsidRPr="5B712038">
        <w:t xml:space="preserve">20 days earlier than the normal advance payment timetable). All contractors who received earlier advance payments on 11th November should </w:t>
      </w:r>
      <w:r>
        <w:t xml:space="preserve">have </w:t>
      </w:r>
      <w:r w:rsidRPr="5B712038">
        <w:t>receive</w:t>
      </w:r>
      <w:r>
        <w:t>d</w:t>
      </w:r>
      <w:r w:rsidRPr="5B712038">
        <w:t xml:space="preserve"> a letter from the NHS Business Services Authority (NHSBSA) regarding these payments.</w:t>
      </w:r>
    </w:p>
    <w:p w14:paraId="0BA6B3B4" w14:textId="77777777" w:rsidR="00EB094C" w:rsidRDefault="00EB094C" w:rsidP="00EB094C">
      <w:pPr>
        <w:jc w:val="both"/>
      </w:pPr>
    </w:p>
    <w:p w14:paraId="1548C69A" w14:textId="77777777" w:rsidR="00EB094C" w:rsidRDefault="00EB094C" w:rsidP="00EB094C">
      <w:pPr>
        <w:jc w:val="both"/>
      </w:pPr>
      <w:r w:rsidRPr="5B712038">
        <w:t xml:space="preserve">Contractors who submitted their October FP34C through MYS late (after 5th November) or used the revised paper FP34C submission document to declare their October figures will receive their advance payments in accordance with the normal payment timetable </w:t>
      </w:r>
      <w:proofErr w:type="gramStart"/>
      <w:r w:rsidRPr="5B712038">
        <w:t>i.e.</w:t>
      </w:r>
      <w:proofErr w:type="gramEnd"/>
      <w:r w:rsidRPr="5B712038">
        <w:t xml:space="preserve"> on 1st December 2021. Note: In total, NHSBSA received 8309 FP34C submissions through MYS by 5th November and of these c.2000 </w:t>
      </w:r>
      <w:proofErr w:type="gramStart"/>
      <w:r w:rsidRPr="5B712038">
        <w:t>were</w:t>
      </w:r>
      <w:proofErr w:type="gramEnd"/>
      <w:r w:rsidRPr="5B712038">
        <w:t xml:space="preserve"> from PEPS contractors who received their final PEPS payment on the 1 October 2021. This leaves approximately 3,000 contractors who may be using paper FP34C’s or submitting through MYS after the 5th.</w:t>
      </w:r>
    </w:p>
    <w:p w14:paraId="23F7BCFE" w14:textId="77777777" w:rsidR="00EB094C" w:rsidRDefault="00EB094C" w:rsidP="00EB094C">
      <w:pPr>
        <w:jc w:val="both"/>
      </w:pPr>
    </w:p>
    <w:p w14:paraId="721A14D7" w14:textId="77777777" w:rsidR="00EB094C" w:rsidRDefault="00EB094C" w:rsidP="00EB094C">
      <w:pPr>
        <w:jc w:val="both"/>
        <w:rPr>
          <w:b/>
          <w:bCs/>
        </w:rPr>
      </w:pPr>
      <w:r w:rsidRPr="5B712038">
        <w:rPr>
          <w:b/>
          <w:bCs/>
        </w:rPr>
        <w:t xml:space="preserve">To benefit from earlier advance payments, contractors still relying on the paper FP34C submission document are strongly encouraged to submit their monthly declaration through the MYS portal by the 5th of the </w:t>
      </w:r>
      <w:r w:rsidRPr="5B712038">
        <w:rPr>
          <w:b/>
          <w:bCs/>
        </w:rPr>
        <w:lastRenderedPageBreak/>
        <w:t>month following that in which supply was made. The paper FP34C submission document will only be available until March 2022 (</w:t>
      </w:r>
      <w:proofErr w:type="gramStart"/>
      <w:r w:rsidRPr="5B712038">
        <w:rPr>
          <w:b/>
          <w:bCs/>
        </w:rPr>
        <w:t>i.e.</w:t>
      </w:r>
      <w:proofErr w:type="gramEnd"/>
      <w:r w:rsidRPr="5B712038">
        <w:rPr>
          <w:b/>
          <w:bCs/>
        </w:rPr>
        <w:t xml:space="preserve"> for prescriptions dispensed in February 2022). From April 2022 (</w:t>
      </w:r>
      <w:proofErr w:type="gramStart"/>
      <w:r w:rsidRPr="5B712038">
        <w:rPr>
          <w:b/>
          <w:bCs/>
        </w:rPr>
        <w:t>i.e.</w:t>
      </w:r>
      <w:proofErr w:type="gramEnd"/>
      <w:r w:rsidRPr="5B712038">
        <w:rPr>
          <w:b/>
          <w:bCs/>
        </w:rPr>
        <w:t xml:space="preserve"> for prescriptions dispensed in March 2022) MYS will be the only route for all monthly submissions. To benefit from the earlier advance payments, contractors are strongly encouraged to start using the MYS portal to make their declarations.</w:t>
      </w:r>
    </w:p>
    <w:p w14:paraId="6D9E81A0" w14:textId="77777777" w:rsidR="00EB094C" w:rsidRDefault="00EB094C" w:rsidP="00EB094C">
      <w:pPr>
        <w:jc w:val="both"/>
        <w:rPr>
          <w:b/>
          <w:bCs/>
        </w:rPr>
      </w:pPr>
    </w:p>
    <w:p w14:paraId="74DFCB56" w14:textId="77777777" w:rsidR="00EB094C" w:rsidRDefault="00EB094C" w:rsidP="00EB094C">
      <w:pPr>
        <w:jc w:val="both"/>
      </w:pPr>
      <w:r w:rsidRPr="5B712038">
        <w:t>If the FP34C submission document and prescription bundle is received very late by the NHSBSA (usually after the 20th of each month), contractors will not receive any advance payment but instead will only receive the final reconciliation payment. The FP34C submission cut-off dates for normal advance payments are published on the</w:t>
      </w:r>
      <w:r w:rsidRPr="5B712038">
        <w:rPr>
          <w:color w:val="444444"/>
        </w:rPr>
        <w:t xml:space="preserve"> </w:t>
      </w:r>
      <w:hyperlink r:id="rId13">
        <w:r w:rsidRPr="5B712038">
          <w:rPr>
            <w:rStyle w:val="Hyperlink"/>
            <w:b/>
            <w:bCs/>
          </w:rPr>
          <w:t>NHSBSA’s website</w:t>
        </w:r>
      </w:hyperlink>
      <w:r w:rsidRPr="5B712038">
        <w:rPr>
          <w:color w:val="444444"/>
        </w:rPr>
        <w:t>.</w:t>
      </w:r>
    </w:p>
    <w:p w14:paraId="488897F4" w14:textId="77777777" w:rsidR="00EB094C" w:rsidRDefault="00EB094C" w:rsidP="00EB094C">
      <w:pPr>
        <w:jc w:val="both"/>
        <w:rPr>
          <w:color w:val="444444"/>
        </w:rPr>
      </w:pPr>
    </w:p>
    <w:p w14:paraId="3B3A5344" w14:textId="77777777" w:rsidR="00EB094C" w:rsidRDefault="00EB094C" w:rsidP="00EB094C">
      <w:pPr>
        <w:jc w:val="both"/>
      </w:pPr>
      <w:r w:rsidRPr="5B712038">
        <w:t xml:space="preserve">Contractors should note that the final reconciliation payment date remains unchanged </w:t>
      </w:r>
      <w:proofErr w:type="gramStart"/>
      <w:r w:rsidRPr="5B712038">
        <w:t>i.e.</w:t>
      </w:r>
      <w:proofErr w:type="gramEnd"/>
      <w:r w:rsidRPr="5B712038">
        <w:t xml:space="preserve"> this will continue to be paid on the 1st working day of the month approximately two months after contractors have submitted the appropriate FP34C form and prescriptions for pricing.</w:t>
      </w:r>
    </w:p>
    <w:p w14:paraId="4799398F" w14:textId="77777777" w:rsidR="00EB094C" w:rsidRDefault="00EB094C" w:rsidP="00EB094C">
      <w:pPr>
        <w:jc w:val="both"/>
      </w:pPr>
    </w:p>
    <w:p w14:paraId="5C420554" w14:textId="77777777" w:rsidR="00EB094C" w:rsidRDefault="00EB094C" w:rsidP="00EB094C">
      <w:pPr>
        <w:jc w:val="both"/>
      </w:pPr>
      <w:r w:rsidRPr="5B712038">
        <w:t>Further details on the new payment arrangements for contractors are outlined in this</w:t>
      </w:r>
      <w:r w:rsidRPr="5B712038">
        <w:rPr>
          <w:color w:val="444444"/>
        </w:rPr>
        <w:t xml:space="preserve"> </w:t>
      </w:r>
      <w:hyperlink r:id="rId14">
        <w:r w:rsidRPr="5B712038">
          <w:rPr>
            <w:rStyle w:val="Hyperlink"/>
            <w:b/>
            <w:bCs/>
          </w:rPr>
          <w:t>PSNC Briefing</w:t>
        </w:r>
      </w:hyperlink>
      <w:r w:rsidRPr="5B712038">
        <w:rPr>
          <w:color w:val="444444"/>
        </w:rPr>
        <w:t>.</w:t>
      </w:r>
      <w:r>
        <w:t xml:space="preserve"> </w:t>
      </w:r>
    </w:p>
    <w:p w14:paraId="6BD3544F" w14:textId="77777777" w:rsidR="00EB094C" w:rsidRDefault="00EB094C" w:rsidP="00EB094C">
      <w:pPr>
        <w:pStyle w:val="Heading3"/>
        <w:ind w:left="0"/>
        <w:rPr>
          <w:rFonts w:asciiTheme="minorHAnsi" w:eastAsiaTheme="minorEastAsia" w:hAnsiTheme="minorHAnsi" w:cstheme="minorBidi"/>
          <w:b w:val="0"/>
          <w:bCs w:val="0"/>
          <w:sz w:val="24"/>
          <w:szCs w:val="24"/>
        </w:rPr>
      </w:pPr>
      <w:bookmarkStart w:id="1" w:name="_Extended_submission_deadlines"/>
      <w:bookmarkEnd w:id="1"/>
      <w:r>
        <w:br/>
      </w:r>
      <w:r>
        <w:br/>
      </w:r>
      <w:r w:rsidRPr="00F42063">
        <w:rPr>
          <w:rStyle w:val="Heading4Char"/>
          <w:rFonts w:ascii="Calibri Light" w:hAnsi="Calibri Light" w:cs="Calibri Light"/>
          <w:b w:val="0"/>
          <w:bCs w:val="0"/>
          <w:sz w:val="32"/>
          <w:szCs w:val="32"/>
        </w:rPr>
        <w:t>Extended submission deadlines for bank holidays</w:t>
      </w:r>
      <w:r w:rsidRPr="00F42063">
        <w:rPr>
          <w:rStyle w:val="Heading4Char"/>
          <w:rFonts w:ascii="Calibri Light" w:hAnsi="Calibri Light" w:cs="Calibri Light"/>
          <w:b w:val="0"/>
          <w:bCs w:val="0"/>
          <w:sz w:val="32"/>
          <w:szCs w:val="32"/>
        </w:rPr>
        <w:br/>
      </w:r>
      <w:r>
        <w:br/>
      </w:r>
      <w:r w:rsidRPr="0DE9A70C">
        <w:rPr>
          <w:rFonts w:asciiTheme="minorHAnsi" w:eastAsiaTheme="minorEastAsia" w:hAnsiTheme="minorHAnsi" w:cstheme="minorBidi"/>
          <w:b w:val="0"/>
          <w:bCs w:val="0"/>
          <w:sz w:val="24"/>
          <w:szCs w:val="24"/>
        </w:rPr>
        <w:t>In months where a bank holiday occurs during the first five days of the month, contractors will be given an extra day to submit their FP34C and dispatch their prescription bundle. Advance payment date will remain as four working days after the extended submission deadline of the 6th.</w:t>
      </w:r>
    </w:p>
    <w:p w14:paraId="25565103" w14:textId="77777777" w:rsidR="00EB094C" w:rsidRDefault="00EB094C" w:rsidP="00EB094C">
      <w:pPr>
        <w:pStyle w:val="NoSpacing"/>
        <w:rPr>
          <w:rFonts w:ascii="Calibri Light" w:hAnsi="Calibri Light" w:cs="Calibri Light"/>
          <w:color w:val="2F5496" w:themeColor="accent1" w:themeShade="BF"/>
        </w:rPr>
      </w:pPr>
      <w:r>
        <w:br/>
      </w:r>
      <w:r w:rsidRPr="0DE9A70C">
        <w:t xml:space="preserve">Note: The requirement to submit electronic Claim Notification (CN) messages or Electronic Reimbursement. </w:t>
      </w:r>
      <w:r>
        <w:br/>
      </w:r>
    </w:p>
    <w:p w14:paraId="7B6EB2BC" w14:textId="77777777" w:rsidR="00EB094C" w:rsidRPr="00C40DFD" w:rsidRDefault="00EB094C" w:rsidP="00EB094C">
      <w:pPr>
        <w:pStyle w:val="Heading4"/>
        <w:rPr>
          <w:rFonts w:ascii="Calibri Light" w:hAnsi="Calibri Light" w:cs="Calibri Light"/>
          <w:i w:val="0"/>
          <w:iCs w:val="0"/>
          <w:sz w:val="32"/>
          <w:szCs w:val="32"/>
        </w:rPr>
      </w:pPr>
      <w:bookmarkStart w:id="2" w:name="_End_to_Pharmacy"/>
      <w:bookmarkEnd w:id="2"/>
      <w:r>
        <w:rPr>
          <w:rFonts w:ascii="Calibri Light" w:hAnsi="Calibri Light" w:cs="Calibri Light"/>
          <w:i w:val="0"/>
          <w:iCs w:val="0"/>
          <w:sz w:val="32"/>
          <w:szCs w:val="32"/>
        </w:rPr>
        <w:t>End to Pharmacy Earlier Payment Scheme</w:t>
      </w:r>
    </w:p>
    <w:p w14:paraId="60CBBD8C" w14:textId="77777777" w:rsidR="00EB094C" w:rsidRPr="00A413DB" w:rsidRDefault="00EB094C" w:rsidP="00EB094C">
      <w:pPr>
        <w:pStyle w:val="NoSpacing"/>
        <w:rPr>
          <w:rFonts w:ascii="Calibri Light" w:hAnsi="Calibri Light" w:cs="Calibri Light"/>
          <w:color w:val="2F5496" w:themeColor="accent1" w:themeShade="BF"/>
        </w:rPr>
      </w:pPr>
    </w:p>
    <w:p w14:paraId="03338964" w14:textId="77777777" w:rsidR="00EB094C" w:rsidRDefault="00EB094C" w:rsidP="00EB094C">
      <w:pPr>
        <w:pStyle w:val="NoSpacing"/>
        <w:rPr>
          <w:highlight w:val="yellow"/>
        </w:rPr>
      </w:pPr>
      <w:r w:rsidRPr="5B712038">
        <w:t xml:space="preserve">The Department of Health and Social Care (DHSC) gave notice of its intention to </w:t>
      </w:r>
      <w:r w:rsidRPr="5B712038">
        <w:rPr>
          <w:color w:val="201F1E"/>
          <w:lang w:val="en-US"/>
        </w:rPr>
        <w:t>end the Pharmacy Earlier Payment Scheme (PEPS)</w:t>
      </w:r>
      <w:r w:rsidRPr="5B712038">
        <w:t xml:space="preserve"> earlier this year. In August 2021, </w:t>
      </w:r>
      <w:hyperlink r:id="rId15">
        <w:r w:rsidRPr="5B712038">
          <w:rPr>
            <w:rStyle w:val="Hyperlink"/>
            <w:b/>
            <w:bCs/>
            <w:color w:val="4F3388"/>
          </w:rPr>
          <w:t>transition arrangements for existing PEPS pharmacy contractors were announced</w:t>
        </w:r>
      </w:hyperlink>
      <w:r w:rsidRPr="5B712038">
        <w:t>, alongside news that advance payments would be brought forward for all contractors from November 2021.</w:t>
      </w:r>
    </w:p>
    <w:p w14:paraId="6B2A7986" w14:textId="77777777" w:rsidR="00EB094C" w:rsidRDefault="00EB094C" w:rsidP="00EB094C">
      <w:pPr>
        <w:jc w:val="both"/>
        <w:rPr>
          <w:highlight w:val="yellow"/>
        </w:rPr>
      </w:pPr>
    </w:p>
    <w:p w14:paraId="5784EC5D" w14:textId="77777777" w:rsidR="00EB094C" w:rsidRDefault="00EB094C" w:rsidP="00EB094C">
      <w:pPr>
        <w:pStyle w:val="xmsonormal"/>
        <w:shd w:val="clear" w:color="auto" w:fill="FFFFFF" w:themeFill="background1"/>
        <w:jc w:val="both"/>
      </w:pPr>
      <w:r w:rsidRPr="5B712038">
        <w:rPr>
          <w:color w:val="000000" w:themeColor="text1"/>
        </w:rPr>
        <w:t>PEPS pharmacy contractors should note that their final PEPS payments were paid on 1 October 2021. From 1 November, a 12-month transition arrangement was agreed for existing PEPS pharmacy contractors to transfer over to the new earlier advance payment timetable available to </w:t>
      </w:r>
      <w:r w:rsidRPr="5B712038">
        <w:rPr>
          <w:rStyle w:val="Strong"/>
          <w:color w:val="000000" w:themeColor="text1"/>
        </w:rPr>
        <w:t>ALL</w:t>
      </w:r>
      <w:r w:rsidRPr="5B712038">
        <w:rPr>
          <w:color w:val="000000" w:themeColor="text1"/>
        </w:rPr>
        <w:t> contractors from November 2021. Contractors signed up to PEPS received a </w:t>
      </w:r>
      <w:r w:rsidRPr="5B712038">
        <w:rPr>
          <w:b/>
          <w:bCs/>
          <w:color w:val="000000" w:themeColor="text1"/>
        </w:rPr>
        <w:t>one-off payment on 1 November 2021</w:t>
      </w:r>
      <w:r w:rsidRPr="5B712038">
        <w:rPr>
          <w:color w:val="000000" w:themeColor="text1"/>
        </w:rPr>
        <w:t> which is set at 92% of the PEPS pharmacy contractor’s payment received on 1 October 2021. The one-off payment will be recovered in equal parts over 11 months – last recovery payment on 30 September 2022.</w:t>
      </w:r>
    </w:p>
    <w:p w14:paraId="216C7EBC" w14:textId="77777777" w:rsidR="00EB094C" w:rsidRDefault="00EB094C" w:rsidP="00EB094C">
      <w:pPr>
        <w:pStyle w:val="xmsonormal"/>
        <w:jc w:val="both"/>
      </w:pPr>
      <w:r w:rsidRPr="5B712038">
        <w:rPr>
          <w:color w:val="000000" w:themeColor="text1"/>
          <w:sz w:val="24"/>
          <w:szCs w:val="24"/>
        </w:rPr>
        <w:t> </w:t>
      </w:r>
    </w:p>
    <w:p w14:paraId="5A46A8B2" w14:textId="77777777" w:rsidR="00EB094C" w:rsidRDefault="00EB094C" w:rsidP="00EB094C">
      <w:pPr>
        <w:jc w:val="both"/>
      </w:pPr>
      <w:r w:rsidRPr="5B712038">
        <w:t>PSNC has produced a cashflow model which, sets out the implications of these changes for PEPS contractors. The documents provide timelines of the transition away from the PEPS payment timetable to help affected contractors to understand changes in the timing of their payments so they can prepare accordingly.</w:t>
      </w:r>
    </w:p>
    <w:p w14:paraId="63C2898E" w14:textId="77777777" w:rsidR="00EB094C" w:rsidRDefault="00EB094C" w:rsidP="00EB094C">
      <w:pPr>
        <w:jc w:val="both"/>
      </w:pPr>
    </w:p>
    <w:p w14:paraId="39240512" w14:textId="77777777" w:rsidR="00EB094C" w:rsidRDefault="00933807" w:rsidP="00EB094C">
      <w:pPr>
        <w:jc w:val="both"/>
      </w:pPr>
      <w:hyperlink r:id="rId16">
        <w:r w:rsidR="00EB094C" w:rsidRPr="5B712038">
          <w:rPr>
            <w:rStyle w:val="Hyperlink"/>
            <w:b/>
            <w:bCs/>
            <w:color w:val="4F3388"/>
          </w:rPr>
          <w:t>PSNC Briefing: 037/21: PEPS cashflow</w:t>
        </w:r>
      </w:hyperlink>
    </w:p>
    <w:p w14:paraId="35E36060" w14:textId="77777777" w:rsidR="00EB094C" w:rsidRDefault="00EB094C" w:rsidP="00EB094C">
      <w:pPr>
        <w:jc w:val="both"/>
      </w:pPr>
    </w:p>
    <w:p w14:paraId="6EF51EBC" w14:textId="77777777" w:rsidR="00EB094C" w:rsidRDefault="00933807" w:rsidP="00EB094C">
      <w:pPr>
        <w:jc w:val="both"/>
        <w:rPr>
          <w:lang w:val="en-US"/>
        </w:rPr>
      </w:pPr>
      <w:hyperlink r:id="rId17">
        <w:r w:rsidR="00EB094C" w:rsidRPr="0DE9A70C">
          <w:rPr>
            <w:rStyle w:val="Hyperlink"/>
            <w:b/>
            <w:bCs/>
            <w:color w:val="4F3388"/>
          </w:rPr>
          <w:t>Cashflow model: transition from PEPS to Drug Tariff timeline</w:t>
        </w:r>
      </w:hyperlink>
    </w:p>
    <w:p w14:paraId="4CA906A9" w14:textId="77777777" w:rsidR="00EB094C" w:rsidRDefault="00EB094C" w:rsidP="00EB094C">
      <w:pPr>
        <w:pStyle w:val="xmsonormal"/>
        <w:jc w:val="both"/>
        <w:rPr>
          <w:rFonts w:ascii="Calibri Light" w:eastAsia="Calibri" w:hAnsi="Calibri Light" w:cs="Calibri Light"/>
          <w:color w:val="2F5496" w:themeColor="accent1" w:themeShade="BF"/>
          <w:sz w:val="32"/>
          <w:szCs w:val="32"/>
          <w:lang w:bidi="en-US"/>
        </w:rPr>
      </w:pPr>
      <w:r>
        <w:br/>
      </w:r>
    </w:p>
    <w:p w14:paraId="0B715EAF" w14:textId="77777777" w:rsidR="00EB094C" w:rsidRDefault="00EB094C" w:rsidP="00EB094C">
      <w:pPr>
        <w:pStyle w:val="Heading4"/>
        <w:rPr>
          <w:rFonts w:ascii="Calibri Light" w:hAnsi="Calibri Light" w:cs="Calibri Light"/>
          <w:i w:val="0"/>
          <w:iCs w:val="0"/>
          <w:sz w:val="32"/>
          <w:szCs w:val="32"/>
        </w:rPr>
      </w:pPr>
      <w:bookmarkStart w:id="3" w:name="_Updated_prescription_sorting"/>
      <w:bookmarkEnd w:id="3"/>
      <w:r>
        <w:rPr>
          <w:rFonts w:ascii="Calibri Light" w:hAnsi="Calibri Light" w:cs="Calibri Light"/>
          <w:i w:val="0"/>
          <w:iCs w:val="0"/>
          <w:sz w:val="32"/>
          <w:szCs w:val="32"/>
        </w:rPr>
        <w:t>Updated prescription sorting and red separator requirements</w:t>
      </w:r>
    </w:p>
    <w:p w14:paraId="174A1886" w14:textId="77777777" w:rsidR="00EB094C" w:rsidRDefault="00EB094C" w:rsidP="00EB094C"/>
    <w:p w14:paraId="109B81F5" w14:textId="77777777" w:rsidR="00EB094C" w:rsidRDefault="00EB094C" w:rsidP="00EB094C">
      <w:pPr>
        <w:pStyle w:val="xxxmsonormal"/>
        <w:shd w:val="clear" w:color="auto" w:fill="FFFFFF"/>
        <w:jc w:val="both"/>
      </w:pPr>
      <w:r>
        <w:rPr>
          <w:color w:val="201F1E"/>
        </w:rPr>
        <w:t>For end of month submission processes, </w:t>
      </w:r>
      <w:r>
        <w:rPr>
          <w:color w:val="201F1E"/>
          <w:shd w:val="clear" w:color="auto" w:fill="FFFFFF"/>
        </w:rPr>
        <w:t>effective from October 2021, </w:t>
      </w:r>
      <w:r>
        <w:rPr>
          <w:color w:val="201F1E"/>
        </w:rPr>
        <w:t>pharmacy contractors are reminded of the changes to the prescriptions sorting requirements which </w:t>
      </w:r>
      <w:r>
        <w:rPr>
          <w:b/>
          <w:bCs/>
          <w:color w:val="201F1E"/>
        </w:rPr>
        <w:t>removes the need for pharmacy staff to sort paper FP10 forms by form type (FP10SS PN/SP/HP and FP10D) or by prescriber surname</w:t>
      </w:r>
      <w:r>
        <w:rPr>
          <w:color w:val="201F1E"/>
        </w:rPr>
        <w:t>. Before the prescription bundle is dispatched to the NHSBSA, all paper prescriptions must continue to be sorted into their relevant patient charge/exempt groups and any FP10MDA instalment dispensing forms must continue to be sorted separately.</w:t>
      </w:r>
    </w:p>
    <w:p w14:paraId="38D54D1A" w14:textId="77777777" w:rsidR="00EB094C" w:rsidRDefault="00EB094C" w:rsidP="00EB094C">
      <w:pPr>
        <w:pStyle w:val="xxxmsonormal"/>
        <w:shd w:val="clear" w:color="auto" w:fill="FFFFFF"/>
        <w:jc w:val="both"/>
      </w:pPr>
      <w:r>
        <w:rPr>
          <w:color w:val="201F1E"/>
        </w:rPr>
        <w:t> </w:t>
      </w:r>
    </w:p>
    <w:p w14:paraId="69FBA1A7" w14:textId="77777777" w:rsidR="00EB094C" w:rsidRDefault="00EB094C" w:rsidP="00EB094C">
      <w:pPr>
        <w:pStyle w:val="xxxmsonormal"/>
        <w:shd w:val="clear" w:color="auto" w:fill="FFFFFF" w:themeFill="background1"/>
        <w:jc w:val="both"/>
        <w:rPr>
          <w:rFonts w:eastAsia="Calibri"/>
          <w:lang w:val="en-US"/>
        </w:rPr>
      </w:pPr>
      <w:r w:rsidRPr="5B712038">
        <w:rPr>
          <w:color w:val="201F1E"/>
        </w:rPr>
        <w:t>In addition, the criteria for inclusion of certain forms to red separators has been expanded to include </w:t>
      </w:r>
      <w:r w:rsidRPr="5B712038">
        <w:rPr>
          <w:rStyle w:val="Strong"/>
          <w:color w:val="201F1E"/>
        </w:rPr>
        <w:t>Bulk prescriptions and forms issued by Her Majesty’s Prison Service, annotated ‘HMP’</w:t>
      </w:r>
      <w:r w:rsidRPr="5B712038">
        <w:rPr>
          <w:color w:val="201F1E"/>
        </w:rPr>
        <w:t> </w:t>
      </w:r>
      <w:r w:rsidRPr="5B712038">
        <w:rPr>
          <w:rStyle w:val="Strong"/>
          <w:color w:val="201F1E"/>
        </w:rPr>
        <w:t>in the practice address box</w:t>
      </w:r>
      <w:r w:rsidRPr="5B712038">
        <w:rPr>
          <w:color w:val="201F1E"/>
        </w:rPr>
        <w:t>. These prescriptions should be placed in the red separator for </w:t>
      </w:r>
      <w:r w:rsidRPr="5B712038">
        <w:rPr>
          <w:rStyle w:val="Strong"/>
          <w:color w:val="201F1E"/>
        </w:rPr>
        <w:t>exempt</w:t>
      </w:r>
      <w:r w:rsidRPr="5B712038">
        <w:rPr>
          <w:color w:val="201F1E"/>
        </w:rPr>
        <w:t xml:space="preserve"> prescriptions. </w:t>
      </w:r>
      <w:r w:rsidRPr="5B712038">
        <w:rPr>
          <w:lang w:val="en-US"/>
        </w:rPr>
        <w:t xml:space="preserve">Placing Bulk and HMP Service-issued prescriptions in the exempt red separator will ensure that these forms are subjected to additional checks by operators at the NHS Business Services Authority (NHSBSA). </w:t>
      </w:r>
    </w:p>
    <w:p w14:paraId="7575813F" w14:textId="77777777" w:rsidR="00EB094C" w:rsidRDefault="00EB094C" w:rsidP="00EB094C">
      <w:pPr>
        <w:pStyle w:val="xxxmsonormal"/>
        <w:shd w:val="clear" w:color="auto" w:fill="FFFFFF" w:themeFill="background1"/>
        <w:jc w:val="both"/>
        <w:rPr>
          <w:lang w:val="en-US"/>
        </w:rPr>
      </w:pPr>
    </w:p>
    <w:p w14:paraId="37EC3836" w14:textId="77777777" w:rsidR="00EB094C" w:rsidRDefault="00EB094C" w:rsidP="00EB094C">
      <w:pPr>
        <w:pStyle w:val="xxxmsonormal"/>
        <w:shd w:val="clear" w:color="auto" w:fill="FFFFFF" w:themeFill="background1"/>
        <w:jc w:val="both"/>
        <w:rPr>
          <w:rFonts w:eastAsia="Calibri"/>
          <w:lang w:val="en-US"/>
        </w:rPr>
      </w:pPr>
      <w:r w:rsidRPr="5B712038">
        <w:rPr>
          <w:lang w:val="en-US"/>
        </w:rPr>
        <w:t>Note: there is no specific exemption category to mark on the reverse of paper prescriptions for Bulk and HMP forms.</w:t>
      </w:r>
    </w:p>
    <w:p w14:paraId="7C353FDD" w14:textId="77777777" w:rsidR="00EB094C" w:rsidRDefault="00EB094C" w:rsidP="00EB094C">
      <w:pPr>
        <w:pStyle w:val="xxxmsonormal"/>
        <w:shd w:val="clear" w:color="auto" w:fill="FFFFFF"/>
        <w:jc w:val="both"/>
      </w:pPr>
      <w:r>
        <w:rPr>
          <w:color w:val="201F1E"/>
        </w:rPr>
        <w:t> </w:t>
      </w:r>
    </w:p>
    <w:p w14:paraId="21DFEFBB" w14:textId="77777777" w:rsidR="00EB094C" w:rsidRDefault="00EB094C" w:rsidP="00EB094C">
      <w:pPr>
        <w:pStyle w:val="xxmsonormal"/>
        <w:shd w:val="clear" w:color="auto" w:fill="FFFFFF"/>
        <w:jc w:val="both"/>
      </w:pPr>
      <w:r>
        <w:rPr>
          <w:color w:val="201F1E"/>
          <w:shd w:val="clear" w:color="auto" w:fill="FFFFFF"/>
        </w:rPr>
        <w:t>Read more on the changes to sorting and submission requirements</w:t>
      </w:r>
      <w:r>
        <w:rPr>
          <w:color w:val="201F1E"/>
        </w:rPr>
        <w:t> </w:t>
      </w:r>
      <w:hyperlink r:id="rId18" w:tooltip="https://psnc.org.uk/dispensing-supply/payment-accuracy/prescription-submission/prescription-submission-requirements/" w:history="1">
        <w:r>
          <w:rPr>
            <w:rStyle w:val="Hyperlink"/>
          </w:rPr>
          <w:t>here</w:t>
        </w:r>
      </w:hyperlink>
      <w:r>
        <w:rPr>
          <w:color w:val="201F1E"/>
          <w:shd w:val="clear" w:color="auto" w:fill="FFFFFF"/>
        </w:rPr>
        <w:t>.</w:t>
      </w:r>
    </w:p>
    <w:p w14:paraId="26FCA8E2" w14:textId="77777777" w:rsidR="00EB094C" w:rsidRDefault="00EB094C" w:rsidP="00EB094C">
      <w:pPr>
        <w:pStyle w:val="NoSpacing"/>
      </w:pPr>
    </w:p>
    <w:p w14:paraId="45E7B8AC" w14:textId="77777777" w:rsidR="00EB094C" w:rsidRDefault="00EB094C" w:rsidP="00EB094C">
      <w:pPr>
        <w:pStyle w:val="NoSpacing"/>
      </w:pPr>
    </w:p>
    <w:p w14:paraId="65A47EC4" w14:textId="77777777" w:rsidR="00EB094C" w:rsidRDefault="00EB094C" w:rsidP="00EB094C">
      <w:pPr>
        <w:pStyle w:val="Heading4"/>
        <w:rPr>
          <w:rFonts w:ascii="Calibri Light" w:hAnsi="Calibri Light" w:cs="Calibri Light"/>
          <w:i w:val="0"/>
          <w:iCs w:val="0"/>
          <w:sz w:val="32"/>
          <w:szCs w:val="32"/>
        </w:rPr>
      </w:pPr>
      <w:bookmarkStart w:id="4" w:name="_Updated_paper_FP34C"/>
      <w:bookmarkEnd w:id="4"/>
      <w:r>
        <w:rPr>
          <w:rFonts w:ascii="Calibri Light" w:hAnsi="Calibri Light" w:cs="Calibri Light"/>
          <w:i w:val="0"/>
          <w:iCs w:val="0"/>
          <w:sz w:val="32"/>
          <w:szCs w:val="32"/>
        </w:rPr>
        <w:t>Updated paper FP34C form</w:t>
      </w:r>
    </w:p>
    <w:p w14:paraId="72A00EB3" w14:textId="77777777" w:rsidR="00EB094C" w:rsidRDefault="00EB094C" w:rsidP="00EB094C">
      <w:pPr>
        <w:pStyle w:val="NoSpacing"/>
        <w:spacing w:line="259" w:lineRule="auto"/>
        <w:rPr>
          <w:rFonts w:eastAsiaTheme="minorEastAsia"/>
          <w:b/>
          <w:bCs/>
        </w:rPr>
      </w:pPr>
      <w:r>
        <w:br/>
      </w:r>
      <w:r w:rsidRPr="0DE9A70C">
        <w:rPr>
          <w:rFonts w:eastAsiaTheme="minorEastAsia"/>
        </w:rPr>
        <w:t xml:space="preserve">From October 2021, the NHSBSA </w:t>
      </w:r>
      <w:r>
        <w:rPr>
          <w:rFonts w:eastAsiaTheme="minorEastAsia"/>
        </w:rPr>
        <w:t>posted</w:t>
      </w:r>
      <w:r w:rsidRPr="0DE9A70C">
        <w:rPr>
          <w:rFonts w:eastAsiaTheme="minorEastAsia"/>
        </w:rPr>
        <w:t xml:space="preserve"> out a </w:t>
      </w:r>
      <w:r w:rsidRPr="0DE9A70C">
        <w:rPr>
          <w:rFonts w:eastAsiaTheme="minorEastAsia"/>
          <w:b/>
          <w:bCs/>
        </w:rPr>
        <w:t>new version of the paper FP34C form to all contractors</w:t>
      </w:r>
      <w:r w:rsidRPr="0DE9A70C">
        <w:rPr>
          <w:rFonts w:eastAsiaTheme="minorEastAsia"/>
        </w:rPr>
        <w:t>.</w:t>
      </w:r>
      <w:r>
        <w:br/>
      </w:r>
    </w:p>
    <w:p w14:paraId="0160DFA5" w14:textId="77777777" w:rsidR="00EB094C" w:rsidRDefault="00EB094C" w:rsidP="00EB094C">
      <w:pPr>
        <w:jc w:val="both"/>
        <w:rPr>
          <w:color w:val="444444"/>
          <w:sz w:val="24"/>
          <w:szCs w:val="24"/>
        </w:rPr>
      </w:pPr>
      <w:r w:rsidRPr="5B712038">
        <w:rPr>
          <w:rFonts w:eastAsiaTheme="minorEastAsia"/>
        </w:rPr>
        <w:t xml:space="preserve">The updated paper FP34C </w:t>
      </w:r>
      <w:r>
        <w:rPr>
          <w:rFonts w:eastAsiaTheme="minorEastAsia"/>
        </w:rPr>
        <w:t>has</w:t>
      </w:r>
      <w:r w:rsidRPr="5B712038">
        <w:rPr>
          <w:rFonts w:eastAsiaTheme="minorEastAsia"/>
        </w:rPr>
        <w:t xml:space="preserve"> the following new fields to bring it in line with MYS:</w:t>
      </w:r>
    </w:p>
    <w:p w14:paraId="7C705EBB" w14:textId="77777777" w:rsidR="00EB094C" w:rsidRDefault="00EB094C" w:rsidP="00E30D53">
      <w:pPr>
        <w:pStyle w:val="ListParagraph"/>
        <w:widowControl w:val="0"/>
        <w:numPr>
          <w:ilvl w:val="0"/>
          <w:numId w:val="9"/>
        </w:numPr>
        <w:autoSpaceDE w:val="0"/>
        <w:autoSpaceDN w:val="0"/>
        <w:spacing w:after="0" w:line="240" w:lineRule="auto"/>
        <w:contextualSpacing w:val="0"/>
        <w:jc w:val="both"/>
        <w:rPr>
          <w:rFonts w:eastAsiaTheme="minorEastAsia"/>
        </w:rPr>
      </w:pPr>
      <w:r w:rsidRPr="5B712038">
        <w:rPr>
          <w:rFonts w:eastAsiaTheme="minorEastAsia"/>
        </w:rPr>
        <w:t>addition of No. of supplies made in accordance with Serious Shortage Protocols (SSP) declaration (this will also appear on the MYS submission portal)</w:t>
      </w:r>
    </w:p>
    <w:p w14:paraId="7DEF2910" w14:textId="77777777" w:rsidR="00EB094C" w:rsidRDefault="00EB094C" w:rsidP="00E30D53">
      <w:pPr>
        <w:pStyle w:val="ListParagraph"/>
        <w:widowControl w:val="0"/>
        <w:numPr>
          <w:ilvl w:val="0"/>
          <w:numId w:val="9"/>
        </w:numPr>
        <w:autoSpaceDE w:val="0"/>
        <w:autoSpaceDN w:val="0"/>
        <w:spacing w:after="0" w:line="240" w:lineRule="auto"/>
        <w:contextualSpacing w:val="0"/>
        <w:jc w:val="both"/>
        <w:rPr>
          <w:rFonts w:eastAsiaTheme="minorEastAsia"/>
        </w:rPr>
      </w:pPr>
      <w:r w:rsidRPr="5B712038">
        <w:rPr>
          <w:rFonts w:eastAsiaTheme="minorEastAsia"/>
        </w:rPr>
        <w:t xml:space="preserve">removal of ETP Token for non-payment, Repeat Authorising </w:t>
      </w:r>
      <w:proofErr w:type="gramStart"/>
      <w:r w:rsidRPr="5B712038">
        <w:rPr>
          <w:rFonts w:eastAsiaTheme="minorEastAsia"/>
        </w:rPr>
        <w:t>forms</w:t>
      </w:r>
      <w:proofErr w:type="gramEnd"/>
      <w:r w:rsidRPr="5B712038">
        <w:rPr>
          <w:rFonts w:eastAsiaTheme="minorEastAsia"/>
        </w:rPr>
        <w:t xml:space="preserve"> and EPS release 2 Claim messages tick boxes.</w:t>
      </w:r>
    </w:p>
    <w:p w14:paraId="5B073D3A" w14:textId="77777777" w:rsidR="00EB094C" w:rsidRDefault="00EB094C" w:rsidP="00E30D53">
      <w:pPr>
        <w:pStyle w:val="ListParagraph"/>
        <w:widowControl w:val="0"/>
        <w:numPr>
          <w:ilvl w:val="0"/>
          <w:numId w:val="9"/>
        </w:numPr>
        <w:autoSpaceDE w:val="0"/>
        <w:autoSpaceDN w:val="0"/>
        <w:spacing w:after="0" w:line="240" w:lineRule="auto"/>
        <w:contextualSpacing w:val="0"/>
        <w:jc w:val="both"/>
        <w:rPr>
          <w:rFonts w:eastAsiaTheme="minorEastAsia"/>
        </w:rPr>
      </w:pPr>
      <w:r w:rsidRPr="5B712038">
        <w:rPr>
          <w:rFonts w:eastAsiaTheme="minorEastAsia"/>
        </w:rPr>
        <w:t>removal of MUR and staff hour declaration</w:t>
      </w:r>
    </w:p>
    <w:p w14:paraId="3FC4C1FF" w14:textId="77777777" w:rsidR="00EB094C" w:rsidRDefault="00EB094C" w:rsidP="00EB094C">
      <w:pPr>
        <w:jc w:val="both"/>
        <w:rPr>
          <w:rFonts w:eastAsiaTheme="minorEastAsia"/>
        </w:rPr>
      </w:pPr>
    </w:p>
    <w:p w14:paraId="7A532B00" w14:textId="77777777" w:rsidR="00EB094C" w:rsidRDefault="00EB094C" w:rsidP="00EB094C">
      <w:pPr>
        <w:jc w:val="both"/>
        <w:rPr>
          <w:color w:val="444444"/>
          <w:sz w:val="24"/>
          <w:szCs w:val="24"/>
        </w:rPr>
      </w:pPr>
      <w:r w:rsidRPr="5B712038">
        <w:rPr>
          <w:rFonts w:eastAsiaTheme="minorEastAsia"/>
        </w:rPr>
        <w:t xml:space="preserve">The form </w:t>
      </w:r>
      <w:r>
        <w:rPr>
          <w:rFonts w:eastAsiaTheme="minorEastAsia"/>
        </w:rPr>
        <w:t>also</w:t>
      </w:r>
      <w:r w:rsidRPr="5B712038">
        <w:rPr>
          <w:rFonts w:eastAsiaTheme="minorEastAsia"/>
        </w:rPr>
        <w:t xml:space="preserve"> separate</w:t>
      </w:r>
      <w:r>
        <w:rPr>
          <w:rFonts w:eastAsiaTheme="minorEastAsia"/>
        </w:rPr>
        <w:t>s</w:t>
      </w:r>
      <w:r w:rsidRPr="5B712038">
        <w:rPr>
          <w:rFonts w:eastAsiaTheme="minorEastAsia"/>
        </w:rPr>
        <w:t xml:space="preserve"> EPS and paper prescription figures to assist contractors with </w:t>
      </w:r>
      <w:hyperlink r:id="rId19">
        <w:r w:rsidRPr="5B712038">
          <w:rPr>
            <w:rStyle w:val="Hyperlink"/>
            <w:rFonts w:eastAsiaTheme="minorEastAsia"/>
            <w:b/>
            <w:bCs/>
          </w:rPr>
          <w:t>totals reconciliations</w:t>
        </w:r>
      </w:hyperlink>
      <w:r w:rsidRPr="5B712038">
        <w:rPr>
          <w:rFonts w:eastAsiaTheme="minorEastAsia"/>
        </w:rPr>
        <w:t xml:space="preserve"> and </w:t>
      </w:r>
      <w:hyperlink r:id="rId20">
        <w:r w:rsidRPr="5B712038">
          <w:rPr>
            <w:rStyle w:val="Hyperlink"/>
            <w:rFonts w:eastAsiaTheme="minorEastAsia"/>
            <w:b/>
            <w:bCs/>
          </w:rPr>
          <w:t>checking EPS totals</w:t>
        </w:r>
      </w:hyperlink>
      <w:r w:rsidRPr="5B712038">
        <w:rPr>
          <w:rFonts w:eastAsiaTheme="minorEastAsia"/>
        </w:rPr>
        <w:t xml:space="preserve"> are as expected.</w:t>
      </w:r>
    </w:p>
    <w:p w14:paraId="63A59742" w14:textId="77777777" w:rsidR="00EB094C" w:rsidRDefault="00EB094C" w:rsidP="00EB094C">
      <w:pPr>
        <w:jc w:val="both"/>
      </w:pPr>
    </w:p>
    <w:p w14:paraId="62A8AD58" w14:textId="77777777" w:rsidR="00EB094C" w:rsidRDefault="00EB094C" w:rsidP="00EB094C">
      <w:pPr>
        <w:jc w:val="both"/>
        <w:rPr>
          <w:b/>
          <w:bCs/>
          <w:color w:val="444444"/>
          <w:sz w:val="24"/>
          <w:szCs w:val="24"/>
        </w:rPr>
      </w:pPr>
      <w:r w:rsidRPr="5B712038">
        <w:rPr>
          <w:rFonts w:eastAsiaTheme="minorEastAsia"/>
        </w:rPr>
        <w:t xml:space="preserve">Wording in the ‘sorting and submissions of forms’ section updated to include information on the ETP token submission requirements. </w:t>
      </w:r>
      <w:r w:rsidRPr="5B712038">
        <w:rPr>
          <w:rFonts w:eastAsiaTheme="minorEastAsia"/>
          <w:b/>
          <w:bCs/>
        </w:rPr>
        <w:t xml:space="preserve">Each month, contractors must submit tokens for non-payment excluding those </w:t>
      </w:r>
      <w:r w:rsidRPr="5B712038">
        <w:rPr>
          <w:rFonts w:eastAsiaTheme="minorEastAsia"/>
          <w:b/>
          <w:bCs/>
        </w:rPr>
        <w:lastRenderedPageBreak/>
        <w:t>for age exempt patients, prescriptions where only free-of-charge (FOC) items are prescribed and where Real Time Exemption Checking (RTEC) confirms an exemption.</w:t>
      </w:r>
    </w:p>
    <w:p w14:paraId="7C0EF829" w14:textId="77777777" w:rsidR="00EB094C" w:rsidRDefault="00EB094C" w:rsidP="00EB094C">
      <w:pPr>
        <w:rPr>
          <w:rFonts w:eastAsiaTheme="minorEastAsia"/>
        </w:rPr>
      </w:pPr>
    </w:p>
    <w:p w14:paraId="65532C03" w14:textId="77777777" w:rsidR="00EB094C" w:rsidRDefault="00EB094C" w:rsidP="00EB094C">
      <w:pPr>
        <w:rPr>
          <w:color w:val="444444"/>
          <w:sz w:val="32"/>
          <w:szCs w:val="32"/>
        </w:rPr>
      </w:pPr>
      <w:r w:rsidRPr="5B712038">
        <w:rPr>
          <w:rFonts w:eastAsiaTheme="minorEastAsia"/>
        </w:rPr>
        <w:t>Note: Pharmacy contractors who continue to use the paper FP34C submission route will not be eligible for the early advance payments.</w:t>
      </w:r>
    </w:p>
    <w:p w14:paraId="42CC5751" w14:textId="77777777" w:rsidR="00EB094C" w:rsidRDefault="00EB094C" w:rsidP="00EB094C">
      <w:pPr>
        <w:jc w:val="both"/>
        <w:rPr>
          <w:color w:val="444444"/>
          <w:sz w:val="32"/>
          <w:szCs w:val="32"/>
        </w:rPr>
      </w:pPr>
      <w:r>
        <w:br/>
      </w:r>
      <w:r w:rsidRPr="5B712038">
        <w:rPr>
          <w:rFonts w:eastAsiaTheme="minorEastAsia"/>
        </w:rPr>
        <w:t xml:space="preserve">Please see PSNC’s updated </w:t>
      </w:r>
      <w:hyperlink r:id="rId21">
        <w:r w:rsidRPr="5B712038">
          <w:rPr>
            <w:rStyle w:val="Hyperlink"/>
            <w:rFonts w:eastAsiaTheme="minorEastAsia"/>
            <w:b/>
            <w:bCs/>
          </w:rPr>
          <w:t>Changes to the paper FP34C submission document (from October 2021) factsheet</w:t>
        </w:r>
      </w:hyperlink>
      <w:r w:rsidRPr="5B712038">
        <w:rPr>
          <w:rFonts w:eastAsiaTheme="minorEastAsia"/>
        </w:rPr>
        <w:t xml:space="preserve"> for more information</w:t>
      </w:r>
    </w:p>
    <w:p w14:paraId="343E8B4E" w14:textId="77777777" w:rsidR="00EB094C" w:rsidRDefault="00EB094C" w:rsidP="00EB094C">
      <w:pPr>
        <w:pStyle w:val="NoSpacing"/>
        <w:spacing w:line="259" w:lineRule="auto"/>
        <w:rPr>
          <w:rFonts w:eastAsiaTheme="minorEastAsia"/>
          <w:color w:val="2F5496" w:themeColor="accent1" w:themeShade="BF"/>
        </w:rPr>
      </w:pPr>
    </w:p>
    <w:p w14:paraId="5E72F0BF" w14:textId="77777777" w:rsidR="00EB094C" w:rsidRPr="008719E6" w:rsidRDefault="00EB094C" w:rsidP="00EB094C">
      <w:pPr>
        <w:jc w:val="both"/>
        <w:rPr>
          <w:highlight w:val="yellow"/>
        </w:rPr>
      </w:pPr>
    </w:p>
    <w:p w14:paraId="7A8ABF2D" w14:textId="77777777" w:rsidR="00EB094C" w:rsidRDefault="00EB094C" w:rsidP="00EB094C">
      <w:pPr>
        <w:pStyle w:val="Heading4"/>
        <w:rPr>
          <w:rFonts w:ascii="Calibri Light" w:hAnsi="Calibri Light" w:cs="Calibri Light"/>
          <w:i w:val="0"/>
          <w:iCs w:val="0"/>
          <w:sz w:val="32"/>
          <w:szCs w:val="32"/>
        </w:rPr>
      </w:pPr>
      <w:bookmarkStart w:id="5" w:name="_Post_Payment_Verification"/>
      <w:bookmarkEnd w:id="5"/>
      <w:r>
        <w:rPr>
          <w:rFonts w:ascii="Calibri Light" w:hAnsi="Calibri Light" w:cs="Calibri Light"/>
          <w:i w:val="0"/>
          <w:iCs w:val="0"/>
          <w:sz w:val="32"/>
          <w:szCs w:val="32"/>
        </w:rPr>
        <w:t>Post Payment Verification (PPV) activity for Out of Pocket (OOP) expense claims</w:t>
      </w:r>
    </w:p>
    <w:p w14:paraId="37D521DA" w14:textId="77777777" w:rsidR="00EB094C" w:rsidRDefault="00EB094C" w:rsidP="00EB094C">
      <w:pPr>
        <w:pStyle w:val="NoSpacing"/>
        <w:rPr>
          <w:rFonts w:ascii="Calibri Light" w:eastAsia="Calibri Light" w:hAnsi="Calibri Light" w:cs="Calibri Light"/>
          <w:color w:val="1F487C"/>
        </w:rPr>
      </w:pPr>
    </w:p>
    <w:p w14:paraId="06806F75" w14:textId="77777777" w:rsidR="00EB094C" w:rsidRDefault="00EB094C" w:rsidP="00EB094C">
      <w:pPr>
        <w:pStyle w:val="NoSpacing"/>
        <w:jc w:val="both"/>
        <w:rPr>
          <w:lang w:eastAsia="en-GB"/>
        </w:rPr>
      </w:pPr>
      <w:r>
        <w:rPr>
          <w:lang w:eastAsia="en-GB"/>
        </w:rPr>
        <w:t>The Provider Assurance team, part of the NHS Business Services Authority (NHSBSA), has started undertaking a review of Out of Pocket (OOP) expense claims.</w:t>
      </w:r>
    </w:p>
    <w:p w14:paraId="08408505" w14:textId="77777777" w:rsidR="00EB094C" w:rsidRDefault="00EB094C" w:rsidP="00EB094C">
      <w:pPr>
        <w:pStyle w:val="NoSpacing"/>
        <w:jc w:val="both"/>
        <w:rPr>
          <w:lang w:eastAsia="en-GB"/>
        </w:rPr>
      </w:pPr>
    </w:p>
    <w:p w14:paraId="2E3BB60F" w14:textId="77777777" w:rsidR="00EB094C" w:rsidRDefault="00EB094C" w:rsidP="00EB094C">
      <w:pPr>
        <w:pStyle w:val="NoSpacing"/>
        <w:jc w:val="both"/>
        <w:rPr>
          <w:lang w:eastAsia="en-GB"/>
        </w:rPr>
      </w:pPr>
      <w:r>
        <w:rPr>
          <w:lang w:eastAsia="en-GB"/>
        </w:rPr>
        <w:t>The review, commissioned by NHS England and NHS Improvement (NHSE&amp;I), covers OOP expense claims submitted by contractors over two periods, between February 2019 – January 2020, and February 2020 – January 2021. For the two review periods, the Post Payment Verification (PPV) activity has identified a few outlier pharmacies with significantly higher OOP expense claims compared to other pharmacies.</w:t>
      </w:r>
    </w:p>
    <w:p w14:paraId="43C41B7D" w14:textId="77777777" w:rsidR="00EB094C" w:rsidRDefault="00EB094C" w:rsidP="00EB094C">
      <w:pPr>
        <w:pStyle w:val="NoSpacing"/>
        <w:jc w:val="both"/>
        <w:rPr>
          <w:lang w:eastAsia="en-GB"/>
        </w:rPr>
      </w:pPr>
    </w:p>
    <w:p w14:paraId="555F7389" w14:textId="77777777" w:rsidR="00EB094C" w:rsidRDefault="00EB094C" w:rsidP="00EB094C">
      <w:pPr>
        <w:pStyle w:val="NoSpacing"/>
        <w:jc w:val="both"/>
        <w:rPr>
          <w:lang w:eastAsia="en-GB"/>
        </w:rPr>
      </w:pPr>
      <w:r>
        <w:rPr>
          <w:lang w:eastAsia="en-GB"/>
        </w:rPr>
        <w:t xml:space="preserve">PSNC has been consulted on the proposed verification process and has sought to ensure the process is appropriately targeted, proportionate and fair to those contractors asked to provide records (as well as fair to the commissioner and public purse). The PPV approach for OOP expenses will target a relatively small cohort of pharmacies nationwide having very high values of claims during one, or </w:t>
      </w:r>
      <w:proofErr w:type="gramStart"/>
      <w:r>
        <w:rPr>
          <w:lang w:eastAsia="en-GB"/>
        </w:rPr>
        <w:t>both of the review</w:t>
      </w:r>
      <w:proofErr w:type="gramEnd"/>
      <w:r>
        <w:rPr>
          <w:lang w:eastAsia="en-GB"/>
        </w:rPr>
        <w:t xml:space="preserve"> periods. The NHSBSA will shortly be writing to a small number of contractors identified with very high values of OOP expense claims, setting out the process for reviewing their claims submitted over the review periods.</w:t>
      </w:r>
    </w:p>
    <w:p w14:paraId="49E0228A" w14:textId="77777777" w:rsidR="00EB094C" w:rsidRDefault="00EB094C" w:rsidP="00EB094C">
      <w:pPr>
        <w:pStyle w:val="NoSpacing"/>
        <w:jc w:val="both"/>
        <w:rPr>
          <w:lang w:eastAsia="en-GB"/>
        </w:rPr>
      </w:pPr>
    </w:p>
    <w:p w14:paraId="3699E4D2" w14:textId="77777777" w:rsidR="00EB094C" w:rsidRDefault="00EB094C" w:rsidP="00EB094C">
      <w:pPr>
        <w:pStyle w:val="NoSpacing"/>
        <w:jc w:val="both"/>
      </w:pPr>
      <w:r w:rsidRPr="0DE9A70C">
        <w:rPr>
          <w:lang w:eastAsia="en-GB"/>
        </w:rPr>
        <w:t>Contractors will be required to respond to the NHSBSA by 30th November 2021, confirming their availability to undertake the review by 31st January 2022. NHSBSA will provide a spreadsheet detailing all the OOP expense claims paid to the contractor and ask for confirmation against each that the correct OOP expense claiming process as outlined in the Drug Tariff was followed. To substantiate OOP expense claims, the NHSBSA may require contractors to provide evidence in support of these claims.</w:t>
      </w:r>
    </w:p>
    <w:p w14:paraId="48EC1A37" w14:textId="77777777" w:rsidR="00EB094C" w:rsidRDefault="00EB094C" w:rsidP="00EB094C">
      <w:pPr>
        <w:pStyle w:val="NoSpacing"/>
        <w:jc w:val="both"/>
      </w:pPr>
    </w:p>
    <w:p w14:paraId="24B6863A" w14:textId="77777777" w:rsidR="00EB094C" w:rsidRDefault="00EB094C" w:rsidP="00EB094C">
      <w:pPr>
        <w:pStyle w:val="NoSpacing"/>
        <w:jc w:val="both"/>
        <w:rPr>
          <w:lang w:eastAsia="en-GB"/>
        </w:rPr>
      </w:pPr>
    </w:p>
    <w:p w14:paraId="0948152C" w14:textId="77777777" w:rsidR="00EB094C" w:rsidRDefault="00EB094C" w:rsidP="00EB094C">
      <w:pPr>
        <w:pStyle w:val="Heading4"/>
        <w:rPr>
          <w:rFonts w:ascii="Calibri Light" w:eastAsia="Calibri Light" w:hAnsi="Calibri Light" w:cs="Calibri Light"/>
          <w:color w:val="1F487C"/>
          <w:sz w:val="32"/>
          <w:szCs w:val="32"/>
        </w:rPr>
      </w:pPr>
      <w:bookmarkStart w:id="6" w:name="_Venlafaxine_37.5mg/5ml_and"/>
      <w:bookmarkEnd w:id="6"/>
      <w:r w:rsidRPr="004D2C03">
        <w:rPr>
          <w:rFonts w:ascii="Calibri Light" w:hAnsi="Calibri Light" w:cs="Calibri Light"/>
          <w:i w:val="0"/>
          <w:iCs w:val="0"/>
          <w:sz w:val="32"/>
          <w:szCs w:val="32"/>
        </w:rPr>
        <w:t xml:space="preserve">Venlafaxine 37.5mg/5ml and 75mg/5ml oral solution sugar free to be deleted from Part VIIIB of November Drug </w:t>
      </w:r>
    </w:p>
    <w:p w14:paraId="2D60F202" w14:textId="77777777" w:rsidR="00EB094C" w:rsidRDefault="00EB094C" w:rsidP="00EB094C">
      <w:pPr>
        <w:pStyle w:val="NoSpacing"/>
        <w:rPr>
          <w:rFonts w:ascii="Calibri Light" w:eastAsia="Calibri Light" w:hAnsi="Calibri Light" w:cs="Calibri Light"/>
          <w:color w:val="1F487C"/>
        </w:rPr>
      </w:pPr>
    </w:p>
    <w:p w14:paraId="7B30F2F7" w14:textId="77777777" w:rsidR="00EB094C" w:rsidRDefault="00EB094C" w:rsidP="00EB094C">
      <w:pPr>
        <w:pStyle w:val="NoSpacing"/>
        <w:jc w:val="both"/>
      </w:pPr>
      <w:r w:rsidRPr="0DE9A70C">
        <w:t xml:space="preserve">Venlafaxine 37.5mg/5ml and 75mg/5ml oral solution sugar free </w:t>
      </w:r>
      <w:r>
        <w:t>has been</w:t>
      </w:r>
      <w:r w:rsidRPr="0DE9A70C">
        <w:t xml:space="preserve"> removed from Part VIIIB of the November 2021 Drug Tariff. This is because licenced alternatives,</w:t>
      </w:r>
      <w:r w:rsidRPr="0DE9A70C">
        <w:rPr>
          <w:color w:val="444444"/>
        </w:rPr>
        <w:t> </w:t>
      </w:r>
      <w:hyperlink r:id="rId22">
        <w:r w:rsidRPr="0DE9A70C">
          <w:rPr>
            <w:b/>
            <w:bCs/>
            <w:color w:val="4F3388"/>
            <w:u w:val="single"/>
          </w:rPr>
          <w:t>Venlafaxine 37.5mg/5ml oral solution sugar free 150 ml</w:t>
        </w:r>
      </w:hyperlink>
      <w:r w:rsidRPr="0DE9A70C">
        <w:rPr>
          <w:color w:val="444444"/>
        </w:rPr>
        <w:t> </w:t>
      </w:r>
      <w:r w:rsidRPr="0DE9A70C">
        <w:t>and</w:t>
      </w:r>
      <w:r w:rsidRPr="0DE9A70C">
        <w:rPr>
          <w:color w:val="444444"/>
        </w:rPr>
        <w:t> </w:t>
      </w:r>
      <w:hyperlink r:id="rId23">
        <w:r w:rsidRPr="0DE9A70C">
          <w:rPr>
            <w:b/>
            <w:bCs/>
            <w:color w:val="4F3388"/>
            <w:u w:val="single"/>
          </w:rPr>
          <w:t>Venlafaxine 75mg/5ml oral solution sugar free 150 ml</w:t>
        </w:r>
      </w:hyperlink>
      <w:r w:rsidRPr="0DE9A70C">
        <w:rPr>
          <w:color w:val="444444"/>
        </w:rPr>
        <w:t> </w:t>
      </w:r>
      <w:r w:rsidRPr="0DE9A70C">
        <w:t>(Rosemont Pharmaceuticals Ltd) are now available and will be added to Part VIIIA (category C) of the November 2021 Drug Tariff. </w:t>
      </w:r>
    </w:p>
    <w:p w14:paraId="1FE5EF6F" w14:textId="77777777" w:rsidR="00EB094C" w:rsidRDefault="00EB094C" w:rsidP="00EB094C">
      <w:pPr>
        <w:pStyle w:val="NoSpacing"/>
        <w:jc w:val="both"/>
      </w:pPr>
    </w:p>
    <w:p w14:paraId="531F38FC" w14:textId="77777777" w:rsidR="00EB094C" w:rsidRDefault="00EB094C" w:rsidP="00EB094C">
      <w:pPr>
        <w:pStyle w:val="NoSpacing"/>
        <w:jc w:val="both"/>
      </w:pPr>
    </w:p>
    <w:p w14:paraId="6FD9F635" w14:textId="77777777" w:rsidR="00EB094C" w:rsidRPr="00AE4CAD" w:rsidRDefault="00EB094C" w:rsidP="00EB094C">
      <w:pPr>
        <w:pStyle w:val="Heading4"/>
        <w:rPr>
          <w:rFonts w:asciiTheme="minorHAnsi" w:eastAsia="Calibri Light" w:hAnsiTheme="minorHAnsi" w:cstheme="minorBidi"/>
          <w:color w:val="auto"/>
        </w:rPr>
      </w:pPr>
      <w:bookmarkStart w:id="7" w:name="_Adjusted_price_for"/>
      <w:bookmarkEnd w:id="7"/>
      <w:r w:rsidRPr="00283B77">
        <w:rPr>
          <w:rFonts w:ascii="Calibri Light" w:hAnsi="Calibri Light" w:cs="Calibri Light"/>
          <w:i w:val="0"/>
          <w:iCs w:val="0"/>
          <w:sz w:val="32"/>
          <w:szCs w:val="32"/>
        </w:rPr>
        <w:lastRenderedPageBreak/>
        <w:t xml:space="preserve">Adjusted price for </w:t>
      </w:r>
      <w:proofErr w:type="spellStart"/>
      <w:r w:rsidRPr="00283B77">
        <w:rPr>
          <w:rFonts w:ascii="Calibri Light" w:hAnsi="Calibri Light" w:cs="Calibri Light"/>
          <w:i w:val="0"/>
          <w:iCs w:val="0"/>
          <w:sz w:val="32"/>
          <w:szCs w:val="32"/>
        </w:rPr>
        <w:t>Indoramin</w:t>
      </w:r>
      <w:proofErr w:type="spellEnd"/>
      <w:r w:rsidRPr="00283B77">
        <w:rPr>
          <w:rFonts w:ascii="Calibri Light" w:hAnsi="Calibri Light" w:cs="Calibri Light"/>
          <w:i w:val="0"/>
          <w:iCs w:val="0"/>
          <w:sz w:val="32"/>
          <w:szCs w:val="32"/>
        </w:rPr>
        <w:t xml:space="preserve"> 20mg tablets following price changes in October 2021</w:t>
      </w:r>
      <w:bookmarkStart w:id="8" w:name="_Hlk87879725"/>
    </w:p>
    <w:bookmarkEnd w:id="8"/>
    <w:p w14:paraId="17C74738" w14:textId="77777777" w:rsidR="00EB094C" w:rsidRDefault="00EB094C" w:rsidP="00EB094C">
      <w:pPr>
        <w:pStyle w:val="NoSpacing"/>
        <w:rPr>
          <w:rFonts w:cstheme="minorHAnsi"/>
        </w:rPr>
      </w:pPr>
    </w:p>
    <w:p w14:paraId="5303DB7A" w14:textId="77777777" w:rsidR="00EB094C" w:rsidRPr="00C832FA" w:rsidRDefault="00EB094C" w:rsidP="00EB094C">
      <w:pPr>
        <w:pStyle w:val="NoSpacing"/>
        <w:jc w:val="both"/>
        <w:rPr>
          <w:rFonts w:eastAsia="Times New Roman" w:cstheme="minorHAnsi"/>
        </w:rPr>
      </w:pPr>
      <w:r w:rsidRPr="00C832FA">
        <w:rPr>
          <w:rFonts w:cstheme="minorHAnsi"/>
        </w:rPr>
        <w:t xml:space="preserve">During the month of October 2021, PSNC received several reports from contractors unable to obtain </w:t>
      </w:r>
      <w:proofErr w:type="spellStart"/>
      <w:r w:rsidRPr="00C832FA">
        <w:rPr>
          <w:rFonts w:cstheme="minorHAnsi"/>
        </w:rPr>
        <w:t>Indoramin</w:t>
      </w:r>
      <w:proofErr w:type="spellEnd"/>
      <w:r w:rsidRPr="00C832FA">
        <w:rPr>
          <w:rFonts w:cstheme="minorHAnsi"/>
        </w:rPr>
        <w:t xml:space="preserve"> 20mg tablets (60) at the published </w:t>
      </w:r>
      <w:hyperlink r:id="rId24" w:history="1">
        <w:r w:rsidRPr="00C832FA">
          <w:rPr>
            <w:rStyle w:val="Hyperlink"/>
            <w:rFonts w:cstheme="minorHAnsi"/>
            <w:b/>
            <w:bCs/>
            <w:color w:val="4F3388"/>
          </w:rPr>
          <w:t>Drug Tariff</w:t>
        </w:r>
      </w:hyperlink>
      <w:r w:rsidRPr="00C832FA">
        <w:rPr>
          <w:rFonts w:cstheme="minorHAnsi"/>
        </w:rPr>
        <w:t> price of £50.59. PSNC submitted a request for a price concession but this was later withdrawn after confirmation from the Department of Health and Social Care (DHSC) that, due to the </w:t>
      </w:r>
      <w:hyperlink r:id="rId25" w:history="1">
        <w:r w:rsidRPr="00C832FA">
          <w:rPr>
            <w:rStyle w:val="Hyperlink"/>
            <w:rFonts w:cstheme="minorHAnsi"/>
            <w:b/>
            <w:bCs/>
            <w:color w:val="4F3388"/>
          </w:rPr>
          <w:t>price change mechanism</w:t>
        </w:r>
      </w:hyperlink>
      <w:r w:rsidRPr="00C832FA">
        <w:rPr>
          <w:rFonts w:cstheme="minorHAnsi"/>
        </w:rPr>
        <w:t xml:space="preserve">, the reimbursement price for </w:t>
      </w:r>
      <w:proofErr w:type="spellStart"/>
      <w:r w:rsidRPr="00C832FA">
        <w:rPr>
          <w:rFonts w:cstheme="minorHAnsi"/>
        </w:rPr>
        <w:t>Indoramin</w:t>
      </w:r>
      <w:proofErr w:type="spellEnd"/>
      <w:r w:rsidRPr="00C832FA">
        <w:rPr>
          <w:rFonts w:cstheme="minorHAnsi"/>
        </w:rPr>
        <w:t xml:space="preserve"> 20mg tablets increased from £50.59 to </w:t>
      </w:r>
      <w:r w:rsidRPr="00C832FA">
        <w:rPr>
          <w:rStyle w:val="Strong"/>
          <w:rFonts w:cstheme="minorHAnsi"/>
          <w:color w:val="444444"/>
        </w:rPr>
        <w:t>£73.46 </w:t>
      </w:r>
      <w:r w:rsidRPr="00C832FA">
        <w:rPr>
          <w:rFonts w:cstheme="minorHAnsi"/>
        </w:rPr>
        <w:t>for the month of October 2021.</w:t>
      </w:r>
    </w:p>
    <w:p w14:paraId="5607B0A2" w14:textId="77777777" w:rsidR="00EB094C" w:rsidRDefault="00EB094C" w:rsidP="00EB094C">
      <w:pPr>
        <w:pStyle w:val="NoSpacing"/>
        <w:jc w:val="both"/>
        <w:rPr>
          <w:rFonts w:cstheme="minorHAnsi"/>
        </w:rPr>
      </w:pPr>
    </w:p>
    <w:p w14:paraId="0010247A" w14:textId="77777777" w:rsidR="00EB094C" w:rsidRDefault="00EB094C" w:rsidP="00EB094C">
      <w:pPr>
        <w:pStyle w:val="NoSpacing"/>
        <w:jc w:val="both"/>
        <w:rPr>
          <w:rFonts w:cstheme="minorHAnsi"/>
        </w:rPr>
      </w:pPr>
      <w:proofErr w:type="spellStart"/>
      <w:r w:rsidRPr="00C832FA">
        <w:rPr>
          <w:rFonts w:cstheme="minorHAnsi"/>
        </w:rPr>
        <w:t>Indoramin</w:t>
      </w:r>
      <w:proofErr w:type="spellEnd"/>
      <w:r w:rsidRPr="00C832FA">
        <w:rPr>
          <w:rFonts w:cstheme="minorHAnsi"/>
        </w:rPr>
        <w:t xml:space="preserve"> 20mg tablets are listed in Category A of the Drug Tariff. Prices of drugs listed in Category A are based on a weighted average of the list prices from 2 mainline wholesalers and 2 generic manufacturers. An increase in mainline wholesaler prices early in October led to an adjustment to the reimbursement price for </w:t>
      </w:r>
      <w:proofErr w:type="spellStart"/>
      <w:r w:rsidRPr="00C832FA">
        <w:rPr>
          <w:rFonts w:cstheme="minorHAnsi"/>
        </w:rPr>
        <w:t>Indoramin</w:t>
      </w:r>
      <w:proofErr w:type="spellEnd"/>
      <w:r w:rsidRPr="00C832FA">
        <w:rPr>
          <w:rFonts w:cstheme="minorHAnsi"/>
        </w:rPr>
        <w:t xml:space="preserve"> 20mg tablets for October 2021. Any prescriptions for </w:t>
      </w:r>
      <w:proofErr w:type="spellStart"/>
      <w:r w:rsidRPr="00C832FA">
        <w:rPr>
          <w:rFonts w:cstheme="minorHAnsi"/>
        </w:rPr>
        <w:t>Indoramin</w:t>
      </w:r>
      <w:proofErr w:type="spellEnd"/>
      <w:r w:rsidRPr="00C832FA">
        <w:rPr>
          <w:rFonts w:cstheme="minorHAnsi"/>
        </w:rPr>
        <w:t xml:space="preserve"> 20mg tablets submitted for payment to the NHSBSA for the month of October 2021 will be reimbursed at the new price of £73.46 for 60. Contractors should note that the published </w:t>
      </w:r>
      <w:hyperlink r:id="rId26" w:history="1">
        <w:r w:rsidRPr="00C832FA">
          <w:rPr>
            <w:rStyle w:val="Hyperlink"/>
            <w:rFonts w:cstheme="minorHAnsi"/>
            <w:b/>
            <w:bCs/>
            <w:color w:val="4F3388"/>
          </w:rPr>
          <w:t>Drug Tariff</w:t>
        </w:r>
      </w:hyperlink>
      <w:r w:rsidRPr="00C832FA">
        <w:rPr>
          <w:rFonts w:cstheme="minorHAnsi"/>
        </w:rPr>
        <w:t xml:space="preserve"> for November 2021 reflects the updated price of </w:t>
      </w:r>
      <w:proofErr w:type="spellStart"/>
      <w:r w:rsidRPr="00C832FA">
        <w:rPr>
          <w:rFonts w:cstheme="minorHAnsi"/>
        </w:rPr>
        <w:t>Indoramin</w:t>
      </w:r>
      <w:proofErr w:type="spellEnd"/>
      <w:r w:rsidRPr="00C832FA">
        <w:rPr>
          <w:rFonts w:cstheme="minorHAnsi"/>
        </w:rPr>
        <w:t xml:space="preserve"> 20mg tablets.</w:t>
      </w:r>
    </w:p>
    <w:p w14:paraId="065405D6" w14:textId="77777777" w:rsidR="00EB094C" w:rsidRPr="00C832FA" w:rsidRDefault="00EB094C" w:rsidP="00EB094C">
      <w:pPr>
        <w:pStyle w:val="NoSpacing"/>
        <w:rPr>
          <w:rFonts w:cstheme="minorHAnsi"/>
        </w:rPr>
      </w:pPr>
    </w:p>
    <w:p w14:paraId="607087FB" w14:textId="77777777" w:rsidR="00EB094C" w:rsidRDefault="00EB094C" w:rsidP="00EB094C">
      <w:pPr>
        <w:pStyle w:val="Heading4"/>
        <w:rPr>
          <w:rFonts w:ascii="Calibri Light" w:eastAsia="Calibri Light" w:hAnsi="Calibri Light" w:cs="Calibri Light"/>
          <w:color w:val="1F487C"/>
          <w:sz w:val="32"/>
          <w:szCs w:val="32"/>
        </w:rPr>
      </w:pPr>
      <w:bookmarkStart w:id="9" w:name="_Adjusted_price_for_1"/>
      <w:bookmarkEnd w:id="9"/>
      <w:r>
        <w:rPr>
          <w:rFonts w:ascii="Calibri Light" w:eastAsia="Calibri Light" w:hAnsi="Calibri Light" w:cs="Calibri Light"/>
          <w:color w:val="1F487C"/>
        </w:rPr>
        <w:br/>
      </w:r>
      <w:r w:rsidRPr="00563C27">
        <w:rPr>
          <w:rFonts w:ascii="Calibri Light" w:hAnsi="Calibri Light" w:cs="Calibri Light"/>
          <w:i w:val="0"/>
          <w:iCs w:val="0"/>
          <w:sz w:val="32"/>
          <w:szCs w:val="32"/>
        </w:rPr>
        <w:t>Adjusted price for Cetirizine 1mg/ml oral solution sugar free following price changes in August 2021</w:t>
      </w:r>
    </w:p>
    <w:p w14:paraId="581D9A3E" w14:textId="77777777" w:rsidR="00EB094C" w:rsidRDefault="00EB094C" w:rsidP="00EB094C"/>
    <w:p w14:paraId="02B32008" w14:textId="77777777" w:rsidR="00EB094C" w:rsidRPr="001B30CD" w:rsidRDefault="00EB094C" w:rsidP="00EB094C">
      <w:pPr>
        <w:pStyle w:val="NoSpacing"/>
        <w:jc w:val="both"/>
        <w:rPr>
          <w:rFonts w:eastAsia="Times New Roman" w:cstheme="minorHAnsi"/>
        </w:rPr>
      </w:pPr>
      <w:r w:rsidRPr="001B30CD">
        <w:rPr>
          <w:rFonts w:cstheme="minorHAnsi"/>
        </w:rPr>
        <w:t>During the month of August 2021, PSNC received several reports from contractors unable to obtain Cetirizine 1mg/ml oral solution sugar free (200ml) at the published </w:t>
      </w:r>
      <w:hyperlink r:id="rId27" w:history="1">
        <w:r w:rsidRPr="001B30CD">
          <w:rPr>
            <w:rStyle w:val="Hyperlink"/>
            <w:rFonts w:cstheme="minorHAnsi"/>
            <w:b/>
            <w:bCs/>
            <w:color w:val="4F3388"/>
          </w:rPr>
          <w:t>Drug Tariff</w:t>
        </w:r>
      </w:hyperlink>
      <w:r w:rsidRPr="001B30CD">
        <w:rPr>
          <w:rFonts w:cstheme="minorHAnsi"/>
        </w:rPr>
        <w:t> price of £6.49. PSNC submitted a request for a price concession but this was later withdrawn after confirmation from the Department of Health and Social Care (DHSC) that, due to the </w:t>
      </w:r>
      <w:hyperlink r:id="rId28" w:history="1">
        <w:r w:rsidRPr="001B30CD">
          <w:rPr>
            <w:rStyle w:val="Hyperlink"/>
            <w:rFonts w:cstheme="minorHAnsi"/>
            <w:b/>
            <w:bCs/>
            <w:color w:val="4F3388"/>
          </w:rPr>
          <w:t>price change mechanism</w:t>
        </w:r>
      </w:hyperlink>
      <w:r w:rsidRPr="001B30CD">
        <w:rPr>
          <w:rFonts w:cstheme="minorHAnsi"/>
        </w:rPr>
        <w:t>, the reimbursement price for Cetirizine 1mg/1ml oral solution sugar free increased from £6.49 to </w:t>
      </w:r>
      <w:r w:rsidRPr="001B30CD">
        <w:rPr>
          <w:rStyle w:val="Strong"/>
          <w:rFonts w:cstheme="minorHAnsi"/>
          <w:color w:val="444444"/>
        </w:rPr>
        <w:t>£11.24 </w:t>
      </w:r>
      <w:r w:rsidRPr="001B30CD">
        <w:rPr>
          <w:rFonts w:cstheme="minorHAnsi"/>
        </w:rPr>
        <w:t>for the month of August 2021.</w:t>
      </w:r>
    </w:p>
    <w:p w14:paraId="2CE08EC7" w14:textId="77777777" w:rsidR="00EB094C" w:rsidRDefault="00EB094C" w:rsidP="00EB094C">
      <w:pPr>
        <w:pStyle w:val="NoSpacing"/>
        <w:jc w:val="both"/>
        <w:rPr>
          <w:rFonts w:cstheme="minorHAnsi"/>
        </w:rPr>
      </w:pPr>
    </w:p>
    <w:p w14:paraId="3DD220CB" w14:textId="77777777" w:rsidR="00EB094C" w:rsidRPr="001B30CD" w:rsidRDefault="00EB094C" w:rsidP="00EB094C">
      <w:pPr>
        <w:pStyle w:val="NoSpacing"/>
        <w:jc w:val="both"/>
        <w:rPr>
          <w:rFonts w:cstheme="minorHAnsi"/>
        </w:rPr>
      </w:pPr>
      <w:r w:rsidRPr="001B30CD">
        <w:rPr>
          <w:rFonts w:cstheme="minorHAnsi"/>
        </w:rPr>
        <w:t>Cetirizine 1mg/1ml oral solution sugar free is listed in Category A of the Drug Tariff. Prices of drugs listed in Category A are based on a weighted average of the list prices from 2 mainline wholesalers and 2 generic manufacturers. An increase in mainline wholesaler prices early in August led to an adjustment to the reimbursement price for Cetirizine 1mg/1ml oral solution sugar free for August 2021. Any prescription for Cetirizine 1mg/1ml oral solution sugar free submitted for payment to the NHSBSA for the month of August 2021 will be reimbursed at the new price of £11.24 for 200ml. Contractors should note that the published </w:t>
      </w:r>
      <w:hyperlink r:id="rId29" w:history="1">
        <w:r w:rsidRPr="001B30CD">
          <w:rPr>
            <w:rStyle w:val="Hyperlink"/>
            <w:rFonts w:cstheme="minorHAnsi"/>
            <w:b/>
            <w:bCs/>
            <w:color w:val="4F3388"/>
          </w:rPr>
          <w:t>Drug Tariff</w:t>
        </w:r>
      </w:hyperlink>
      <w:r w:rsidRPr="001B30CD">
        <w:rPr>
          <w:rFonts w:cstheme="minorHAnsi"/>
        </w:rPr>
        <w:t> for September 2021 reflects the updated price of Cetirizine 1mg/1ml oral solution sugar free.</w:t>
      </w:r>
    </w:p>
    <w:p w14:paraId="4140D494" w14:textId="77777777" w:rsidR="00EB094C" w:rsidRDefault="00EB094C" w:rsidP="00EB094C">
      <w:pPr>
        <w:pStyle w:val="NoSpacing"/>
        <w:jc w:val="both"/>
        <w:rPr>
          <w:rFonts w:cstheme="minorHAnsi"/>
        </w:rPr>
      </w:pPr>
    </w:p>
    <w:p w14:paraId="6F27FA85" w14:textId="77777777" w:rsidR="00EB094C" w:rsidRPr="001B30CD" w:rsidRDefault="00EB094C" w:rsidP="00EB094C">
      <w:pPr>
        <w:pStyle w:val="NoSpacing"/>
        <w:jc w:val="both"/>
        <w:rPr>
          <w:rFonts w:cstheme="minorHAnsi"/>
        </w:rPr>
      </w:pPr>
      <w:r w:rsidRPr="001B30CD">
        <w:rPr>
          <w:rFonts w:cstheme="minorHAnsi"/>
        </w:rPr>
        <w:t>For August 2021, examples of other drugs affected by the price change mechanism include:</w:t>
      </w:r>
    </w:p>
    <w:p w14:paraId="6BC2A877" w14:textId="77777777" w:rsidR="00EB094C" w:rsidRPr="001B30CD" w:rsidRDefault="00EB094C" w:rsidP="00E30D53">
      <w:pPr>
        <w:pStyle w:val="NoSpacing"/>
        <w:widowControl/>
        <w:numPr>
          <w:ilvl w:val="0"/>
          <w:numId w:val="7"/>
        </w:numPr>
        <w:autoSpaceDE/>
        <w:autoSpaceDN/>
        <w:jc w:val="both"/>
      </w:pPr>
      <w:r w:rsidRPr="0DE9A70C">
        <w:rPr>
          <w:rStyle w:val="Strong"/>
        </w:rPr>
        <w:t>Disulfiram 200mg tablets (50</w:t>
      </w:r>
      <w:r w:rsidRPr="0DE9A70C">
        <w:rPr>
          <w:rStyle w:val="Strong"/>
          <w:color w:val="444444"/>
        </w:rPr>
        <w:t>)</w:t>
      </w:r>
      <w:r w:rsidRPr="0DE9A70C">
        <w:t> with a published price of £98.02 but subsequently adjusted to </w:t>
      </w:r>
      <w:r w:rsidRPr="0DE9A70C">
        <w:rPr>
          <w:rStyle w:val="Strong"/>
          <w:color w:val="444444"/>
        </w:rPr>
        <w:t>£102.95</w:t>
      </w:r>
      <w:r w:rsidRPr="0DE9A70C">
        <w:t> following the price change mechanism</w:t>
      </w:r>
    </w:p>
    <w:p w14:paraId="25C5C9A7" w14:textId="77777777" w:rsidR="00EB094C" w:rsidRPr="001B30CD" w:rsidRDefault="00EB094C" w:rsidP="00E30D53">
      <w:pPr>
        <w:pStyle w:val="NoSpacing"/>
        <w:widowControl/>
        <w:numPr>
          <w:ilvl w:val="0"/>
          <w:numId w:val="7"/>
        </w:numPr>
        <w:autoSpaceDE/>
        <w:autoSpaceDN/>
        <w:jc w:val="both"/>
      </w:pPr>
      <w:r w:rsidRPr="0DE9A70C">
        <w:rPr>
          <w:rStyle w:val="Strong"/>
        </w:rPr>
        <w:t>Gentamicin 0.3% ear/eye drops (10ml)</w:t>
      </w:r>
      <w:r w:rsidRPr="0DE9A70C">
        <w:t> with a published price of £20.94 but subsequently adjusted to </w:t>
      </w:r>
      <w:r w:rsidRPr="0DE9A70C">
        <w:rPr>
          <w:rStyle w:val="Strong"/>
          <w:color w:val="444444"/>
        </w:rPr>
        <w:t>£24.34</w:t>
      </w:r>
      <w:r w:rsidRPr="0DE9A70C">
        <w:t> following the price change mechanism</w:t>
      </w:r>
    </w:p>
    <w:p w14:paraId="2FD5DF37" w14:textId="77777777" w:rsidR="00EB094C" w:rsidRDefault="00EB094C" w:rsidP="00EB094C">
      <w:pPr>
        <w:pStyle w:val="NoSpacing"/>
        <w:rPr>
          <w:color w:val="000000" w:themeColor="text1"/>
        </w:rPr>
      </w:pPr>
    </w:p>
    <w:p w14:paraId="3AE108C3" w14:textId="77777777" w:rsidR="00EB094C" w:rsidRPr="00C832FA" w:rsidRDefault="00EB094C" w:rsidP="00EB094C">
      <w:pPr>
        <w:pStyle w:val="NoSpacing"/>
        <w:rPr>
          <w:color w:val="000000" w:themeColor="text1"/>
        </w:rPr>
      </w:pPr>
    </w:p>
    <w:p w14:paraId="6619FB20" w14:textId="77777777" w:rsidR="00EB094C" w:rsidRDefault="00EB094C" w:rsidP="00EB094C">
      <w:pPr>
        <w:pStyle w:val="Heading4"/>
        <w:rPr>
          <w:rFonts w:ascii="Calibri Light" w:hAnsi="Calibri Light" w:cs="Calibri Light"/>
          <w:i w:val="0"/>
          <w:iCs w:val="0"/>
          <w:sz w:val="32"/>
          <w:szCs w:val="32"/>
        </w:rPr>
      </w:pPr>
      <w:bookmarkStart w:id="10" w:name="_Updated_SSP_endorsement"/>
      <w:bookmarkEnd w:id="10"/>
      <w:r>
        <w:rPr>
          <w:rFonts w:ascii="Calibri Light" w:hAnsi="Calibri Light" w:cs="Calibri Light"/>
          <w:i w:val="0"/>
          <w:iCs w:val="0"/>
          <w:sz w:val="32"/>
          <w:szCs w:val="32"/>
        </w:rPr>
        <w:t>Updated SSP endorsement information</w:t>
      </w:r>
    </w:p>
    <w:p w14:paraId="0DC3F61C" w14:textId="77777777" w:rsidR="00EB094C" w:rsidRDefault="00EB094C" w:rsidP="00EB094C">
      <w:pPr>
        <w:rPr>
          <w:color w:val="1F487C"/>
        </w:rPr>
      </w:pPr>
    </w:p>
    <w:p w14:paraId="31C550D6" w14:textId="77777777" w:rsidR="00EB094C" w:rsidRDefault="00EB094C" w:rsidP="00EB094C">
      <w:pPr>
        <w:pStyle w:val="NoSpacing"/>
        <w:jc w:val="both"/>
        <w:rPr>
          <w:rFonts w:ascii="Times New Roman" w:eastAsia="Times New Roman" w:hAnsi="Times New Roman" w:cs="Times New Roman"/>
        </w:rPr>
      </w:pPr>
      <w:r>
        <w:t xml:space="preserve">From June 2021, the Department of Health and Social Care (DHSC) approved the use of a new 'SSP' endorsement to claim for any supplies made in accordance with a Serious Shortage Protocol (SSP). To allow for implementation of the new SSP endorsement functionality, a transition period (1 June – 5 October 2022) was agreed to allow use of the ‘NCSO’ endorsement and claims using EPS tokens for any supplies made in </w:t>
      </w:r>
      <w:r>
        <w:lastRenderedPageBreak/>
        <w:t>accordance with SSPs.</w:t>
      </w:r>
    </w:p>
    <w:p w14:paraId="79BAF236" w14:textId="77777777" w:rsidR="00EB094C" w:rsidRDefault="00EB094C" w:rsidP="00EB094C">
      <w:pPr>
        <w:pStyle w:val="NoSpacing"/>
        <w:jc w:val="both"/>
      </w:pPr>
    </w:p>
    <w:p w14:paraId="13EB04F8" w14:textId="77777777" w:rsidR="00EB094C" w:rsidRDefault="00EB094C" w:rsidP="00EB094C">
      <w:pPr>
        <w:pStyle w:val="NoSpacing"/>
        <w:jc w:val="both"/>
      </w:pPr>
      <w:r>
        <w:t>PSNC requested and secured an</w:t>
      </w:r>
      <w:r>
        <w:rPr>
          <w:rStyle w:val="Strong"/>
        </w:rPr>
        <w:t xml:space="preserve"> extension to the transition period by three months </w:t>
      </w:r>
      <w:r>
        <w:t xml:space="preserve">for the NHSBSA to continue to accept the 'NCSO' endorsement and allow SSP claims on tokens until the </w:t>
      </w:r>
      <w:r>
        <w:rPr>
          <w:rStyle w:val="Strong"/>
        </w:rPr>
        <w:t>end of January 2022. </w:t>
      </w:r>
    </w:p>
    <w:p w14:paraId="3A2A619B" w14:textId="77777777" w:rsidR="00EB094C" w:rsidRDefault="00EB094C" w:rsidP="00EB094C">
      <w:pPr>
        <w:pStyle w:val="NoSpacing"/>
        <w:jc w:val="both"/>
      </w:pPr>
    </w:p>
    <w:p w14:paraId="06EF440A" w14:textId="77777777" w:rsidR="00EB094C" w:rsidRDefault="00EB094C" w:rsidP="00EB094C">
      <w:pPr>
        <w:pStyle w:val="NoSpacing"/>
        <w:jc w:val="both"/>
      </w:pPr>
      <w:r>
        <w:t xml:space="preserve">PSNC made a request for an extension to the transition period as we understand that some suppliers are in the process of making improvements to systems to reduce the risk of errors in applying the correct </w:t>
      </w:r>
      <w:r>
        <w:rPr>
          <w:rStyle w:val="markcjnwqxrsz"/>
        </w:rPr>
        <w:t>SSP</w:t>
      </w:r>
      <w:r>
        <w:t xml:space="preserve"> endorsements. </w:t>
      </w:r>
    </w:p>
    <w:p w14:paraId="2411E71C" w14:textId="77777777" w:rsidR="00EB094C" w:rsidRDefault="00EB094C" w:rsidP="00EB094C">
      <w:pPr>
        <w:pStyle w:val="NoSpacing"/>
        <w:jc w:val="both"/>
        <w:rPr>
          <w:rStyle w:val="Strong"/>
        </w:rPr>
      </w:pPr>
    </w:p>
    <w:p w14:paraId="5DDBEED8" w14:textId="77777777" w:rsidR="00EB094C" w:rsidRDefault="00EB094C" w:rsidP="00EB094C">
      <w:pPr>
        <w:pStyle w:val="NoSpacing"/>
        <w:jc w:val="both"/>
      </w:pPr>
      <w:r>
        <w:rPr>
          <w:rStyle w:val="Strong"/>
        </w:rPr>
        <w:t>After the transition period only the new SSP endorsement will be accepted by the NHSBSA on electronic and paper prescriptions. Any SSP claims made using EPS tokens from 1 February 2022 will NO longer be accepted for payment.</w:t>
      </w:r>
    </w:p>
    <w:p w14:paraId="5966ADDB" w14:textId="77777777" w:rsidR="00EB094C" w:rsidRDefault="00EB094C" w:rsidP="00EB094C"/>
    <w:p w14:paraId="53289F25" w14:textId="77777777" w:rsidR="00EB094C" w:rsidRDefault="00EB094C" w:rsidP="00EB094C"/>
    <w:p w14:paraId="586E408E" w14:textId="77777777" w:rsidR="00EB094C" w:rsidRDefault="00EB094C" w:rsidP="00EB094C">
      <w:pPr>
        <w:pStyle w:val="Heading4"/>
        <w:rPr>
          <w:rFonts w:ascii="Calibri Light" w:hAnsi="Calibri Light" w:cs="Calibri Light"/>
          <w:i w:val="0"/>
          <w:iCs w:val="0"/>
          <w:sz w:val="32"/>
          <w:szCs w:val="32"/>
        </w:rPr>
      </w:pPr>
      <w:bookmarkStart w:id="11" w:name="_New_SSP_issued"/>
      <w:bookmarkEnd w:id="11"/>
      <w:r w:rsidRPr="7ADA0077">
        <w:rPr>
          <w:rFonts w:ascii="Calibri Light" w:hAnsi="Calibri Light" w:cs="Calibri Light"/>
          <w:i w:val="0"/>
          <w:iCs w:val="0"/>
          <w:sz w:val="32"/>
          <w:szCs w:val="32"/>
        </w:rPr>
        <w:t xml:space="preserve">New SSP issued for Lipitor® 20mg chewable tablets </w:t>
      </w:r>
    </w:p>
    <w:p w14:paraId="18AF79EE" w14:textId="77777777" w:rsidR="00EB094C" w:rsidRDefault="00EB094C" w:rsidP="00EB094C"/>
    <w:p w14:paraId="1EE559FB" w14:textId="77777777" w:rsidR="00EB094C" w:rsidRDefault="00EB094C" w:rsidP="00EB094C">
      <w:pPr>
        <w:pStyle w:val="NormalWeb"/>
        <w:jc w:val="both"/>
        <w:rPr>
          <w:rFonts w:asciiTheme="minorHAnsi" w:hAnsiTheme="minorHAnsi" w:cstheme="minorBidi"/>
          <w:sz w:val="22"/>
          <w:szCs w:val="22"/>
        </w:rPr>
      </w:pPr>
      <w:r w:rsidRPr="7ADA0077">
        <w:rPr>
          <w:rFonts w:asciiTheme="minorHAnsi" w:hAnsiTheme="minorHAnsi" w:cstheme="minorBidi"/>
          <w:sz w:val="22"/>
          <w:szCs w:val="22"/>
        </w:rPr>
        <w:t xml:space="preserve">In response to a significant ongoing disruption to the supply of Lipitor® 20mg chewable </w:t>
      </w:r>
      <w:proofErr w:type="gramStart"/>
      <w:r w:rsidRPr="7ADA0077">
        <w:rPr>
          <w:rFonts w:asciiTheme="minorHAnsi" w:hAnsiTheme="minorHAnsi" w:cstheme="minorBidi"/>
          <w:sz w:val="22"/>
          <w:szCs w:val="22"/>
        </w:rPr>
        <w:t>tablets ,</w:t>
      </w:r>
      <w:proofErr w:type="gramEnd"/>
      <w:r w:rsidRPr="7ADA0077">
        <w:rPr>
          <w:rFonts w:asciiTheme="minorHAnsi" w:hAnsiTheme="minorHAnsi" w:cstheme="minorBidi"/>
          <w:sz w:val="22"/>
          <w:szCs w:val="22"/>
        </w:rPr>
        <w:t xml:space="preserve"> a Serious Shortage Protocol (SSP) has been issued by the Department of Health and Social Care (DHSC).</w:t>
      </w:r>
    </w:p>
    <w:p w14:paraId="5FB9C6B3" w14:textId="77777777" w:rsidR="00EB094C" w:rsidRPr="00AA2C12" w:rsidRDefault="00EB094C" w:rsidP="00EB094C">
      <w:pPr>
        <w:pStyle w:val="NormalWeb"/>
        <w:jc w:val="both"/>
        <w:rPr>
          <w:rFonts w:asciiTheme="minorHAnsi" w:eastAsia="Times New Roman" w:hAnsiTheme="minorHAnsi" w:cstheme="minorBidi"/>
          <w:sz w:val="22"/>
          <w:szCs w:val="22"/>
          <w:lang w:bidi="ar-SA"/>
        </w:rPr>
      </w:pPr>
    </w:p>
    <w:p w14:paraId="7508BD08" w14:textId="77777777" w:rsidR="00EB094C" w:rsidRDefault="00EB094C" w:rsidP="00EB094C">
      <w:pPr>
        <w:pStyle w:val="NormalWeb"/>
        <w:jc w:val="both"/>
        <w:rPr>
          <w:rFonts w:asciiTheme="minorHAnsi" w:hAnsiTheme="minorHAnsi" w:cstheme="minorBidi"/>
          <w:sz w:val="22"/>
          <w:szCs w:val="22"/>
        </w:rPr>
      </w:pPr>
      <w:r w:rsidRPr="7ADA0077">
        <w:rPr>
          <w:rFonts w:asciiTheme="minorHAnsi" w:hAnsiTheme="minorHAnsi" w:cstheme="minorBidi"/>
          <w:sz w:val="22"/>
          <w:szCs w:val="22"/>
        </w:rPr>
        <w:t xml:space="preserve">Effective </w:t>
      </w:r>
      <w:r w:rsidRPr="7ADA0077">
        <w:rPr>
          <w:rFonts w:asciiTheme="minorHAnsi" w:hAnsiTheme="minorHAnsi" w:cstheme="minorBidi"/>
          <w:b/>
          <w:bCs/>
          <w:sz w:val="22"/>
          <w:szCs w:val="22"/>
        </w:rPr>
        <w:t>18 November 2021</w:t>
      </w:r>
      <w:r w:rsidRPr="7ADA0077">
        <w:rPr>
          <w:rFonts w:asciiTheme="minorHAnsi" w:hAnsiTheme="minorHAnsi" w:cstheme="minorBidi"/>
          <w:sz w:val="22"/>
          <w:szCs w:val="22"/>
        </w:rPr>
        <w:t xml:space="preserve">, </w:t>
      </w:r>
      <w:hyperlink r:id="rId30">
        <w:r w:rsidRPr="7ADA0077">
          <w:rPr>
            <w:rStyle w:val="Hyperlink"/>
            <w:rFonts w:asciiTheme="minorHAnsi" w:hAnsiTheme="minorHAnsi" w:cstheme="minorBidi"/>
            <w:b/>
            <w:bCs/>
            <w:sz w:val="22"/>
            <w:szCs w:val="22"/>
          </w:rPr>
          <w:t>SSP013</w:t>
        </w:r>
      </w:hyperlink>
      <w:r w:rsidRPr="7ADA0077">
        <w:rPr>
          <w:rFonts w:asciiTheme="minorHAnsi" w:hAnsiTheme="minorHAnsi" w:cstheme="minorBidi"/>
          <w:sz w:val="22"/>
          <w:szCs w:val="22"/>
        </w:rPr>
        <w:t> provides t</w:t>
      </w:r>
      <w:r w:rsidRPr="7ADA0077">
        <w:rPr>
          <w:rStyle w:val="normaltextrun"/>
          <w:rFonts w:asciiTheme="minorHAnsi" w:hAnsiTheme="minorHAnsi" w:cstheme="minorBidi"/>
          <w:sz w:val="22"/>
          <w:szCs w:val="22"/>
        </w:rPr>
        <w:t>hat for every Lipitor</w:t>
      </w:r>
      <w:r w:rsidRPr="7ADA0077">
        <w:rPr>
          <w:rStyle w:val="normaltextrun"/>
          <w:rFonts w:asciiTheme="minorHAnsi" w:hAnsiTheme="minorHAnsi" w:cstheme="minorBidi"/>
          <w:sz w:val="22"/>
          <w:szCs w:val="22"/>
          <w:vertAlign w:val="superscript"/>
        </w:rPr>
        <w:t>®</w:t>
      </w:r>
      <w:r w:rsidRPr="7ADA0077">
        <w:rPr>
          <w:rStyle w:val="normaltextrun"/>
          <w:rFonts w:asciiTheme="minorHAnsi" w:hAnsiTheme="minorHAnsi" w:cstheme="minorBidi"/>
          <w:sz w:val="22"/>
          <w:szCs w:val="22"/>
        </w:rPr>
        <w:t xml:space="preserve"> 20mg chewable tablet originally prescribed, </w:t>
      </w:r>
      <w:r w:rsidRPr="7ADA0077">
        <w:rPr>
          <w:rStyle w:val="Strong"/>
          <w:rFonts w:asciiTheme="minorHAnsi" w:hAnsiTheme="minorHAnsi" w:cstheme="minorBidi"/>
          <w:sz w:val="22"/>
          <w:szCs w:val="22"/>
        </w:rPr>
        <w:t>one Atorvastatin 20mg tablet</w:t>
      </w:r>
      <w:r w:rsidRPr="7ADA0077">
        <w:rPr>
          <w:rStyle w:val="normaltextrun"/>
          <w:rFonts w:asciiTheme="minorHAnsi" w:hAnsiTheme="minorHAnsi" w:cstheme="minorBidi"/>
          <w:sz w:val="22"/>
          <w:szCs w:val="22"/>
        </w:rPr>
        <w:t xml:space="preserve"> must be supplied. </w:t>
      </w:r>
      <w:r w:rsidRPr="7ADA0077">
        <w:rPr>
          <w:rFonts w:asciiTheme="minorHAnsi" w:hAnsiTheme="minorHAnsi" w:cstheme="minorBidi"/>
          <w:sz w:val="22"/>
          <w:szCs w:val="22"/>
        </w:rPr>
        <w:t>SSP013, authorised by the Secretary of State, has been developed by clinicians and provides pharmacists with procedures to follow in providing either of these suitable alternative products to help reduce the number of patients having to return to their prescriber for a replacement prescription.</w:t>
      </w:r>
    </w:p>
    <w:p w14:paraId="6B48CD58" w14:textId="77777777" w:rsidR="00EB094C" w:rsidRPr="00AA2C12" w:rsidRDefault="00EB094C" w:rsidP="00EB094C">
      <w:pPr>
        <w:pStyle w:val="NormalWeb"/>
        <w:jc w:val="both"/>
        <w:rPr>
          <w:rFonts w:asciiTheme="minorHAnsi" w:hAnsiTheme="minorHAnsi" w:cstheme="minorBidi"/>
          <w:sz w:val="22"/>
          <w:szCs w:val="22"/>
        </w:rPr>
      </w:pPr>
    </w:p>
    <w:tbl>
      <w:tblPr>
        <w:tblW w:w="369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8"/>
        <w:gridCol w:w="3583"/>
      </w:tblGrid>
      <w:tr w:rsidR="00EB094C" w:rsidRPr="00AA2C12" w14:paraId="687963DA" w14:textId="77777777" w:rsidTr="003A24C9">
        <w:trPr>
          <w:tblCellSpacing w:w="15" w:type="dxa"/>
        </w:trPr>
        <w:tc>
          <w:tcPr>
            <w:tcW w:w="5175" w:type="dxa"/>
            <w:shd w:val="clear" w:color="auto" w:fill="65922E"/>
            <w:vAlign w:val="center"/>
            <w:hideMark/>
          </w:tcPr>
          <w:p w14:paraId="62FAA978" w14:textId="77777777" w:rsidR="00EB094C" w:rsidRPr="00AA2C12" w:rsidRDefault="00EB094C" w:rsidP="003A24C9">
            <w:pPr>
              <w:jc w:val="center"/>
              <w:rPr>
                <w:rFonts w:cstheme="minorHAnsi"/>
              </w:rPr>
            </w:pPr>
            <w:r w:rsidRPr="00AA2C12">
              <w:rPr>
                <w:rStyle w:val="Strong"/>
                <w:rFonts w:cstheme="minorHAnsi"/>
                <w:color w:val="FFFFFF"/>
              </w:rPr>
              <w:t>For prescriptions (NHS or private) requesting:</w:t>
            </w:r>
          </w:p>
        </w:tc>
        <w:tc>
          <w:tcPr>
            <w:tcW w:w="5175" w:type="dxa"/>
            <w:shd w:val="clear" w:color="auto" w:fill="65922E"/>
            <w:vAlign w:val="center"/>
            <w:hideMark/>
          </w:tcPr>
          <w:p w14:paraId="45444E37" w14:textId="77777777" w:rsidR="00EB094C" w:rsidRPr="00AA2C12" w:rsidRDefault="00EB094C" w:rsidP="003A24C9">
            <w:pPr>
              <w:jc w:val="center"/>
            </w:pPr>
            <w:r w:rsidRPr="75830DE0">
              <w:rPr>
                <w:rStyle w:val="Strong"/>
                <w:color w:val="FFFFFF" w:themeColor="background1"/>
              </w:rPr>
              <w:t>Supply permitted under SSP013:</w:t>
            </w:r>
          </w:p>
        </w:tc>
      </w:tr>
      <w:tr w:rsidR="00EB094C" w:rsidRPr="00AA2C12" w14:paraId="63C8C5BB" w14:textId="77777777" w:rsidTr="003A24C9">
        <w:trPr>
          <w:tblCellSpacing w:w="15" w:type="dxa"/>
        </w:trPr>
        <w:tc>
          <w:tcPr>
            <w:tcW w:w="5175" w:type="dxa"/>
            <w:vAlign w:val="center"/>
            <w:hideMark/>
          </w:tcPr>
          <w:p w14:paraId="13F8942A" w14:textId="77777777" w:rsidR="00EB094C" w:rsidRPr="00AA2C12" w:rsidRDefault="00EB094C" w:rsidP="003A24C9">
            <w:pPr>
              <w:jc w:val="center"/>
              <w:rPr>
                <w:rFonts w:cstheme="minorHAnsi"/>
              </w:rPr>
            </w:pPr>
            <w:r w:rsidRPr="00AA2C12">
              <w:rPr>
                <w:rFonts w:cstheme="minorHAnsi"/>
              </w:rPr>
              <w:t>Lipitor</w:t>
            </w:r>
            <w:r w:rsidRPr="00AA2C12">
              <w:rPr>
                <w:rFonts w:cstheme="minorHAnsi"/>
                <w:vertAlign w:val="superscript"/>
              </w:rPr>
              <w:t>®</w:t>
            </w:r>
            <w:r w:rsidRPr="00AA2C12">
              <w:rPr>
                <w:rFonts w:cstheme="minorHAnsi"/>
              </w:rPr>
              <w:t xml:space="preserve"> 20mg chewable tablets</w:t>
            </w:r>
          </w:p>
        </w:tc>
        <w:tc>
          <w:tcPr>
            <w:tcW w:w="5175" w:type="dxa"/>
            <w:vAlign w:val="center"/>
            <w:hideMark/>
          </w:tcPr>
          <w:p w14:paraId="4258CD4C" w14:textId="77777777" w:rsidR="00EB094C" w:rsidRPr="00AA2C12" w:rsidRDefault="00EB094C" w:rsidP="003A24C9">
            <w:pPr>
              <w:jc w:val="center"/>
              <w:rPr>
                <w:rFonts w:cstheme="minorHAnsi"/>
              </w:rPr>
            </w:pPr>
            <w:r w:rsidRPr="00AA2C12">
              <w:rPr>
                <w:rFonts w:cstheme="minorHAnsi"/>
              </w:rPr>
              <w:t>Atorvastatin 20mg tablets</w:t>
            </w:r>
          </w:p>
        </w:tc>
      </w:tr>
    </w:tbl>
    <w:p w14:paraId="28569112" w14:textId="77777777" w:rsidR="00EB094C" w:rsidRDefault="00EB094C" w:rsidP="00EB094C">
      <w:pPr>
        <w:pStyle w:val="NormalWeb"/>
        <w:jc w:val="both"/>
        <w:rPr>
          <w:rStyle w:val="Strong"/>
          <w:rFonts w:asciiTheme="minorHAnsi" w:hAnsiTheme="minorHAnsi" w:cstheme="minorBidi"/>
          <w:sz w:val="22"/>
          <w:szCs w:val="22"/>
        </w:rPr>
      </w:pPr>
    </w:p>
    <w:p w14:paraId="1C0815DD" w14:textId="77777777" w:rsidR="00EB094C" w:rsidRPr="00AA2C12" w:rsidRDefault="00EB094C" w:rsidP="00EB094C">
      <w:pPr>
        <w:pStyle w:val="NormalWeb"/>
        <w:jc w:val="both"/>
        <w:rPr>
          <w:rFonts w:asciiTheme="minorHAnsi" w:hAnsiTheme="minorHAnsi" w:cstheme="minorBidi"/>
          <w:sz w:val="22"/>
          <w:szCs w:val="22"/>
        </w:rPr>
      </w:pPr>
      <w:r w:rsidRPr="7ADA0077">
        <w:rPr>
          <w:rStyle w:val="Strong"/>
          <w:rFonts w:asciiTheme="minorHAnsi" w:hAnsiTheme="minorHAnsi" w:cstheme="minorBidi"/>
          <w:sz w:val="22"/>
          <w:szCs w:val="22"/>
        </w:rPr>
        <w:t>The SSP may be amended or revoked at any time but currently expires on 12 January 2022 – PSNC will update contractors on any changes.</w:t>
      </w:r>
    </w:p>
    <w:p w14:paraId="7D3B8D35" w14:textId="77777777" w:rsidR="00EB094C" w:rsidRDefault="00EB094C" w:rsidP="00EB094C">
      <w:pPr>
        <w:pStyle w:val="Heading3"/>
        <w:ind w:left="0"/>
        <w:jc w:val="both"/>
        <w:rPr>
          <w:rFonts w:asciiTheme="minorHAnsi" w:hAnsiTheme="minorHAnsi" w:cstheme="minorBidi"/>
        </w:rPr>
      </w:pPr>
    </w:p>
    <w:p w14:paraId="70A526DB" w14:textId="77777777" w:rsidR="00EB094C" w:rsidRPr="00AA2C12" w:rsidRDefault="00EB094C" w:rsidP="00EB094C">
      <w:pPr>
        <w:pStyle w:val="Heading3"/>
        <w:ind w:left="0"/>
        <w:jc w:val="both"/>
        <w:rPr>
          <w:rFonts w:asciiTheme="minorHAnsi" w:hAnsiTheme="minorHAnsi" w:cstheme="minorBidi"/>
        </w:rPr>
      </w:pPr>
      <w:r w:rsidRPr="7ADA0077">
        <w:rPr>
          <w:rFonts w:asciiTheme="minorHAnsi" w:hAnsiTheme="minorHAnsi" w:cstheme="minorBidi"/>
        </w:rPr>
        <w:t>Key points relating to SSP013</w:t>
      </w:r>
    </w:p>
    <w:p w14:paraId="0AD0A276" w14:textId="77777777" w:rsidR="00EB094C" w:rsidRPr="00AA2C12" w:rsidRDefault="00EB094C" w:rsidP="00E30D53">
      <w:pPr>
        <w:numPr>
          <w:ilvl w:val="0"/>
          <w:numId w:val="10"/>
        </w:numPr>
        <w:spacing w:before="100" w:beforeAutospacing="1" w:after="100" w:afterAutospacing="1" w:line="240" w:lineRule="auto"/>
        <w:jc w:val="both"/>
      </w:pPr>
      <w:r w:rsidRPr="7ADA0077">
        <w:t>Ensure that patients considered unsuitable for inclusion are promptly referred to their prescriber for further advice.</w:t>
      </w:r>
    </w:p>
    <w:p w14:paraId="00F548EF" w14:textId="77777777" w:rsidR="00EB094C" w:rsidRPr="00AA2C12" w:rsidRDefault="00EB094C" w:rsidP="00E30D53">
      <w:pPr>
        <w:numPr>
          <w:ilvl w:val="0"/>
          <w:numId w:val="10"/>
        </w:numPr>
        <w:spacing w:before="100" w:beforeAutospacing="1" w:after="100" w:afterAutospacing="1" w:line="240" w:lineRule="auto"/>
        <w:jc w:val="both"/>
      </w:pPr>
      <w:r w:rsidRPr="7ADA0077">
        <w:t>The supervising pharmacist should ensure that the patient’s prescriber is notified when supplying a patient in accordance with this SSP</w:t>
      </w:r>
    </w:p>
    <w:p w14:paraId="5CFBB7EA" w14:textId="77777777" w:rsidR="00EB094C" w:rsidRPr="00AA2C12" w:rsidRDefault="00EB094C" w:rsidP="00E30D53">
      <w:pPr>
        <w:numPr>
          <w:ilvl w:val="0"/>
          <w:numId w:val="10"/>
        </w:numPr>
        <w:spacing w:before="100" w:beforeAutospacing="1" w:after="100" w:afterAutospacing="1" w:line="240" w:lineRule="auto"/>
        <w:jc w:val="both"/>
      </w:pPr>
      <w:r w:rsidRPr="7ADA0077">
        <w:t xml:space="preserve">The supervising pharmacist </w:t>
      </w:r>
      <w:proofErr w:type="gramStart"/>
      <w:r w:rsidRPr="7ADA0077">
        <w:t>refer back</w:t>
      </w:r>
      <w:proofErr w:type="gramEnd"/>
      <w:r w:rsidRPr="7ADA0077">
        <w:t xml:space="preserve"> to the prescriber if, in their professional judgement, a non-chewable atorvastatin tablet would not be appropriate for the patient.</w:t>
      </w:r>
    </w:p>
    <w:p w14:paraId="3FCB639A" w14:textId="77777777" w:rsidR="00EB094C" w:rsidRPr="00AA2C12" w:rsidRDefault="00EB094C" w:rsidP="00E30D53">
      <w:pPr>
        <w:numPr>
          <w:ilvl w:val="0"/>
          <w:numId w:val="10"/>
        </w:numPr>
        <w:spacing w:before="100" w:beforeAutospacing="1" w:after="100" w:afterAutospacing="1" w:line="240" w:lineRule="auto"/>
        <w:jc w:val="both"/>
      </w:pPr>
      <w:r w:rsidRPr="7ADA0077">
        <w:t xml:space="preserve">For endorsing requirements please refer to </w:t>
      </w:r>
      <w:hyperlink r:id="rId31">
        <w:r w:rsidRPr="7ADA0077">
          <w:rPr>
            <w:rStyle w:val="Hyperlink"/>
          </w:rPr>
          <w:t>NHSBSA's supporting guidance</w:t>
        </w:r>
      </w:hyperlink>
      <w:r w:rsidRPr="7ADA0077">
        <w:t xml:space="preserve"> or </w:t>
      </w:r>
      <w:hyperlink r:id="rId32">
        <w:r w:rsidRPr="7ADA0077">
          <w:rPr>
            <w:rStyle w:val="Hyperlink"/>
          </w:rPr>
          <w:t>PSNC Briefing 048/21: Serious Shortage Protocol (SSP): SSP013 – Lipitor</w:t>
        </w:r>
        <w:r w:rsidRPr="7ADA0077">
          <w:rPr>
            <w:rStyle w:val="Hyperlink"/>
            <w:vertAlign w:val="superscript"/>
          </w:rPr>
          <w:t>®</w:t>
        </w:r>
        <w:r w:rsidRPr="7ADA0077">
          <w:rPr>
            <w:rStyle w:val="Hyperlink"/>
          </w:rPr>
          <w:t> 20mg chewable tablets</w:t>
        </w:r>
      </w:hyperlink>
    </w:p>
    <w:p w14:paraId="78B8D6D8" w14:textId="77777777" w:rsidR="00EB094C" w:rsidRPr="00AA2C12" w:rsidRDefault="00EB094C" w:rsidP="00EB094C">
      <w:pPr>
        <w:pStyle w:val="NormalWeb"/>
        <w:jc w:val="both"/>
        <w:rPr>
          <w:rFonts w:asciiTheme="minorHAnsi" w:hAnsiTheme="minorHAnsi" w:cstheme="minorBidi"/>
          <w:sz w:val="22"/>
          <w:szCs w:val="22"/>
        </w:rPr>
      </w:pPr>
      <w:r>
        <w:br/>
      </w:r>
      <w:r w:rsidRPr="75830DE0">
        <w:rPr>
          <w:rStyle w:val="Strong"/>
          <w:rFonts w:asciiTheme="minorHAnsi" w:hAnsiTheme="minorHAnsi" w:cstheme="minorBidi"/>
          <w:sz w:val="22"/>
          <w:szCs w:val="22"/>
        </w:rPr>
        <w:t>Pharmacists must exercise their professional judgement to ensure the alternative products are suitable for the patient.</w:t>
      </w:r>
    </w:p>
    <w:p w14:paraId="66171CBE" w14:textId="77777777" w:rsidR="00EB094C" w:rsidRDefault="00EB094C" w:rsidP="00EB094C">
      <w:pPr>
        <w:pStyle w:val="NormalWeb"/>
        <w:jc w:val="both"/>
        <w:rPr>
          <w:rFonts w:asciiTheme="minorHAnsi" w:hAnsiTheme="minorHAnsi" w:cstheme="minorBidi"/>
          <w:sz w:val="22"/>
          <w:szCs w:val="22"/>
        </w:rPr>
      </w:pPr>
    </w:p>
    <w:p w14:paraId="1FB6A407" w14:textId="77777777" w:rsidR="00EB094C" w:rsidRDefault="00EB094C" w:rsidP="00EB094C">
      <w:pPr>
        <w:pStyle w:val="NormalWeb"/>
        <w:jc w:val="both"/>
        <w:rPr>
          <w:rStyle w:val="Strong"/>
          <w:rFonts w:asciiTheme="minorHAnsi" w:hAnsiTheme="minorHAnsi" w:cstheme="minorBidi"/>
          <w:sz w:val="22"/>
          <w:szCs w:val="22"/>
        </w:rPr>
      </w:pPr>
      <w:r w:rsidRPr="7ADA0077">
        <w:rPr>
          <w:rFonts w:asciiTheme="minorHAnsi" w:hAnsiTheme="minorHAnsi" w:cstheme="minorBidi"/>
          <w:sz w:val="22"/>
          <w:szCs w:val="22"/>
        </w:rPr>
        <w:lastRenderedPageBreak/>
        <w:t xml:space="preserve">Contractors will receive an email to their shared </w:t>
      </w:r>
      <w:proofErr w:type="spellStart"/>
      <w:r w:rsidRPr="7ADA0077">
        <w:rPr>
          <w:rFonts w:asciiTheme="minorHAnsi" w:hAnsiTheme="minorHAnsi" w:cstheme="minorBidi"/>
          <w:sz w:val="22"/>
          <w:szCs w:val="22"/>
        </w:rPr>
        <w:t>NHSmail</w:t>
      </w:r>
      <w:proofErr w:type="spellEnd"/>
      <w:r w:rsidRPr="7ADA0077">
        <w:rPr>
          <w:rFonts w:asciiTheme="minorHAnsi" w:hAnsiTheme="minorHAnsi" w:cstheme="minorBidi"/>
          <w:sz w:val="22"/>
          <w:szCs w:val="22"/>
        </w:rPr>
        <w:t xml:space="preserve"> account informing them of this SSP and pharmacy teams are advised to </w:t>
      </w:r>
      <w:r w:rsidRPr="7ADA0077">
        <w:rPr>
          <w:rStyle w:val="Strong"/>
          <w:rFonts w:asciiTheme="minorHAnsi" w:hAnsiTheme="minorHAnsi" w:cstheme="minorBidi"/>
          <w:sz w:val="22"/>
          <w:szCs w:val="22"/>
        </w:rPr>
        <w:t xml:space="preserve">read the documentation for SSP013 in full and to implement the protocol with immediate effect. </w:t>
      </w:r>
    </w:p>
    <w:p w14:paraId="3CBF75D0" w14:textId="77777777" w:rsidR="00EB094C" w:rsidRDefault="00EB094C" w:rsidP="00EB094C">
      <w:pPr>
        <w:pStyle w:val="NormalWeb"/>
        <w:jc w:val="both"/>
        <w:rPr>
          <w:rStyle w:val="Strong"/>
          <w:rFonts w:asciiTheme="minorHAnsi" w:hAnsiTheme="minorHAnsi" w:cstheme="minorBidi"/>
          <w:sz w:val="22"/>
          <w:szCs w:val="22"/>
        </w:rPr>
      </w:pPr>
    </w:p>
    <w:p w14:paraId="18177B2A" w14:textId="77777777" w:rsidR="00EB094C" w:rsidRPr="00AA2C12" w:rsidRDefault="00EB094C" w:rsidP="00EB094C">
      <w:pPr>
        <w:pStyle w:val="NormalWeb"/>
        <w:jc w:val="both"/>
        <w:rPr>
          <w:rFonts w:asciiTheme="minorHAnsi" w:hAnsiTheme="minorHAnsi" w:cstheme="minorBidi"/>
          <w:sz w:val="22"/>
          <w:szCs w:val="22"/>
        </w:rPr>
      </w:pPr>
      <w:r w:rsidRPr="7ADA0077">
        <w:rPr>
          <w:rFonts w:asciiTheme="minorHAnsi" w:hAnsiTheme="minorHAnsi" w:cstheme="minorBidi"/>
          <w:sz w:val="22"/>
          <w:szCs w:val="22"/>
        </w:rPr>
        <w:t xml:space="preserve">Pharmacists are required to read and comply with the requirements outlined within the individual SSP as published on the NHSBSA website for </w:t>
      </w:r>
      <w:hyperlink r:id="rId33">
        <w:r w:rsidRPr="7ADA0077">
          <w:rPr>
            <w:rStyle w:val="Hyperlink"/>
            <w:rFonts w:asciiTheme="minorHAnsi" w:hAnsiTheme="minorHAnsi" w:cstheme="minorBidi"/>
            <w:b/>
            <w:bCs/>
            <w:sz w:val="22"/>
            <w:szCs w:val="22"/>
          </w:rPr>
          <w:t>SSP013: Lipitor</w:t>
        </w:r>
        <w:r w:rsidRPr="7ADA0077">
          <w:rPr>
            <w:rStyle w:val="Hyperlink"/>
            <w:rFonts w:asciiTheme="minorHAnsi" w:hAnsiTheme="minorHAnsi" w:cstheme="minorBidi"/>
            <w:b/>
            <w:bCs/>
            <w:sz w:val="22"/>
            <w:szCs w:val="22"/>
            <w:vertAlign w:val="superscript"/>
          </w:rPr>
          <w:t>®</w:t>
        </w:r>
        <w:r w:rsidRPr="7ADA0077">
          <w:rPr>
            <w:rStyle w:val="Hyperlink"/>
            <w:rFonts w:asciiTheme="minorHAnsi" w:hAnsiTheme="minorHAnsi" w:cstheme="minorBidi"/>
            <w:b/>
            <w:bCs/>
            <w:sz w:val="22"/>
            <w:szCs w:val="22"/>
          </w:rPr>
          <w:t xml:space="preserve"> 20mg chewable tablets</w:t>
        </w:r>
      </w:hyperlink>
      <w:hyperlink r:id="rId34">
        <w:r w:rsidRPr="7ADA0077">
          <w:rPr>
            <w:rStyle w:val="Hyperlink"/>
            <w:rFonts w:asciiTheme="minorHAnsi" w:hAnsiTheme="minorHAnsi" w:cstheme="minorBidi"/>
            <w:sz w:val="22"/>
            <w:szCs w:val="22"/>
          </w:rPr>
          <w:t>.</w:t>
        </w:r>
      </w:hyperlink>
    </w:p>
    <w:p w14:paraId="57DCC27D" w14:textId="77777777" w:rsidR="00EB094C" w:rsidRDefault="00EB094C" w:rsidP="00EB094C">
      <w:pPr>
        <w:pStyle w:val="NormalWeb"/>
        <w:jc w:val="both"/>
        <w:rPr>
          <w:rFonts w:asciiTheme="minorHAnsi" w:hAnsiTheme="minorHAnsi" w:cstheme="minorBidi"/>
          <w:sz w:val="22"/>
          <w:szCs w:val="22"/>
        </w:rPr>
      </w:pPr>
    </w:p>
    <w:p w14:paraId="4B1E1325" w14:textId="77777777" w:rsidR="00EB094C" w:rsidRPr="00AA2C12" w:rsidRDefault="00EB094C" w:rsidP="00EB094C">
      <w:pPr>
        <w:pStyle w:val="NormalWeb"/>
        <w:jc w:val="both"/>
        <w:rPr>
          <w:rFonts w:asciiTheme="minorHAnsi" w:hAnsiTheme="minorHAnsi" w:cstheme="minorBidi"/>
          <w:sz w:val="22"/>
          <w:szCs w:val="22"/>
        </w:rPr>
      </w:pPr>
      <w:r w:rsidRPr="7ADA0077">
        <w:rPr>
          <w:rFonts w:asciiTheme="minorHAnsi" w:hAnsiTheme="minorHAnsi" w:cstheme="minorBidi"/>
          <w:sz w:val="22"/>
          <w:szCs w:val="22"/>
        </w:rPr>
        <w:t xml:space="preserve">For further information please read </w:t>
      </w:r>
      <w:hyperlink r:id="rId35">
        <w:r w:rsidRPr="7ADA0077">
          <w:rPr>
            <w:rStyle w:val="Hyperlink"/>
            <w:rFonts w:asciiTheme="minorHAnsi" w:hAnsiTheme="minorHAnsi" w:cstheme="minorBidi"/>
            <w:sz w:val="22"/>
            <w:szCs w:val="22"/>
          </w:rPr>
          <w:t>PSNC Briefing 048/21: Serious Shortage Protocol (SSP): SSP013 – Lipitor</w:t>
        </w:r>
        <w:r w:rsidRPr="7ADA0077">
          <w:rPr>
            <w:rStyle w:val="Hyperlink"/>
            <w:rFonts w:asciiTheme="minorHAnsi" w:hAnsiTheme="minorHAnsi" w:cstheme="minorBidi"/>
            <w:sz w:val="22"/>
            <w:szCs w:val="22"/>
            <w:vertAlign w:val="superscript"/>
          </w:rPr>
          <w:t>®</w:t>
        </w:r>
        <w:r w:rsidRPr="7ADA0077">
          <w:rPr>
            <w:rStyle w:val="Hyperlink"/>
            <w:rFonts w:asciiTheme="minorHAnsi" w:hAnsiTheme="minorHAnsi" w:cstheme="minorBidi"/>
            <w:sz w:val="22"/>
            <w:szCs w:val="22"/>
          </w:rPr>
          <w:t> 20mg chewable tablets</w:t>
        </w:r>
      </w:hyperlink>
      <w:r w:rsidRPr="7ADA0077">
        <w:rPr>
          <w:rFonts w:asciiTheme="minorHAnsi" w:hAnsiTheme="minorHAnsi" w:cstheme="minorBidi"/>
          <w:sz w:val="22"/>
          <w:szCs w:val="22"/>
        </w:rPr>
        <w:t>.</w:t>
      </w:r>
    </w:p>
    <w:p w14:paraId="5BD15532" w14:textId="77777777" w:rsidR="00EB094C" w:rsidRDefault="00EB094C" w:rsidP="00EB094C"/>
    <w:p w14:paraId="08BE4871" w14:textId="77777777" w:rsidR="00EB094C" w:rsidRDefault="00EB094C" w:rsidP="00EB094C"/>
    <w:p w14:paraId="06EDD266" w14:textId="77777777" w:rsidR="00EB094C" w:rsidRDefault="00EB094C" w:rsidP="00EB094C">
      <w:pPr>
        <w:pStyle w:val="Heading4"/>
        <w:rPr>
          <w:rFonts w:ascii="Calibri Light" w:hAnsi="Calibri Light" w:cs="Calibri Light"/>
          <w:i w:val="0"/>
          <w:iCs w:val="0"/>
          <w:sz w:val="32"/>
          <w:szCs w:val="32"/>
        </w:rPr>
      </w:pPr>
      <w:bookmarkStart w:id="12" w:name="_Further_extension_to"/>
      <w:bookmarkEnd w:id="12"/>
      <w:r w:rsidRPr="00733E96">
        <w:rPr>
          <w:rFonts w:ascii="Calibri Light" w:hAnsi="Calibri Light" w:cs="Calibri Light"/>
          <w:i w:val="0"/>
          <w:iCs w:val="0"/>
          <w:sz w:val="32"/>
          <w:szCs w:val="32"/>
        </w:rPr>
        <w:t>Further extension to SSP05 for Fluoxetine 10mg tablets</w:t>
      </w:r>
    </w:p>
    <w:p w14:paraId="6CAD4122" w14:textId="77777777" w:rsidR="00EB094C" w:rsidRDefault="00EB094C" w:rsidP="00EB094C"/>
    <w:p w14:paraId="4DA8AA64" w14:textId="77777777" w:rsidR="00EB094C" w:rsidRDefault="00EB094C" w:rsidP="00EB094C">
      <w:r>
        <w:t>SSP05 for Fluoxetine 10mg tablets was previously expected to expire on 12 November 2021 but the end date has been further extended to Friday 11 February 2022.</w:t>
      </w:r>
    </w:p>
    <w:p w14:paraId="5A9D8DAD" w14:textId="77777777" w:rsidR="00EB094C" w:rsidRDefault="00EB094C" w:rsidP="00EB094C"/>
    <w:p w14:paraId="69510D65" w14:textId="77777777" w:rsidR="00EB094C" w:rsidRPr="0048201B" w:rsidDel="0027378E" w:rsidRDefault="00EB094C" w:rsidP="00EB094C">
      <w:pPr>
        <w:rPr>
          <w:b/>
          <w:bCs/>
          <w:u w:val="single"/>
        </w:rPr>
      </w:pPr>
      <w:r w:rsidRPr="587BDBD4">
        <w:rPr>
          <w:b/>
          <w:bCs/>
          <w:u w:val="single"/>
        </w:rPr>
        <w:t>List of active SSPs</w:t>
      </w:r>
    </w:p>
    <w:tbl>
      <w:tblPr>
        <w:tblW w:w="6295" w:type="dxa"/>
        <w:tblLook w:val="04A0" w:firstRow="1" w:lastRow="0" w:firstColumn="1" w:lastColumn="0" w:noHBand="0" w:noVBand="1"/>
      </w:tblPr>
      <w:tblGrid>
        <w:gridCol w:w="4120"/>
        <w:gridCol w:w="2175"/>
      </w:tblGrid>
      <w:tr w:rsidR="00EB094C" w:rsidRPr="0027378E" w14:paraId="06210F26" w14:textId="77777777" w:rsidTr="003A24C9">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659200"/>
            <w:noWrap/>
            <w:vAlign w:val="center"/>
            <w:hideMark/>
          </w:tcPr>
          <w:p w14:paraId="657BDCF1" w14:textId="77777777" w:rsidR="00EB094C" w:rsidRPr="0027378E" w:rsidRDefault="00EB094C" w:rsidP="003A24C9">
            <w:pPr>
              <w:jc w:val="both"/>
              <w:rPr>
                <w:rFonts w:eastAsia="Times New Roman"/>
                <w:b/>
                <w:color w:val="FFFFFF" w:themeColor="background1"/>
                <w:lang w:eastAsia="en-GB"/>
              </w:rPr>
            </w:pPr>
            <w:r w:rsidRPr="6B8E8425">
              <w:rPr>
                <w:rFonts w:eastAsia="Times New Roman"/>
                <w:b/>
                <w:color w:val="FFFFFF" w:themeColor="background1"/>
                <w:lang w:eastAsia="en-GB"/>
              </w:rPr>
              <w:t>SSP</w:t>
            </w:r>
          </w:p>
        </w:tc>
        <w:tc>
          <w:tcPr>
            <w:tcW w:w="2175" w:type="dxa"/>
            <w:tcBorders>
              <w:top w:val="single" w:sz="4" w:space="0" w:color="auto"/>
              <w:left w:val="nil"/>
              <w:bottom w:val="single" w:sz="4" w:space="0" w:color="auto"/>
              <w:right w:val="single" w:sz="4" w:space="0" w:color="auto"/>
            </w:tcBorders>
            <w:shd w:val="clear" w:color="auto" w:fill="659200"/>
            <w:noWrap/>
            <w:vAlign w:val="center"/>
            <w:hideMark/>
          </w:tcPr>
          <w:p w14:paraId="5BD7F00D" w14:textId="77777777" w:rsidR="00EB094C" w:rsidRPr="0027378E" w:rsidRDefault="00EB094C" w:rsidP="003A24C9">
            <w:pPr>
              <w:jc w:val="both"/>
              <w:rPr>
                <w:rFonts w:eastAsia="Times New Roman"/>
                <w:b/>
                <w:color w:val="FFFFFF" w:themeColor="background1"/>
                <w:lang w:eastAsia="en-GB"/>
              </w:rPr>
            </w:pPr>
            <w:r w:rsidRPr="1ED24584">
              <w:rPr>
                <w:rFonts w:eastAsia="Times New Roman"/>
                <w:b/>
                <w:bCs/>
                <w:color w:val="FFFFFF" w:themeColor="background1"/>
                <w:lang w:eastAsia="en-GB"/>
              </w:rPr>
              <w:t xml:space="preserve">Current </w:t>
            </w:r>
            <w:r w:rsidRPr="7303C09E">
              <w:rPr>
                <w:rFonts w:eastAsia="Times New Roman"/>
                <w:b/>
                <w:bCs/>
                <w:color w:val="FFFFFF" w:themeColor="background1"/>
                <w:lang w:eastAsia="en-GB"/>
              </w:rPr>
              <w:t>expiry</w:t>
            </w:r>
            <w:r w:rsidRPr="6B8E8425">
              <w:rPr>
                <w:rFonts w:eastAsia="Times New Roman"/>
                <w:b/>
                <w:color w:val="FFFFFF" w:themeColor="background1"/>
                <w:lang w:eastAsia="en-GB"/>
              </w:rPr>
              <w:t xml:space="preserve"> </w:t>
            </w:r>
            <w:r w:rsidRPr="6B8E8425">
              <w:rPr>
                <w:rFonts w:eastAsia="Times New Roman"/>
                <w:b/>
                <w:bCs/>
                <w:color w:val="FFFFFF" w:themeColor="background1"/>
                <w:lang w:eastAsia="en-GB"/>
              </w:rPr>
              <w:t>date</w:t>
            </w:r>
          </w:p>
        </w:tc>
      </w:tr>
      <w:tr w:rsidR="00EB094C" w:rsidRPr="0027378E" w14:paraId="56C05CB3" w14:textId="77777777" w:rsidTr="003A24C9">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ED1E9" w14:textId="77777777" w:rsidR="00EB094C" w:rsidRPr="00C27A01" w:rsidRDefault="00933807" w:rsidP="003A24C9">
            <w:pPr>
              <w:jc w:val="both"/>
              <w:rPr>
                <w:rFonts w:eastAsia="Times New Roman"/>
                <w:color w:val="FFFFFF" w:themeColor="background1"/>
                <w:lang w:eastAsia="en-GB"/>
              </w:rPr>
            </w:pPr>
            <w:hyperlink r:id="rId36" w:history="1">
              <w:r w:rsidR="00EB094C" w:rsidRPr="00C27A01">
                <w:rPr>
                  <w:rStyle w:val="Hyperlink"/>
                </w:rPr>
                <w:t>SSP013:</w:t>
              </w:r>
              <w:r w:rsidR="00EB094C">
                <w:rPr>
                  <w:rStyle w:val="Hyperlink"/>
                </w:rPr>
                <w:t xml:space="preserve"> </w:t>
              </w:r>
              <w:r w:rsidR="00EB094C" w:rsidRPr="00C27A01">
                <w:rPr>
                  <w:rStyle w:val="normaltextrun"/>
                  <w:color w:val="0000FF"/>
                </w:rPr>
                <w:t>Lipitor</w:t>
              </w:r>
              <w:r w:rsidR="00EB094C" w:rsidRPr="00C27A01">
                <w:rPr>
                  <w:rStyle w:val="normaltextrun"/>
                  <w:color w:val="0000FF"/>
                  <w:vertAlign w:val="superscript"/>
                </w:rPr>
                <w:t>®</w:t>
              </w:r>
              <w:r w:rsidR="00EB094C" w:rsidRPr="00C27A01">
                <w:rPr>
                  <w:rStyle w:val="normaltextrun"/>
                  <w:color w:val="0000FF"/>
                </w:rPr>
                <w:t xml:space="preserve"> 20mg chewable tablets</w:t>
              </w:r>
            </w:hyperlink>
          </w:p>
        </w:tc>
        <w:tc>
          <w:tcPr>
            <w:tcW w:w="2175" w:type="dxa"/>
            <w:tcBorders>
              <w:top w:val="single" w:sz="4" w:space="0" w:color="auto"/>
              <w:left w:val="nil"/>
              <w:bottom w:val="single" w:sz="4" w:space="0" w:color="auto"/>
              <w:right w:val="single" w:sz="4" w:space="0" w:color="auto"/>
            </w:tcBorders>
            <w:shd w:val="clear" w:color="auto" w:fill="auto"/>
            <w:noWrap/>
            <w:vAlign w:val="center"/>
          </w:tcPr>
          <w:p w14:paraId="13D7BED3" w14:textId="77777777" w:rsidR="00EB094C" w:rsidRPr="000505F0" w:rsidRDefault="00EB094C" w:rsidP="003A24C9">
            <w:pPr>
              <w:jc w:val="both"/>
              <w:rPr>
                <w:rFonts w:eastAsia="Times New Roman"/>
                <w:color w:val="000000" w:themeColor="text1"/>
                <w:lang w:eastAsia="en-GB"/>
              </w:rPr>
            </w:pPr>
            <w:r w:rsidRPr="000505F0">
              <w:rPr>
                <w:rFonts w:eastAsia="Times New Roman"/>
                <w:color w:val="000000" w:themeColor="text1"/>
                <w:lang w:eastAsia="en-GB"/>
              </w:rPr>
              <w:t>12 January 2022</w:t>
            </w:r>
          </w:p>
        </w:tc>
      </w:tr>
      <w:tr w:rsidR="00EB094C" w:rsidRPr="0027378E" w14:paraId="452AD89D" w14:textId="77777777" w:rsidTr="003A24C9">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2CB113C6" w14:textId="77777777" w:rsidR="00EB094C" w:rsidRPr="0027378E" w:rsidRDefault="00933807" w:rsidP="003A24C9">
            <w:pPr>
              <w:jc w:val="both"/>
              <w:rPr>
                <w:rFonts w:eastAsia="Times New Roman"/>
                <w:color w:val="0000FF"/>
                <w:u w:val="single"/>
                <w:lang w:eastAsia="en-GB"/>
              </w:rPr>
            </w:pPr>
            <w:hyperlink r:id="rId37">
              <w:r w:rsidR="00EB094C" w:rsidRPr="4A031088">
                <w:rPr>
                  <w:rFonts w:eastAsia="Times New Roman"/>
                  <w:color w:val="0000FF"/>
                  <w:u w:val="single"/>
                  <w:lang w:eastAsia="en-GB"/>
                </w:rPr>
                <w:t>SSP05: Fluoxetine 10mg tablets</w:t>
              </w:r>
            </w:hyperlink>
          </w:p>
        </w:tc>
        <w:tc>
          <w:tcPr>
            <w:tcW w:w="2175" w:type="dxa"/>
            <w:tcBorders>
              <w:top w:val="nil"/>
              <w:left w:val="nil"/>
              <w:bottom w:val="single" w:sz="4" w:space="0" w:color="auto"/>
              <w:right w:val="single" w:sz="4" w:space="0" w:color="auto"/>
            </w:tcBorders>
            <w:shd w:val="clear" w:color="auto" w:fill="auto"/>
            <w:noWrap/>
            <w:vAlign w:val="center"/>
            <w:hideMark/>
          </w:tcPr>
          <w:p w14:paraId="2050571E" w14:textId="77777777" w:rsidR="00EB094C" w:rsidRPr="0027378E" w:rsidRDefault="00EB094C" w:rsidP="003A24C9">
            <w:pPr>
              <w:jc w:val="both"/>
              <w:rPr>
                <w:rFonts w:eastAsia="Times New Roman"/>
                <w:color w:val="000000"/>
                <w:lang w:eastAsia="en-GB"/>
              </w:rPr>
            </w:pPr>
            <w:r w:rsidRPr="6B8E8425">
              <w:rPr>
                <w:rFonts w:eastAsia="Times New Roman"/>
                <w:color w:val="000000" w:themeColor="text1"/>
                <w:lang w:eastAsia="en-GB"/>
              </w:rPr>
              <w:t>1</w:t>
            </w:r>
            <w:r>
              <w:rPr>
                <w:rFonts w:eastAsia="Times New Roman"/>
                <w:color w:val="000000" w:themeColor="text1"/>
                <w:lang w:eastAsia="en-GB"/>
              </w:rPr>
              <w:t>1</w:t>
            </w:r>
            <w:r w:rsidRPr="6B8E8425">
              <w:rPr>
                <w:rFonts w:eastAsia="Times New Roman"/>
                <w:color w:val="000000" w:themeColor="text1"/>
                <w:lang w:eastAsia="en-GB"/>
              </w:rPr>
              <w:t xml:space="preserve"> </w:t>
            </w:r>
            <w:r>
              <w:rPr>
                <w:rFonts w:eastAsia="Times New Roman"/>
                <w:color w:val="000000" w:themeColor="text1"/>
                <w:lang w:eastAsia="en-GB"/>
              </w:rPr>
              <w:t>February 2022</w:t>
            </w:r>
          </w:p>
        </w:tc>
      </w:tr>
    </w:tbl>
    <w:p w14:paraId="17C4DA27" w14:textId="77777777" w:rsidR="00EB094C" w:rsidRPr="00015C45" w:rsidRDefault="00EB094C" w:rsidP="00EB094C">
      <w:pPr>
        <w:spacing w:before="240"/>
        <w:rPr>
          <w:rFonts w:eastAsia="Times New Roman" w:cstheme="minorHAnsi"/>
          <w:color w:val="000000" w:themeColor="text1"/>
          <w:lang w:eastAsia="en-GB"/>
        </w:rPr>
      </w:pPr>
      <w:r w:rsidRPr="47EEB0E0">
        <w:rPr>
          <w:color w:val="000000" w:themeColor="text1"/>
        </w:rPr>
        <w:t xml:space="preserve">Further information on SSPs can be found on PSNC’s </w:t>
      </w:r>
      <w:hyperlink r:id="rId38">
        <w:r w:rsidRPr="47EEB0E0">
          <w:rPr>
            <w:rStyle w:val="Hyperlink"/>
          </w:rPr>
          <w:t>Live SSPs</w:t>
        </w:r>
      </w:hyperlink>
      <w:r w:rsidRPr="47EEB0E0">
        <w:rPr>
          <w:color w:val="000000" w:themeColor="text1"/>
        </w:rPr>
        <w:t xml:space="preserve"> webpage</w:t>
      </w:r>
    </w:p>
    <w:p w14:paraId="75F1B8D8" w14:textId="77777777" w:rsidR="00EB094C" w:rsidRDefault="00EB094C" w:rsidP="00EB094C"/>
    <w:p w14:paraId="554D3CE4" w14:textId="77777777" w:rsidR="00EB094C" w:rsidRPr="00DE1872" w:rsidRDefault="00EB094C" w:rsidP="00EB094C"/>
    <w:p w14:paraId="0F25CB93" w14:textId="77777777" w:rsidR="00EB094C" w:rsidRDefault="00EB094C" w:rsidP="00EB094C">
      <w:pPr>
        <w:pStyle w:val="Heading4"/>
        <w:rPr>
          <w:rFonts w:ascii="Calibri Light" w:hAnsi="Calibri Light" w:cs="Calibri Light"/>
          <w:i w:val="0"/>
          <w:iCs w:val="0"/>
          <w:sz w:val="32"/>
          <w:szCs w:val="32"/>
        </w:rPr>
      </w:pPr>
      <w:bookmarkStart w:id="13" w:name="_Summary_of_payments"/>
      <w:bookmarkStart w:id="14" w:name="payment_table"/>
      <w:bookmarkStart w:id="15" w:name="_Hlk87878102"/>
      <w:bookmarkEnd w:id="13"/>
      <w:r w:rsidRPr="00DD7C5A">
        <w:rPr>
          <w:rFonts w:ascii="Calibri Light" w:hAnsi="Calibri Light" w:cs="Calibri Light"/>
          <w:i w:val="0"/>
          <w:iCs w:val="0"/>
          <w:sz w:val="32"/>
          <w:szCs w:val="32"/>
        </w:rPr>
        <w:t>Summary of payments including claiming deadline</w:t>
      </w:r>
      <w:r>
        <w:rPr>
          <w:rFonts w:ascii="Calibri Light" w:hAnsi="Calibri Light" w:cs="Calibri Light"/>
          <w:i w:val="0"/>
          <w:iCs w:val="0"/>
          <w:sz w:val="32"/>
          <w:szCs w:val="32"/>
        </w:rPr>
        <w:t>s</w:t>
      </w:r>
    </w:p>
    <w:bookmarkEnd w:id="14"/>
    <w:bookmarkEnd w:id="15"/>
    <w:p w14:paraId="37FF8A97" w14:textId="77777777" w:rsidR="00EB094C" w:rsidRDefault="00EB094C" w:rsidP="00EB094C">
      <w:pPr>
        <w:jc w:val="both"/>
      </w:pPr>
      <w:r>
        <w:br/>
      </w:r>
      <w:r w:rsidRPr="0DE9A70C">
        <w:t xml:space="preserve">PSNC has updated its </w:t>
      </w:r>
      <w:hyperlink r:id="rId39">
        <w:r w:rsidRPr="0DE9A70C">
          <w:rPr>
            <w:rStyle w:val="Hyperlink"/>
          </w:rPr>
          <w:t>payment timetable and deadline tracker</w:t>
        </w:r>
      </w:hyperlink>
      <w:r w:rsidRPr="0DE9A70C">
        <w:t xml:space="preserve"> to assist community pharmacy contractors with checking and/or claiming payments for the following services:</w:t>
      </w:r>
    </w:p>
    <w:p w14:paraId="61748192"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0">
        <w:r w:rsidR="00EB094C" w:rsidRPr="007E7D75">
          <w:rPr>
            <w:rStyle w:val="Hyperlink"/>
            <w:color w:val="000000" w:themeColor="text1"/>
          </w:rPr>
          <w:t>Pharmacy Quality Scheme (PQS) 2021/22</w:t>
        </w:r>
      </w:hyperlink>
    </w:p>
    <w:p w14:paraId="4D9B9927"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1">
        <w:r w:rsidR="00EB094C" w:rsidRPr="007E7D75">
          <w:rPr>
            <w:rStyle w:val="Hyperlink"/>
            <w:color w:val="000000" w:themeColor="text1"/>
          </w:rPr>
          <w:t>C-19 Lateral Flow Device Distribution Service</w:t>
        </w:r>
      </w:hyperlink>
    </w:p>
    <w:p w14:paraId="654F4236"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2">
        <w:r w:rsidR="00EB094C" w:rsidRPr="007E7D75">
          <w:rPr>
            <w:rStyle w:val="Hyperlink"/>
            <w:color w:val="000000" w:themeColor="text1"/>
          </w:rPr>
          <w:t>Hypertension Case-Finding Service</w:t>
        </w:r>
      </w:hyperlink>
    </w:p>
    <w:p w14:paraId="2CABF1AD"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3">
        <w:r w:rsidR="00EB094C" w:rsidRPr="007E7D75">
          <w:rPr>
            <w:rStyle w:val="Hyperlink"/>
            <w:color w:val="000000" w:themeColor="text1"/>
          </w:rPr>
          <w:t>Flu Vaccination Service</w:t>
        </w:r>
      </w:hyperlink>
    </w:p>
    <w:p w14:paraId="5B634E71"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4">
        <w:r w:rsidR="00EB094C" w:rsidRPr="007E7D75">
          <w:rPr>
            <w:rStyle w:val="Hyperlink"/>
            <w:color w:val="000000" w:themeColor="text1"/>
          </w:rPr>
          <w:t>Pandemic Delivery Service</w:t>
        </w:r>
      </w:hyperlink>
    </w:p>
    <w:p w14:paraId="0BC521AA"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5">
        <w:r w:rsidR="00EB094C" w:rsidRPr="007E7D75">
          <w:rPr>
            <w:rStyle w:val="Hyperlink"/>
            <w:color w:val="000000" w:themeColor="text1"/>
          </w:rPr>
          <w:t>Community Pharmacist Consultation Service (CPCS)</w:t>
        </w:r>
      </w:hyperlink>
    </w:p>
    <w:p w14:paraId="24A93DB8"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6">
        <w:r w:rsidR="00EB094C" w:rsidRPr="007E7D75">
          <w:rPr>
            <w:rStyle w:val="Hyperlink"/>
            <w:color w:val="000000" w:themeColor="text1"/>
          </w:rPr>
          <w:t>Appliance Use Review Service (AUR)</w:t>
        </w:r>
      </w:hyperlink>
    </w:p>
    <w:p w14:paraId="0BB16FD9"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color w:val="000000" w:themeColor="text1"/>
        </w:rPr>
      </w:pPr>
      <w:hyperlink r:id="rId47">
        <w:r w:rsidR="00EB094C" w:rsidRPr="007E7D75">
          <w:rPr>
            <w:rStyle w:val="Hyperlink"/>
            <w:color w:val="000000" w:themeColor="text1"/>
          </w:rPr>
          <w:t>New Medicine Service (NMS)</w:t>
        </w:r>
      </w:hyperlink>
    </w:p>
    <w:p w14:paraId="311C8D8F"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8">
        <w:r w:rsidR="00EB094C" w:rsidRPr="007E7D75">
          <w:rPr>
            <w:rStyle w:val="Hyperlink"/>
            <w:color w:val="000000" w:themeColor="text1"/>
          </w:rPr>
          <w:t>Discharge Medicines Service</w:t>
        </w:r>
      </w:hyperlink>
    </w:p>
    <w:p w14:paraId="2F6F637E"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rFonts w:eastAsiaTheme="minorEastAsia"/>
          <w:color w:val="000000" w:themeColor="text1"/>
        </w:rPr>
      </w:pPr>
      <w:hyperlink r:id="rId49">
        <w:r w:rsidR="00EB094C" w:rsidRPr="007E7D75">
          <w:rPr>
            <w:rStyle w:val="Hyperlink"/>
            <w:color w:val="000000" w:themeColor="text1"/>
          </w:rPr>
          <w:t>Covid-19 Vaccinations (Please note, this is a locally commissioned service)</w:t>
        </w:r>
      </w:hyperlink>
    </w:p>
    <w:p w14:paraId="5F48A99F"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color w:val="000000" w:themeColor="text1"/>
        </w:rPr>
      </w:pPr>
      <w:hyperlink r:id="rId50">
        <w:r w:rsidR="00EB094C" w:rsidRPr="007E7D75">
          <w:rPr>
            <w:rStyle w:val="Hyperlink"/>
            <w:color w:val="000000" w:themeColor="text1"/>
          </w:rPr>
          <w:t>Hepatitis C Testing Service</w:t>
        </w:r>
      </w:hyperlink>
    </w:p>
    <w:p w14:paraId="01A0123B" w14:textId="77777777" w:rsidR="00EB094C" w:rsidRPr="007E7D75" w:rsidRDefault="00933807" w:rsidP="00E30D53">
      <w:pPr>
        <w:pStyle w:val="ListParagraph"/>
        <w:widowControl w:val="0"/>
        <w:numPr>
          <w:ilvl w:val="0"/>
          <w:numId w:val="6"/>
        </w:numPr>
        <w:autoSpaceDE w:val="0"/>
        <w:autoSpaceDN w:val="0"/>
        <w:spacing w:after="0" w:line="240" w:lineRule="auto"/>
        <w:contextualSpacing w:val="0"/>
        <w:jc w:val="both"/>
        <w:rPr>
          <w:color w:val="000000" w:themeColor="text1"/>
        </w:rPr>
      </w:pPr>
      <w:hyperlink r:id="rId51">
        <w:r w:rsidR="00EB094C" w:rsidRPr="007E7D75">
          <w:rPr>
            <w:rStyle w:val="Hyperlink"/>
            <w:color w:val="000000" w:themeColor="text1"/>
          </w:rPr>
          <w:t>Stoma Appliance Customisation</w:t>
        </w:r>
      </w:hyperlink>
    </w:p>
    <w:p w14:paraId="74E81043" w14:textId="77777777" w:rsidR="00EB094C" w:rsidRDefault="00EB094C" w:rsidP="00EB094C">
      <w:pPr>
        <w:jc w:val="both"/>
      </w:pPr>
      <w:r>
        <w:lastRenderedPageBreak/>
        <w:br/>
      </w:r>
      <w:r w:rsidRPr="0DE9A70C">
        <w:t>The payment timetable and deadline tracker for each service outlines the following:</w:t>
      </w:r>
    </w:p>
    <w:p w14:paraId="05C4C857" w14:textId="77777777" w:rsidR="00EB094C" w:rsidRDefault="00EB094C" w:rsidP="00E30D53">
      <w:pPr>
        <w:pStyle w:val="ListParagraph"/>
        <w:widowControl w:val="0"/>
        <w:numPr>
          <w:ilvl w:val="0"/>
          <w:numId w:val="6"/>
        </w:numPr>
        <w:autoSpaceDE w:val="0"/>
        <w:autoSpaceDN w:val="0"/>
        <w:spacing w:after="0" w:line="240" w:lineRule="auto"/>
        <w:contextualSpacing w:val="0"/>
        <w:jc w:val="both"/>
        <w:rPr>
          <w:rFonts w:eastAsiaTheme="minorEastAsia"/>
        </w:rPr>
      </w:pPr>
      <w:r w:rsidRPr="0DE9A70C">
        <w:t>how to claim including any deadline for claiming (where applicable</w:t>
      </w:r>
      <w:proofErr w:type="gramStart"/>
      <w:r w:rsidRPr="0DE9A70C">
        <w:t>);</w:t>
      </w:r>
      <w:proofErr w:type="gramEnd"/>
    </w:p>
    <w:p w14:paraId="69466322" w14:textId="77777777" w:rsidR="00EB094C" w:rsidRDefault="00EB094C" w:rsidP="00E30D53">
      <w:pPr>
        <w:pStyle w:val="ListParagraph"/>
        <w:widowControl w:val="0"/>
        <w:numPr>
          <w:ilvl w:val="0"/>
          <w:numId w:val="6"/>
        </w:numPr>
        <w:autoSpaceDE w:val="0"/>
        <w:autoSpaceDN w:val="0"/>
        <w:spacing w:after="0" w:line="240" w:lineRule="auto"/>
        <w:contextualSpacing w:val="0"/>
        <w:jc w:val="both"/>
        <w:rPr>
          <w:rFonts w:eastAsiaTheme="minorEastAsia"/>
        </w:rPr>
      </w:pPr>
      <w:r w:rsidRPr="0DE9A70C">
        <w:t xml:space="preserve">timing of </w:t>
      </w:r>
      <w:proofErr w:type="gramStart"/>
      <w:r w:rsidRPr="0DE9A70C">
        <w:t>payments;</w:t>
      </w:r>
      <w:proofErr w:type="gramEnd"/>
    </w:p>
    <w:p w14:paraId="4C55EBAA" w14:textId="77777777" w:rsidR="00EB094C" w:rsidRDefault="00EB094C" w:rsidP="00E30D53">
      <w:pPr>
        <w:pStyle w:val="ListParagraph"/>
        <w:widowControl w:val="0"/>
        <w:numPr>
          <w:ilvl w:val="0"/>
          <w:numId w:val="6"/>
        </w:numPr>
        <w:autoSpaceDE w:val="0"/>
        <w:autoSpaceDN w:val="0"/>
        <w:spacing w:after="0" w:line="240" w:lineRule="auto"/>
        <w:contextualSpacing w:val="0"/>
        <w:jc w:val="both"/>
        <w:rPr>
          <w:rFonts w:eastAsiaTheme="minorEastAsia"/>
        </w:rPr>
      </w:pPr>
      <w:r w:rsidRPr="0DE9A70C">
        <w:t>payment amount; and</w:t>
      </w:r>
    </w:p>
    <w:p w14:paraId="173EAA35" w14:textId="77777777" w:rsidR="00EB094C" w:rsidRDefault="00EB094C" w:rsidP="00E30D53">
      <w:pPr>
        <w:pStyle w:val="ListParagraph"/>
        <w:widowControl w:val="0"/>
        <w:numPr>
          <w:ilvl w:val="0"/>
          <w:numId w:val="6"/>
        </w:numPr>
        <w:autoSpaceDE w:val="0"/>
        <w:autoSpaceDN w:val="0"/>
        <w:spacing w:after="0" w:line="240" w:lineRule="auto"/>
        <w:contextualSpacing w:val="0"/>
        <w:jc w:val="both"/>
        <w:rPr>
          <w:rFonts w:eastAsiaTheme="minorEastAsia"/>
        </w:rPr>
      </w:pPr>
      <w:r w:rsidRPr="0DE9A70C">
        <w:t>how payments will appear on the Schedule of Payments.</w:t>
      </w:r>
    </w:p>
    <w:p w14:paraId="5A1477BD" w14:textId="77777777" w:rsidR="00EB094C" w:rsidRDefault="00EB094C" w:rsidP="00EB094C"/>
    <w:p w14:paraId="5E42683F" w14:textId="77777777" w:rsidR="00EB094C" w:rsidRDefault="00EB094C" w:rsidP="00EB094C">
      <w:pPr>
        <w:jc w:val="both"/>
      </w:pPr>
      <w:r w:rsidRPr="0DE9A70C">
        <w:t xml:space="preserve">Note: the payment timetable also includes details of other payments for e.g. transitional arrangements for the </w:t>
      </w:r>
      <w:hyperlink r:id="rId52">
        <w:r w:rsidRPr="0DE9A70C">
          <w:rPr>
            <w:rStyle w:val="Hyperlink"/>
          </w:rPr>
          <w:t>Pharmacy Earlier Payment Scheme (PEPS)</w:t>
        </w:r>
      </w:hyperlink>
      <w:r w:rsidRPr="0DE9A70C">
        <w:t xml:space="preserve">. </w:t>
      </w:r>
    </w:p>
    <w:p w14:paraId="34A629E1" w14:textId="77777777" w:rsidR="00EB094C" w:rsidRPr="00A12C9F" w:rsidRDefault="00EB094C" w:rsidP="00EB094C">
      <w:pPr>
        <w:pStyle w:val="NormalWeb"/>
        <w:jc w:val="both"/>
        <w:rPr>
          <w:rFonts w:asciiTheme="minorHAnsi" w:hAnsiTheme="minorHAnsi" w:cstheme="minorBidi"/>
          <w:b/>
          <w:bCs/>
          <w:sz w:val="22"/>
          <w:szCs w:val="22"/>
        </w:rPr>
      </w:pPr>
    </w:p>
    <w:p w14:paraId="65A17347" w14:textId="77777777" w:rsidR="00EB094C" w:rsidRDefault="00EB094C" w:rsidP="00EB094C">
      <w:pPr>
        <w:pStyle w:val="NormalWeb"/>
        <w:jc w:val="both"/>
        <w:rPr>
          <w:rFonts w:asciiTheme="minorHAnsi" w:hAnsiTheme="minorHAnsi" w:cstheme="minorBidi"/>
          <w:b/>
          <w:bCs/>
          <w:sz w:val="22"/>
          <w:szCs w:val="22"/>
        </w:rPr>
      </w:pPr>
      <w:r w:rsidRPr="0DE9A70C">
        <w:rPr>
          <w:rFonts w:asciiTheme="minorHAnsi" w:hAnsiTheme="minorHAnsi" w:cstheme="minorBidi"/>
          <w:b/>
          <w:bCs/>
          <w:sz w:val="22"/>
          <w:szCs w:val="22"/>
        </w:rPr>
        <w:t>Payment timetable and deadline tracker</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25"/>
        <w:gridCol w:w="1781"/>
        <w:gridCol w:w="1710"/>
        <w:gridCol w:w="3573"/>
        <w:gridCol w:w="2268"/>
      </w:tblGrid>
      <w:tr w:rsidR="00EB094C" w:rsidRPr="00A12C9F" w14:paraId="2F8F261B" w14:textId="77777777" w:rsidTr="003A24C9">
        <w:trPr>
          <w:trHeight w:val="360"/>
          <w:tblHeader/>
        </w:trPr>
        <w:tc>
          <w:tcPr>
            <w:tcW w:w="1725" w:type="dxa"/>
            <w:shd w:val="clear" w:color="auto" w:fill="C3137B"/>
            <w:tcMar>
              <w:top w:w="120" w:type="dxa"/>
              <w:left w:w="120" w:type="dxa"/>
              <w:bottom w:w="120" w:type="dxa"/>
              <w:right w:w="120" w:type="dxa"/>
            </w:tcMar>
            <w:vAlign w:val="center"/>
            <w:hideMark/>
          </w:tcPr>
          <w:p w14:paraId="7DD06320"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type</w:t>
            </w:r>
          </w:p>
        </w:tc>
        <w:tc>
          <w:tcPr>
            <w:tcW w:w="1781" w:type="dxa"/>
            <w:shd w:val="clear" w:color="auto" w:fill="C3137B"/>
            <w:tcMar>
              <w:top w:w="120" w:type="dxa"/>
              <w:left w:w="120" w:type="dxa"/>
              <w:bottom w:w="120" w:type="dxa"/>
              <w:right w:w="120" w:type="dxa"/>
            </w:tcMar>
            <w:vAlign w:val="center"/>
            <w:hideMark/>
          </w:tcPr>
          <w:p w14:paraId="3E77B7E3"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Claim method</w:t>
            </w:r>
            <w:r w:rsidRPr="00A12C9F">
              <w:rPr>
                <w:rFonts w:cstheme="minorHAnsi"/>
                <w:color w:val="444444"/>
              </w:rPr>
              <w:br/>
            </w:r>
            <w:r w:rsidRPr="00A12C9F">
              <w:rPr>
                <w:rStyle w:val="Strong"/>
                <w:rFonts w:cstheme="minorHAnsi"/>
                <w:color w:val="FFFFFF"/>
              </w:rPr>
              <w:t>(deadline to claim for payment)</w:t>
            </w:r>
          </w:p>
        </w:tc>
        <w:tc>
          <w:tcPr>
            <w:tcW w:w="1710" w:type="dxa"/>
            <w:shd w:val="clear" w:color="auto" w:fill="C3137B"/>
            <w:tcMar>
              <w:top w:w="120" w:type="dxa"/>
              <w:left w:w="120" w:type="dxa"/>
              <w:bottom w:w="120" w:type="dxa"/>
              <w:right w:w="120" w:type="dxa"/>
            </w:tcMar>
            <w:vAlign w:val="center"/>
            <w:hideMark/>
          </w:tcPr>
          <w:p w14:paraId="11D663A6"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due</w:t>
            </w:r>
          </w:p>
        </w:tc>
        <w:tc>
          <w:tcPr>
            <w:tcW w:w="3573" w:type="dxa"/>
            <w:shd w:val="clear" w:color="auto" w:fill="C3137B"/>
            <w:tcMar>
              <w:top w:w="120" w:type="dxa"/>
              <w:left w:w="120" w:type="dxa"/>
              <w:bottom w:w="120" w:type="dxa"/>
              <w:right w:w="120" w:type="dxa"/>
            </w:tcMar>
            <w:vAlign w:val="center"/>
            <w:hideMark/>
          </w:tcPr>
          <w:p w14:paraId="68B98529"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amount</w:t>
            </w:r>
          </w:p>
        </w:tc>
        <w:tc>
          <w:tcPr>
            <w:tcW w:w="2268" w:type="dxa"/>
            <w:shd w:val="clear" w:color="auto" w:fill="C3137B"/>
            <w:tcMar>
              <w:top w:w="120" w:type="dxa"/>
              <w:left w:w="120" w:type="dxa"/>
              <w:bottom w:w="120" w:type="dxa"/>
              <w:right w:w="120" w:type="dxa"/>
            </w:tcMar>
            <w:vAlign w:val="center"/>
            <w:hideMark/>
          </w:tcPr>
          <w:p w14:paraId="30365607"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How payment will appear on the Schedule of Payments under section of ‘Details of other amounts authorised’</w:t>
            </w:r>
          </w:p>
        </w:tc>
      </w:tr>
      <w:tr w:rsidR="00EB094C" w:rsidRPr="00A12C9F" w14:paraId="32CDCA1F" w14:textId="77777777" w:rsidTr="003A24C9">
        <w:tc>
          <w:tcPr>
            <w:tcW w:w="1725" w:type="dxa"/>
            <w:shd w:val="clear" w:color="auto" w:fill="5185CD"/>
            <w:tcMar>
              <w:top w:w="120" w:type="dxa"/>
              <w:left w:w="120" w:type="dxa"/>
              <w:bottom w:w="120" w:type="dxa"/>
              <w:right w:w="120" w:type="dxa"/>
            </w:tcMar>
            <w:vAlign w:val="center"/>
            <w:hideMark/>
          </w:tcPr>
          <w:p w14:paraId="21B5B24D"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Pharmacy Quality Scheme 2021/22</w:t>
            </w:r>
          </w:p>
        </w:tc>
        <w:tc>
          <w:tcPr>
            <w:tcW w:w="1781" w:type="dxa"/>
            <w:tcMar>
              <w:top w:w="120" w:type="dxa"/>
              <w:left w:w="120" w:type="dxa"/>
              <w:bottom w:w="120" w:type="dxa"/>
              <w:right w:w="120" w:type="dxa"/>
            </w:tcMar>
            <w:vAlign w:val="center"/>
            <w:hideMark/>
          </w:tcPr>
          <w:p w14:paraId="5285FB4E" w14:textId="77777777" w:rsidR="00EB094C" w:rsidRPr="00A12C9F" w:rsidRDefault="00EB094C" w:rsidP="003A24C9">
            <w:pPr>
              <w:spacing w:before="225" w:after="225"/>
              <w:jc w:val="center"/>
              <w:rPr>
                <w:rFonts w:cstheme="minorHAnsi"/>
                <w:color w:val="444444"/>
              </w:rPr>
            </w:pPr>
            <w:r w:rsidRPr="00A12C9F">
              <w:rPr>
                <w:rFonts w:cstheme="minorHAnsi"/>
                <w:color w:val="444444"/>
              </w:rPr>
              <w:t>MYS (between 31st January 2022 (opens at 9am) and 25th February 2022 (closes at 11:59pm))</w:t>
            </w:r>
          </w:p>
        </w:tc>
        <w:tc>
          <w:tcPr>
            <w:tcW w:w="1710" w:type="dxa"/>
            <w:tcMar>
              <w:top w:w="120" w:type="dxa"/>
              <w:left w:w="120" w:type="dxa"/>
              <w:bottom w:w="120" w:type="dxa"/>
              <w:right w:w="120" w:type="dxa"/>
            </w:tcMar>
            <w:vAlign w:val="center"/>
            <w:hideMark/>
          </w:tcPr>
          <w:p w14:paraId="7906B62D" w14:textId="77777777" w:rsidR="00EB094C" w:rsidRPr="00A12C9F" w:rsidRDefault="00EB094C" w:rsidP="003A24C9">
            <w:pPr>
              <w:spacing w:before="225" w:after="225"/>
              <w:jc w:val="center"/>
              <w:rPr>
                <w:rFonts w:cstheme="minorHAnsi"/>
                <w:color w:val="444444"/>
              </w:rPr>
            </w:pPr>
            <w:r w:rsidRPr="00A12C9F">
              <w:rPr>
                <w:rFonts w:cstheme="minorHAnsi"/>
                <w:color w:val="444444"/>
              </w:rPr>
              <w:t>1st April 2022</w:t>
            </w:r>
          </w:p>
        </w:tc>
        <w:tc>
          <w:tcPr>
            <w:tcW w:w="3573" w:type="dxa"/>
            <w:tcMar>
              <w:top w:w="120" w:type="dxa"/>
              <w:left w:w="120" w:type="dxa"/>
              <w:bottom w:w="120" w:type="dxa"/>
              <w:right w:w="120" w:type="dxa"/>
            </w:tcMar>
            <w:vAlign w:val="center"/>
            <w:hideMark/>
          </w:tcPr>
          <w:p w14:paraId="1187CA32"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Maximum value of £135.50 per point</w:t>
            </w:r>
          </w:p>
          <w:p w14:paraId="21649EBB"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Minimum value of £67.75 per point </w:t>
            </w:r>
          </w:p>
          <w:p w14:paraId="2C2A391C"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Points based system dependent on:</w:t>
            </w:r>
          </w:p>
          <w:p w14:paraId="6ADDC475" w14:textId="77777777" w:rsidR="00EB094C" w:rsidRPr="00A12C9F" w:rsidRDefault="00EB094C" w:rsidP="00E30D53">
            <w:pPr>
              <w:numPr>
                <w:ilvl w:val="0"/>
                <w:numId w:val="8"/>
              </w:numPr>
              <w:spacing w:before="100" w:beforeAutospacing="1" w:after="100" w:afterAutospacing="1" w:line="240" w:lineRule="auto"/>
              <w:rPr>
                <w:rFonts w:cstheme="minorHAnsi"/>
                <w:color w:val="444444"/>
              </w:rPr>
            </w:pPr>
            <w:r w:rsidRPr="00A12C9F">
              <w:rPr>
                <w:rFonts w:cstheme="minorHAnsi"/>
                <w:color w:val="444444"/>
              </w:rPr>
              <w:t xml:space="preserve">their total prescription volume in </w:t>
            </w:r>
            <w:proofErr w:type="gramStart"/>
            <w:r w:rsidRPr="00A12C9F">
              <w:rPr>
                <w:rFonts w:cstheme="minorHAnsi"/>
                <w:color w:val="444444"/>
              </w:rPr>
              <w:t>2020/21;</w:t>
            </w:r>
            <w:proofErr w:type="gramEnd"/>
          </w:p>
          <w:p w14:paraId="58C69BD0" w14:textId="77777777" w:rsidR="00EB094C" w:rsidRPr="00A12C9F" w:rsidRDefault="00EB094C" w:rsidP="00E30D53">
            <w:pPr>
              <w:numPr>
                <w:ilvl w:val="0"/>
                <w:numId w:val="8"/>
              </w:numPr>
              <w:spacing w:before="100" w:beforeAutospacing="1" w:after="100" w:afterAutospacing="1" w:line="240" w:lineRule="auto"/>
              <w:rPr>
                <w:rFonts w:cstheme="minorHAnsi"/>
                <w:color w:val="444444"/>
              </w:rPr>
            </w:pPr>
            <w:r w:rsidRPr="00A12C9F">
              <w:rPr>
                <w:rFonts w:cstheme="minorHAnsi"/>
                <w:color w:val="444444"/>
              </w:rPr>
              <w:t>which Domains are claimed for; and</w:t>
            </w:r>
          </w:p>
          <w:p w14:paraId="56545633" w14:textId="77777777" w:rsidR="00EB094C" w:rsidRPr="00A12C9F" w:rsidRDefault="00EB094C" w:rsidP="00E30D53">
            <w:pPr>
              <w:numPr>
                <w:ilvl w:val="0"/>
                <w:numId w:val="8"/>
              </w:numPr>
              <w:spacing w:before="100" w:beforeAutospacing="1" w:after="100" w:afterAutospacing="1" w:line="240" w:lineRule="auto"/>
              <w:rPr>
                <w:rFonts w:cstheme="minorHAnsi"/>
                <w:color w:val="444444"/>
              </w:rPr>
            </w:pPr>
            <w:r w:rsidRPr="00A12C9F">
              <w:rPr>
                <w:rFonts w:cstheme="minorHAnsi"/>
                <w:color w:val="444444"/>
              </w:rPr>
              <w:t>whether they are a PCN lead or non-PCN lead.</w:t>
            </w:r>
          </w:p>
        </w:tc>
        <w:tc>
          <w:tcPr>
            <w:tcW w:w="2268" w:type="dxa"/>
            <w:tcMar>
              <w:top w:w="120" w:type="dxa"/>
              <w:left w:w="120" w:type="dxa"/>
              <w:bottom w:w="120" w:type="dxa"/>
              <w:right w:w="120" w:type="dxa"/>
            </w:tcMar>
            <w:vAlign w:val="center"/>
            <w:hideMark/>
          </w:tcPr>
          <w:p w14:paraId="7C7BC1FC" w14:textId="77777777" w:rsidR="00EB094C" w:rsidRPr="00A12C9F" w:rsidRDefault="00EB094C" w:rsidP="003A24C9">
            <w:pPr>
              <w:jc w:val="center"/>
              <w:rPr>
                <w:rFonts w:cstheme="minorHAnsi"/>
                <w:color w:val="444444"/>
              </w:rPr>
            </w:pPr>
            <w:r w:rsidRPr="00A12C9F">
              <w:rPr>
                <w:rFonts w:cstheme="minorHAnsi"/>
                <w:color w:val="444444"/>
              </w:rPr>
              <w:t>‘Pharmacy Quality Scheme’</w:t>
            </w:r>
          </w:p>
        </w:tc>
      </w:tr>
      <w:tr w:rsidR="00EB094C" w:rsidRPr="00A12C9F" w14:paraId="423B4EFF" w14:textId="77777777" w:rsidTr="003A24C9">
        <w:tc>
          <w:tcPr>
            <w:tcW w:w="1725" w:type="dxa"/>
            <w:shd w:val="clear" w:color="auto" w:fill="5185CD"/>
            <w:tcMar>
              <w:top w:w="120" w:type="dxa"/>
              <w:left w:w="120" w:type="dxa"/>
              <w:bottom w:w="120" w:type="dxa"/>
              <w:right w:w="120" w:type="dxa"/>
            </w:tcMar>
            <w:vAlign w:val="center"/>
            <w:hideMark/>
          </w:tcPr>
          <w:p w14:paraId="1BCFDE8E" w14:textId="77777777" w:rsidR="00EB094C" w:rsidRPr="00A12C9F" w:rsidRDefault="00EB094C" w:rsidP="003A24C9">
            <w:pPr>
              <w:jc w:val="center"/>
              <w:rPr>
                <w:rFonts w:cstheme="minorHAnsi"/>
                <w:color w:val="444444"/>
              </w:rPr>
            </w:pPr>
            <w:r w:rsidRPr="00A12C9F">
              <w:rPr>
                <w:rStyle w:val="Strong"/>
                <w:rFonts w:cstheme="minorHAnsi"/>
                <w:color w:val="FFFFFF"/>
              </w:rPr>
              <w:t>COVID-19 Lateral Flow Device Distribution Service Set-Up Fee</w:t>
            </w:r>
          </w:p>
        </w:tc>
        <w:tc>
          <w:tcPr>
            <w:tcW w:w="1781" w:type="dxa"/>
            <w:tcMar>
              <w:top w:w="120" w:type="dxa"/>
              <w:left w:w="120" w:type="dxa"/>
              <w:bottom w:w="120" w:type="dxa"/>
              <w:right w:w="120" w:type="dxa"/>
            </w:tcMar>
            <w:vAlign w:val="center"/>
            <w:hideMark/>
          </w:tcPr>
          <w:p w14:paraId="1099B884" w14:textId="77777777" w:rsidR="00EB094C" w:rsidRPr="00A12C9F" w:rsidRDefault="00EB094C" w:rsidP="003A24C9">
            <w:pPr>
              <w:jc w:val="center"/>
              <w:rPr>
                <w:rFonts w:cstheme="minorHAnsi"/>
                <w:color w:val="444444"/>
              </w:rPr>
            </w:pPr>
            <w:r w:rsidRPr="00A12C9F">
              <w:rPr>
                <w:rFonts w:cstheme="minorHAnsi"/>
                <w:color w:val="444444"/>
              </w:rPr>
              <w:t>MYS</w:t>
            </w:r>
          </w:p>
        </w:tc>
        <w:tc>
          <w:tcPr>
            <w:tcW w:w="1710" w:type="dxa"/>
            <w:tcMar>
              <w:top w:w="120" w:type="dxa"/>
              <w:left w:w="120" w:type="dxa"/>
              <w:bottom w:w="120" w:type="dxa"/>
              <w:right w:w="120" w:type="dxa"/>
            </w:tcMar>
            <w:vAlign w:val="center"/>
            <w:hideMark/>
          </w:tcPr>
          <w:p w14:paraId="74486C01" w14:textId="77777777" w:rsidR="00EB094C" w:rsidRPr="00A12C9F" w:rsidRDefault="00EB094C" w:rsidP="003A24C9">
            <w:pPr>
              <w:jc w:val="center"/>
              <w:rPr>
                <w:rFonts w:cstheme="minorHAnsi"/>
                <w:color w:val="444444"/>
              </w:rPr>
            </w:pPr>
            <w:r w:rsidRPr="00A12C9F">
              <w:rPr>
                <w:rFonts w:cstheme="minorHAnsi"/>
                <w:color w:val="444444"/>
              </w:rPr>
              <w:t>One-off payment</w:t>
            </w:r>
          </w:p>
        </w:tc>
        <w:tc>
          <w:tcPr>
            <w:tcW w:w="3573" w:type="dxa"/>
            <w:tcMar>
              <w:top w:w="120" w:type="dxa"/>
              <w:left w:w="120" w:type="dxa"/>
              <w:bottom w:w="120" w:type="dxa"/>
              <w:right w:w="120" w:type="dxa"/>
            </w:tcMar>
            <w:vAlign w:val="center"/>
            <w:hideMark/>
          </w:tcPr>
          <w:p w14:paraId="19644A37" w14:textId="77777777" w:rsidR="00EB094C" w:rsidRPr="00A12C9F" w:rsidRDefault="00EB094C" w:rsidP="003A24C9">
            <w:pPr>
              <w:jc w:val="center"/>
              <w:rPr>
                <w:rFonts w:cstheme="minorHAnsi"/>
                <w:color w:val="444444"/>
              </w:rPr>
            </w:pPr>
            <w:r w:rsidRPr="00A12C9F">
              <w:rPr>
                <w:rFonts w:cstheme="minorHAnsi"/>
                <w:color w:val="444444"/>
              </w:rPr>
              <w:t>£250 + VAT</w:t>
            </w:r>
          </w:p>
        </w:tc>
        <w:tc>
          <w:tcPr>
            <w:tcW w:w="2268" w:type="dxa"/>
            <w:tcMar>
              <w:top w:w="120" w:type="dxa"/>
              <w:left w:w="120" w:type="dxa"/>
              <w:bottom w:w="120" w:type="dxa"/>
              <w:right w:w="120" w:type="dxa"/>
            </w:tcMar>
            <w:vAlign w:val="center"/>
            <w:hideMark/>
          </w:tcPr>
          <w:p w14:paraId="377FF087" w14:textId="77777777" w:rsidR="00EB094C" w:rsidRPr="00A12C9F" w:rsidRDefault="00EB094C" w:rsidP="003A24C9">
            <w:pPr>
              <w:jc w:val="center"/>
              <w:rPr>
                <w:rFonts w:cstheme="minorHAnsi"/>
                <w:color w:val="444444"/>
              </w:rPr>
            </w:pPr>
            <w:r w:rsidRPr="00A12C9F">
              <w:rPr>
                <w:rFonts w:cstheme="minorHAnsi"/>
                <w:color w:val="444444"/>
              </w:rPr>
              <w:t>‘COVID Test Kit Set up Fee’</w:t>
            </w:r>
          </w:p>
        </w:tc>
      </w:tr>
      <w:tr w:rsidR="00EB094C" w:rsidRPr="00A12C9F" w14:paraId="082AC11E" w14:textId="77777777" w:rsidTr="003A24C9">
        <w:tc>
          <w:tcPr>
            <w:tcW w:w="1725" w:type="dxa"/>
            <w:shd w:val="clear" w:color="auto" w:fill="5185CD"/>
            <w:tcMar>
              <w:top w:w="120" w:type="dxa"/>
              <w:left w:w="120" w:type="dxa"/>
              <w:bottom w:w="120" w:type="dxa"/>
              <w:right w:w="120" w:type="dxa"/>
            </w:tcMar>
            <w:vAlign w:val="center"/>
            <w:hideMark/>
          </w:tcPr>
          <w:p w14:paraId="78527250" w14:textId="77777777" w:rsidR="00EB094C" w:rsidRPr="00A12C9F" w:rsidRDefault="00EB094C" w:rsidP="003A24C9">
            <w:pPr>
              <w:jc w:val="center"/>
              <w:rPr>
                <w:rFonts w:cstheme="minorHAnsi"/>
                <w:color w:val="444444"/>
              </w:rPr>
            </w:pPr>
            <w:r w:rsidRPr="00A12C9F">
              <w:rPr>
                <w:rStyle w:val="Strong"/>
                <w:rFonts w:cstheme="minorHAnsi"/>
                <w:color w:val="FFFFFF"/>
              </w:rPr>
              <w:t xml:space="preserve">COVID-19 Lateral Flow Device </w:t>
            </w:r>
            <w:r w:rsidRPr="00A12C9F">
              <w:rPr>
                <w:rStyle w:val="Strong"/>
                <w:rFonts w:cstheme="minorHAnsi"/>
                <w:color w:val="FFFFFF"/>
              </w:rPr>
              <w:lastRenderedPageBreak/>
              <w:t>Distribution Service</w:t>
            </w:r>
          </w:p>
        </w:tc>
        <w:tc>
          <w:tcPr>
            <w:tcW w:w="1781" w:type="dxa"/>
            <w:tcMar>
              <w:top w:w="120" w:type="dxa"/>
              <w:left w:w="120" w:type="dxa"/>
              <w:bottom w:w="120" w:type="dxa"/>
              <w:right w:w="120" w:type="dxa"/>
            </w:tcMar>
            <w:vAlign w:val="center"/>
            <w:hideMark/>
          </w:tcPr>
          <w:p w14:paraId="0DF85390" w14:textId="77777777" w:rsidR="00EB094C" w:rsidRPr="00A12C9F" w:rsidRDefault="00EB094C" w:rsidP="003A24C9">
            <w:pPr>
              <w:jc w:val="center"/>
              <w:rPr>
                <w:rFonts w:cstheme="minorHAnsi"/>
                <w:color w:val="444444"/>
              </w:rPr>
            </w:pPr>
            <w:r w:rsidRPr="00A12C9F">
              <w:rPr>
                <w:rFonts w:cstheme="minorHAnsi"/>
                <w:color w:val="444444"/>
              </w:rPr>
              <w:lastRenderedPageBreak/>
              <w:t>MYS</w:t>
            </w:r>
          </w:p>
          <w:p w14:paraId="0AAA6F64" w14:textId="77777777" w:rsidR="00EB094C" w:rsidRPr="00A12C9F" w:rsidRDefault="00EB094C" w:rsidP="003A24C9">
            <w:pPr>
              <w:jc w:val="center"/>
              <w:rPr>
                <w:rFonts w:cstheme="minorHAnsi"/>
                <w:color w:val="444444"/>
              </w:rPr>
            </w:pPr>
            <w:r w:rsidRPr="00A12C9F">
              <w:rPr>
                <w:rFonts w:cstheme="minorHAnsi"/>
                <w:color w:val="444444"/>
              </w:rPr>
              <w:t>(</w:t>
            </w:r>
            <w:proofErr w:type="gramStart"/>
            <w:r w:rsidRPr="00A12C9F">
              <w:rPr>
                <w:rFonts w:cstheme="minorHAnsi"/>
                <w:color w:val="444444"/>
              </w:rPr>
              <w:t>by</w:t>
            </w:r>
            <w:proofErr w:type="gramEnd"/>
            <w:r w:rsidRPr="00A12C9F">
              <w:rPr>
                <w:rFonts w:cstheme="minorHAnsi"/>
                <w:color w:val="444444"/>
              </w:rPr>
              <w:t xml:space="preserve"> the 5th day of the following month) </w:t>
            </w:r>
            <w:r w:rsidRPr="00A12C9F">
              <w:rPr>
                <w:rFonts w:cstheme="minorHAnsi"/>
                <w:color w:val="444444"/>
              </w:rPr>
              <w:lastRenderedPageBreak/>
              <w:t>Appropriate payments, will correspond to the weekly reporting cycle, on the same payment date as other payments for NHS Pharmaceutical Services</w:t>
            </w:r>
          </w:p>
        </w:tc>
        <w:tc>
          <w:tcPr>
            <w:tcW w:w="1710" w:type="dxa"/>
            <w:tcMar>
              <w:top w:w="120" w:type="dxa"/>
              <w:left w:w="120" w:type="dxa"/>
              <w:bottom w:w="120" w:type="dxa"/>
              <w:right w:w="120" w:type="dxa"/>
            </w:tcMar>
            <w:vAlign w:val="center"/>
            <w:hideMark/>
          </w:tcPr>
          <w:p w14:paraId="47800C05" w14:textId="77777777" w:rsidR="00EB094C" w:rsidRPr="00A12C9F" w:rsidRDefault="00EB094C" w:rsidP="003A24C9">
            <w:pPr>
              <w:jc w:val="center"/>
              <w:rPr>
                <w:rFonts w:cstheme="minorHAnsi"/>
                <w:color w:val="444444"/>
              </w:rPr>
            </w:pPr>
            <w:r w:rsidRPr="00A12C9F">
              <w:rPr>
                <w:rFonts w:cstheme="minorHAnsi"/>
                <w:color w:val="444444"/>
              </w:rPr>
              <w:lastRenderedPageBreak/>
              <w:t>Monthly</w:t>
            </w:r>
          </w:p>
        </w:tc>
        <w:tc>
          <w:tcPr>
            <w:tcW w:w="3573" w:type="dxa"/>
            <w:tcMar>
              <w:top w:w="120" w:type="dxa"/>
              <w:left w:w="120" w:type="dxa"/>
              <w:bottom w:w="120" w:type="dxa"/>
              <w:right w:w="120" w:type="dxa"/>
            </w:tcMar>
            <w:vAlign w:val="center"/>
            <w:hideMark/>
          </w:tcPr>
          <w:p w14:paraId="1659FA9B"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From 4th October 2021 onwards</w:t>
            </w:r>
          </w:p>
          <w:p w14:paraId="14EFB72C"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£1.70 + an allowance for VAT per transaction – where a </w:t>
            </w:r>
            <w:r w:rsidRPr="00A12C9F">
              <w:rPr>
                <w:rStyle w:val="Strong"/>
                <w:rFonts w:asciiTheme="minorHAnsi" w:hAnsiTheme="minorHAnsi" w:cstheme="minorHAnsi"/>
                <w:color w:val="444444"/>
                <w:sz w:val="22"/>
                <w:szCs w:val="22"/>
              </w:rPr>
              <w:t>collect code has been provided</w:t>
            </w:r>
          </w:p>
          <w:p w14:paraId="4B52C290"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lastRenderedPageBreak/>
              <w:t>OR</w:t>
            </w:r>
          </w:p>
          <w:p w14:paraId="40FEF544"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£1.20 + an allowance for VAT per transaction </w:t>
            </w:r>
            <w:r w:rsidRPr="00A12C9F">
              <w:rPr>
                <w:rStyle w:val="Strong"/>
                <w:rFonts w:asciiTheme="minorHAnsi" w:hAnsiTheme="minorHAnsi" w:cstheme="minorHAnsi"/>
                <w:color w:val="444444"/>
                <w:sz w:val="22"/>
                <w:szCs w:val="22"/>
              </w:rPr>
              <w:t>using the anonymous collection route</w:t>
            </w:r>
          </w:p>
          <w:p w14:paraId="1013FB36"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Up until and including 3rd October</w:t>
            </w:r>
          </w:p>
          <w:p w14:paraId="6999015C"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£1.50 + an allowance for VAT per transaction</w:t>
            </w:r>
          </w:p>
        </w:tc>
        <w:tc>
          <w:tcPr>
            <w:tcW w:w="2268" w:type="dxa"/>
            <w:tcMar>
              <w:top w:w="120" w:type="dxa"/>
              <w:left w:w="120" w:type="dxa"/>
              <w:bottom w:w="120" w:type="dxa"/>
              <w:right w:w="120" w:type="dxa"/>
            </w:tcMar>
            <w:vAlign w:val="center"/>
            <w:hideMark/>
          </w:tcPr>
          <w:p w14:paraId="2DD60FD9" w14:textId="77777777" w:rsidR="00EB094C" w:rsidRPr="00A12C9F" w:rsidRDefault="00EB094C" w:rsidP="003A24C9">
            <w:pPr>
              <w:jc w:val="center"/>
              <w:rPr>
                <w:rFonts w:cstheme="minorHAnsi"/>
                <w:color w:val="444444"/>
              </w:rPr>
            </w:pPr>
            <w:r w:rsidRPr="00A12C9F">
              <w:rPr>
                <w:rFonts w:cstheme="minorHAnsi"/>
                <w:color w:val="444444"/>
              </w:rPr>
              <w:lastRenderedPageBreak/>
              <w:t>‘COVID Testing Kit’</w:t>
            </w:r>
          </w:p>
        </w:tc>
      </w:tr>
      <w:tr w:rsidR="00EB094C" w:rsidRPr="00A12C9F" w14:paraId="6995027B" w14:textId="77777777" w:rsidTr="003A24C9">
        <w:tc>
          <w:tcPr>
            <w:tcW w:w="1725" w:type="dxa"/>
            <w:shd w:val="clear" w:color="auto" w:fill="5185CD"/>
            <w:tcMar>
              <w:top w:w="120" w:type="dxa"/>
              <w:left w:w="120" w:type="dxa"/>
              <w:bottom w:w="120" w:type="dxa"/>
              <w:right w:w="120" w:type="dxa"/>
            </w:tcMar>
            <w:vAlign w:val="center"/>
            <w:hideMark/>
          </w:tcPr>
          <w:p w14:paraId="6B3F41BC" w14:textId="77777777" w:rsidR="00EB094C" w:rsidRPr="00A12C9F" w:rsidRDefault="00EB094C" w:rsidP="003A24C9">
            <w:pPr>
              <w:jc w:val="center"/>
              <w:rPr>
                <w:rFonts w:cstheme="minorHAnsi"/>
                <w:color w:val="444444"/>
              </w:rPr>
            </w:pPr>
            <w:r w:rsidRPr="00A12C9F">
              <w:rPr>
                <w:rStyle w:val="Strong"/>
                <w:rFonts w:cstheme="minorHAnsi"/>
                <w:color w:val="FFFFFF"/>
              </w:rPr>
              <w:t>Hypertension case-finding service</w:t>
            </w:r>
            <w:r w:rsidRPr="00A12C9F">
              <w:rPr>
                <w:rFonts w:cstheme="minorHAnsi"/>
                <w:b/>
                <w:bCs/>
                <w:color w:val="FFFFFF"/>
              </w:rPr>
              <w:br/>
            </w:r>
          </w:p>
        </w:tc>
        <w:tc>
          <w:tcPr>
            <w:tcW w:w="1781" w:type="dxa"/>
            <w:tcMar>
              <w:top w:w="120" w:type="dxa"/>
              <w:left w:w="120" w:type="dxa"/>
              <w:bottom w:w="120" w:type="dxa"/>
              <w:right w:w="120" w:type="dxa"/>
            </w:tcMar>
            <w:vAlign w:val="center"/>
            <w:hideMark/>
          </w:tcPr>
          <w:p w14:paraId="74C9BF15" w14:textId="77777777" w:rsidR="00EB094C" w:rsidRPr="00A12C9F" w:rsidRDefault="00EB094C" w:rsidP="003A24C9">
            <w:pPr>
              <w:jc w:val="center"/>
              <w:rPr>
                <w:rFonts w:cstheme="minorHAnsi"/>
                <w:color w:val="444444"/>
              </w:rPr>
            </w:pPr>
            <w:r w:rsidRPr="00A12C9F">
              <w:rPr>
                <w:rFonts w:cstheme="minorHAnsi"/>
                <w:color w:val="444444"/>
              </w:rPr>
              <w:t>MYS</w:t>
            </w:r>
          </w:p>
        </w:tc>
        <w:tc>
          <w:tcPr>
            <w:tcW w:w="1710" w:type="dxa"/>
            <w:tcMar>
              <w:top w:w="120" w:type="dxa"/>
              <w:left w:w="120" w:type="dxa"/>
              <w:bottom w:w="120" w:type="dxa"/>
              <w:right w:w="120" w:type="dxa"/>
            </w:tcMar>
            <w:vAlign w:val="center"/>
            <w:hideMark/>
          </w:tcPr>
          <w:p w14:paraId="7AB47725"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784BC3A5"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£440 set-up fee (one-off payment)</w:t>
            </w:r>
          </w:p>
          <w:p w14:paraId="0D9D7EDD"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£15 for each clinic check</w:t>
            </w:r>
          </w:p>
          <w:p w14:paraId="6E18A9BE"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£45 for each ambulatory monitoring</w:t>
            </w:r>
          </w:p>
          <w:p w14:paraId="4334C679"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An incentive fee of £1,000 will be available if 5 ABPM interventions are provided in 2021/22. This will change in 2022/23</w:t>
            </w:r>
          </w:p>
        </w:tc>
        <w:tc>
          <w:tcPr>
            <w:tcW w:w="2268" w:type="dxa"/>
            <w:tcMar>
              <w:top w:w="120" w:type="dxa"/>
              <w:left w:w="120" w:type="dxa"/>
              <w:bottom w:w="120" w:type="dxa"/>
              <w:right w:w="120" w:type="dxa"/>
            </w:tcMar>
            <w:vAlign w:val="center"/>
            <w:hideMark/>
          </w:tcPr>
          <w:p w14:paraId="5AAEF1E3"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‘CVD Hypertension set up fee’</w:t>
            </w:r>
          </w:p>
          <w:p w14:paraId="04827AD1"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‘CVD Hypertension Incentive’</w:t>
            </w:r>
          </w:p>
          <w:p w14:paraId="1CAE663D"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‘CVD Hypertension check and ABPM fee’</w:t>
            </w:r>
          </w:p>
        </w:tc>
      </w:tr>
      <w:tr w:rsidR="00EB094C" w:rsidRPr="00A12C9F" w14:paraId="5D100992" w14:textId="77777777" w:rsidTr="003A24C9">
        <w:tc>
          <w:tcPr>
            <w:tcW w:w="1725" w:type="dxa"/>
            <w:shd w:val="clear" w:color="auto" w:fill="5185CD"/>
            <w:tcMar>
              <w:top w:w="120" w:type="dxa"/>
              <w:left w:w="120" w:type="dxa"/>
              <w:bottom w:w="120" w:type="dxa"/>
              <w:right w:w="120" w:type="dxa"/>
            </w:tcMar>
            <w:vAlign w:val="center"/>
            <w:hideMark/>
          </w:tcPr>
          <w:p w14:paraId="148D1E19" w14:textId="77777777" w:rsidR="00EB094C" w:rsidRPr="00A12C9F" w:rsidRDefault="00EB094C" w:rsidP="003A24C9">
            <w:pPr>
              <w:jc w:val="center"/>
              <w:rPr>
                <w:rFonts w:cstheme="minorHAnsi"/>
                <w:color w:val="444444"/>
              </w:rPr>
            </w:pPr>
            <w:r w:rsidRPr="00A12C9F">
              <w:rPr>
                <w:rStyle w:val="Strong"/>
                <w:rFonts w:cstheme="minorHAnsi"/>
                <w:color w:val="FFFFFF"/>
              </w:rPr>
              <w:t>Flu Vaccination Service</w:t>
            </w:r>
          </w:p>
        </w:tc>
        <w:tc>
          <w:tcPr>
            <w:tcW w:w="1781" w:type="dxa"/>
            <w:tcMar>
              <w:top w:w="120" w:type="dxa"/>
              <w:left w:w="120" w:type="dxa"/>
              <w:bottom w:w="120" w:type="dxa"/>
              <w:right w:w="120" w:type="dxa"/>
            </w:tcMar>
            <w:vAlign w:val="center"/>
            <w:hideMark/>
          </w:tcPr>
          <w:p w14:paraId="04C870C3" w14:textId="77777777" w:rsidR="00EB094C" w:rsidRPr="00A12C9F" w:rsidRDefault="00EB094C" w:rsidP="003A24C9">
            <w:pPr>
              <w:jc w:val="center"/>
              <w:rPr>
                <w:rFonts w:cstheme="minorHAnsi"/>
                <w:color w:val="444444"/>
              </w:rPr>
            </w:pPr>
            <w:r w:rsidRPr="00A12C9F">
              <w:rPr>
                <w:rFonts w:cstheme="minorHAnsi"/>
                <w:color w:val="444444"/>
              </w:rPr>
              <w:t>MYS (claims for the 2021/22 flu season will be accepted by the NHSBSA within six months of administration of the vaccination or by 31st August 2022, whichever date is earlier)</w:t>
            </w:r>
          </w:p>
        </w:tc>
        <w:tc>
          <w:tcPr>
            <w:tcW w:w="1710" w:type="dxa"/>
            <w:tcMar>
              <w:top w:w="120" w:type="dxa"/>
              <w:left w:w="120" w:type="dxa"/>
              <w:bottom w:w="120" w:type="dxa"/>
              <w:right w:w="120" w:type="dxa"/>
            </w:tcMar>
            <w:vAlign w:val="center"/>
            <w:hideMark/>
          </w:tcPr>
          <w:p w14:paraId="189AADDA"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010C42D7"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£9.58 for each vaccine administered</w:t>
            </w:r>
          </w:p>
          <w:p w14:paraId="4E6CDFE3"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and</w:t>
            </w:r>
          </w:p>
          <w:p w14:paraId="41D5E0A2"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Fonts w:asciiTheme="minorHAnsi" w:hAnsiTheme="minorHAnsi" w:cstheme="minorBidi"/>
                <w:color w:val="444444"/>
                <w:sz w:val="22"/>
                <w:szCs w:val="22"/>
              </w:rPr>
              <w:t>The basic price (list price) of the individual vaccine administered and an allowance at the applicable VAT rate</w:t>
            </w:r>
          </w:p>
        </w:tc>
        <w:tc>
          <w:tcPr>
            <w:tcW w:w="2268" w:type="dxa"/>
            <w:tcMar>
              <w:top w:w="120" w:type="dxa"/>
              <w:left w:w="120" w:type="dxa"/>
              <w:bottom w:w="120" w:type="dxa"/>
              <w:right w:w="120" w:type="dxa"/>
            </w:tcMar>
            <w:vAlign w:val="center"/>
            <w:hideMark/>
          </w:tcPr>
          <w:p w14:paraId="45176BA3"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‘Flu Remuneration Payment’ for fees</w:t>
            </w:r>
          </w:p>
          <w:p w14:paraId="2E891C51"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‘Flu Reimbursement Payment’ for the cost of the vaccines</w:t>
            </w:r>
          </w:p>
        </w:tc>
      </w:tr>
      <w:tr w:rsidR="00EB094C" w:rsidRPr="00A12C9F" w14:paraId="7818D182" w14:textId="77777777" w:rsidTr="003A24C9">
        <w:trPr>
          <w:trHeight w:val="360"/>
        </w:trPr>
        <w:tc>
          <w:tcPr>
            <w:tcW w:w="1725" w:type="dxa"/>
            <w:shd w:val="clear" w:color="auto" w:fill="5185CD"/>
            <w:tcMar>
              <w:top w:w="120" w:type="dxa"/>
              <w:left w:w="120" w:type="dxa"/>
              <w:bottom w:w="120" w:type="dxa"/>
              <w:right w:w="120" w:type="dxa"/>
            </w:tcMar>
            <w:vAlign w:val="center"/>
            <w:hideMark/>
          </w:tcPr>
          <w:p w14:paraId="4B4BFE14" w14:textId="77777777" w:rsidR="00EB094C" w:rsidRPr="00A12C9F" w:rsidRDefault="00EB094C" w:rsidP="003A24C9">
            <w:pPr>
              <w:jc w:val="center"/>
              <w:rPr>
                <w:rFonts w:cstheme="minorHAnsi"/>
                <w:color w:val="444444"/>
              </w:rPr>
            </w:pPr>
            <w:r w:rsidRPr="00A12C9F">
              <w:rPr>
                <w:rStyle w:val="Strong"/>
                <w:rFonts w:cstheme="minorHAnsi"/>
                <w:color w:val="FFFFFF"/>
              </w:rPr>
              <w:lastRenderedPageBreak/>
              <w:t xml:space="preserve">Pandemic Delivery Service (Essential </w:t>
            </w:r>
            <w:proofErr w:type="gramStart"/>
            <w:r w:rsidRPr="00A12C9F">
              <w:rPr>
                <w:rStyle w:val="Strong"/>
                <w:rFonts w:cstheme="minorHAnsi"/>
                <w:color w:val="FFFFFF"/>
              </w:rPr>
              <w:t>service)*</w:t>
            </w:r>
            <w:proofErr w:type="gramEnd"/>
          </w:p>
        </w:tc>
        <w:tc>
          <w:tcPr>
            <w:tcW w:w="1781" w:type="dxa"/>
            <w:tcMar>
              <w:top w:w="120" w:type="dxa"/>
              <w:left w:w="120" w:type="dxa"/>
              <w:bottom w:w="120" w:type="dxa"/>
              <w:right w:w="120" w:type="dxa"/>
            </w:tcMar>
            <w:vAlign w:val="center"/>
            <w:hideMark/>
          </w:tcPr>
          <w:p w14:paraId="3D5F2F84" w14:textId="77777777" w:rsidR="00EB094C" w:rsidRPr="00A12C9F" w:rsidRDefault="00EB094C" w:rsidP="003A24C9">
            <w:pPr>
              <w:jc w:val="center"/>
              <w:rPr>
                <w:rFonts w:cstheme="minorHAnsi"/>
                <w:color w:val="444444"/>
              </w:rPr>
            </w:pPr>
            <w:r w:rsidRPr="00A12C9F">
              <w:rPr>
                <w:rFonts w:cstheme="minorHAnsi"/>
                <w:color w:val="444444"/>
              </w:rPr>
              <w:t>Automatic</w:t>
            </w:r>
          </w:p>
        </w:tc>
        <w:tc>
          <w:tcPr>
            <w:tcW w:w="1710" w:type="dxa"/>
            <w:tcMar>
              <w:top w:w="120" w:type="dxa"/>
              <w:left w:w="120" w:type="dxa"/>
              <w:bottom w:w="120" w:type="dxa"/>
              <w:right w:w="120" w:type="dxa"/>
            </w:tcMar>
            <w:vAlign w:val="center"/>
            <w:hideMark/>
          </w:tcPr>
          <w:p w14:paraId="07AEA429" w14:textId="77777777" w:rsidR="00EB094C" w:rsidRPr="00A12C9F" w:rsidRDefault="00EB094C" w:rsidP="003A24C9">
            <w:pPr>
              <w:jc w:val="center"/>
              <w:rPr>
                <w:rFonts w:cstheme="minorHAnsi"/>
                <w:color w:val="444444"/>
              </w:rPr>
            </w:pPr>
            <w:r w:rsidRPr="00A12C9F">
              <w:rPr>
                <w:rFonts w:cstheme="minorHAnsi"/>
                <w:color w:val="444444"/>
              </w:rPr>
              <w:t>Monthly</w:t>
            </w:r>
          </w:p>
          <w:p w14:paraId="51DC7E21" w14:textId="77777777" w:rsidR="00EB094C" w:rsidRPr="00A12C9F" w:rsidRDefault="00EB094C" w:rsidP="003A24C9">
            <w:pPr>
              <w:jc w:val="center"/>
              <w:rPr>
                <w:rFonts w:cstheme="minorHAnsi"/>
                <w:color w:val="444444"/>
              </w:rPr>
            </w:pPr>
            <w:r w:rsidRPr="00A12C9F">
              <w:rPr>
                <w:rFonts w:cstheme="minorHAnsi"/>
                <w:color w:val="444444"/>
              </w:rPr>
              <w:t>Self-isolating patients only </w:t>
            </w:r>
            <w:r w:rsidRPr="00A12C9F">
              <w:rPr>
                <w:rStyle w:val="Strong"/>
                <w:rFonts w:cstheme="minorHAnsi"/>
                <w:color w:val="444444"/>
              </w:rPr>
              <w:t>(from 1st April 2021 onwards) </w:t>
            </w:r>
            <w:r w:rsidRPr="00A12C9F">
              <w:rPr>
                <w:rFonts w:cstheme="minorHAnsi"/>
                <w:color w:val="444444"/>
              </w:rPr>
              <w:t>as confirmed by NHS Test and Trace (for the 10-day self-isolation period). This service will continue until </w:t>
            </w:r>
            <w:r w:rsidRPr="00A12C9F">
              <w:rPr>
                <w:rStyle w:val="Strong"/>
                <w:rFonts w:cstheme="minorHAnsi"/>
                <w:color w:val="444444"/>
              </w:rPr>
              <w:t>31st March 2022</w:t>
            </w:r>
          </w:p>
        </w:tc>
        <w:tc>
          <w:tcPr>
            <w:tcW w:w="3573" w:type="dxa"/>
            <w:tcMar>
              <w:top w:w="120" w:type="dxa"/>
              <w:left w:w="120" w:type="dxa"/>
              <w:bottom w:w="120" w:type="dxa"/>
              <w:right w:w="120" w:type="dxa"/>
            </w:tcMar>
            <w:vAlign w:val="center"/>
            <w:hideMark/>
          </w:tcPr>
          <w:p w14:paraId="12DF8B89" w14:textId="77777777" w:rsidR="00EB094C" w:rsidRPr="00A12C9F" w:rsidRDefault="00EB094C" w:rsidP="003A24C9">
            <w:pPr>
              <w:jc w:val="center"/>
              <w:rPr>
                <w:rFonts w:cstheme="minorHAnsi"/>
                <w:color w:val="444444"/>
              </w:rPr>
            </w:pPr>
            <w:r w:rsidRPr="00A12C9F">
              <w:rPr>
                <w:rFonts w:cstheme="minorHAnsi"/>
                <w:noProof/>
                <w:color w:val="444444"/>
              </w:rPr>
              <w:drawing>
                <wp:inline distT="0" distB="0" distL="0" distR="0" wp14:anchorId="26369C3C" wp14:editId="1814630B">
                  <wp:extent cx="2150490" cy="1428750"/>
                  <wp:effectExtent l="0" t="0" r="254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56739" cy="1432902"/>
                          </a:xfrm>
                          <a:prstGeom prst="rect">
                            <a:avLst/>
                          </a:prstGeom>
                          <a:noFill/>
                          <a:ln>
                            <a:noFill/>
                          </a:ln>
                        </pic:spPr>
                      </pic:pic>
                    </a:graphicData>
                  </a:graphic>
                </wp:inline>
              </w:drawing>
            </w:r>
          </w:p>
        </w:tc>
        <w:tc>
          <w:tcPr>
            <w:tcW w:w="2268" w:type="dxa"/>
            <w:tcMar>
              <w:top w:w="120" w:type="dxa"/>
              <w:left w:w="120" w:type="dxa"/>
              <w:bottom w:w="120" w:type="dxa"/>
              <w:right w:w="120" w:type="dxa"/>
            </w:tcMar>
            <w:vAlign w:val="center"/>
            <w:hideMark/>
          </w:tcPr>
          <w:p w14:paraId="24F8CE8E" w14:textId="77777777" w:rsidR="00EB094C" w:rsidRPr="00A12C9F" w:rsidRDefault="00EB094C" w:rsidP="003A24C9">
            <w:pPr>
              <w:jc w:val="center"/>
              <w:rPr>
                <w:rFonts w:cstheme="minorHAnsi"/>
                <w:color w:val="444444"/>
              </w:rPr>
            </w:pPr>
            <w:r w:rsidRPr="00A12C9F">
              <w:rPr>
                <w:rFonts w:cstheme="minorHAnsi"/>
                <w:color w:val="444444"/>
              </w:rPr>
              <w:t>Paid on the same line as ‘Transitional Payment’. It will show as a total figure</w:t>
            </w:r>
          </w:p>
        </w:tc>
      </w:tr>
      <w:tr w:rsidR="00EB094C" w:rsidRPr="00A12C9F" w14:paraId="53354403" w14:textId="77777777" w:rsidTr="003A24C9">
        <w:trPr>
          <w:trHeight w:val="345"/>
        </w:trPr>
        <w:tc>
          <w:tcPr>
            <w:tcW w:w="1725" w:type="dxa"/>
            <w:shd w:val="clear" w:color="auto" w:fill="5185CD"/>
            <w:tcMar>
              <w:top w:w="120" w:type="dxa"/>
              <w:left w:w="120" w:type="dxa"/>
              <w:bottom w:w="120" w:type="dxa"/>
              <w:right w:w="120" w:type="dxa"/>
            </w:tcMar>
            <w:vAlign w:val="center"/>
            <w:hideMark/>
          </w:tcPr>
          <w:p w14:paraId="6B2A63B5" w14:textId="77777777" w:rsidR="00EB094C" w:rsidRPr="00A12C9F" w:rsidRDefault="00EB094C" w:rsidP="003A24C9">
            <w:pPr>
              <w:jc w:val="center"/>
              <w:rPr>
                <w:rFonts w:cstheme="minorHAnsi"/>
                <w:color w:val="444444"/>
              </w:rPr>
            </w:pPr>
            <w:r w:rsidRPr="00A12C9F">
              <w:rPr>
                <w:rStyle w:val="Strong"/>
                <w:rFonts w:cstheme="minorHAnsi"/>
                <w:color w:val="FFFFFF"/>
              </w:rPr>
              <w:t xml:space="preserve">Pandemic Delivery Service (Advanced </w:t>
            </w:r>
            <w:proofErr w:type="gramStart"/>
            <w:r w:rsidRPr="00A12C9F">
              <w:rPr>
                <w:rStyle w:val="Strong"/>
                <w:rFonts w:cstheme="minorHAnsi"/>
                <w:color w:val="FFFFFF"/>
              </w:rPr>
              <w:t>service)*</w:t>
            </w:r>
            <w:proofErr w:type="gramEnd"/>
          </w:p>
        </w:tc>
        <w:tc>
          <w:tcPr>
            <w:tcW w:w="1781" w:type="dxa"/>
            <w:tcMar>
              <w:top w:w="120" w:type="dxa"/>
              <w:left w:w="120" w:type="dxa"/>
              <w:bottom w:w="120" w:type="dxa"/>
              <w:right w:w="120" w:type="dxa"/>
            </w:tcMar>
            <w:vAlign w:val="center"/>
            <w:hideMark/>
          </w:tcPr>
          <w:p w14:paraId="543FFDC8" w14:textId="77777777" w:rsidR="00EB094C" w:rsidRPr="00A12C9F" w:rsidRDefault="00EB094C" w:rsidP="003A24C9">
            <w:pPr>
              <w:jc w:val="center"/>
              <w:rPr>
                <w:rFonts w:cstheme="minorHAnsi"/>
                <w:color w:val="444444"/>
              </w:rPr>
            </w:pPr>
            <w:r w:rsidRPr="00A12C9F">
              <w:rPr>
                <w:rFonts w:cstheme="minorHAnsi"/>
                <w:color w:val="444444"/>
              </w:rPr>
              <w:t>MYS</w:t>
            </w:r>
            <w:r w:rsidRPr="00A12C9F">
              <w:rPr>
                <w:rFonts w:cstheme="minorHAnsi"/>
                <w:color w:val="444444"/>
              </w:rPr>
              <w:br/>
              <w:t>(by the 5th day of the following month)</w:t>
            </w:r>
          </w:p>
        </w:tc>
        <w:tc>
          <w:tcPr>
            <w:tcW w:w="1710" w:type="dxa"/>
            <w:tcMar>
              <w:top w:w="120" w:type="dxa"/>
              <w:left w:w="120" w:type="dxa"/>
              <w:bottom w:w="120" w:type="dxa"/>
              <w:right w:w="120" w:type="dxa"/>
            </w:tcMar>
            <w:vAlign w:val="center"/>
            <w:hideMark/>
          </w:tcPr>
          <w:p w14:paraId="35F7B235" w14:textId="77777777" w:rsidR="00EB094C" w:rsidRPr="00A12C9F" w:rsidRDefault="00EB094C" w:rsidP="003A24C9">
            <w:pPr>
              <w:jc w:val="center"/>
              <w:rPr>
                <w:rFonts w:cstheme="minorHAnsi"/>
                <w:color w:val="444444"/>
              </w:rPr>
            </w:pPr>
            <w:r w:rsidRPr="00A12C9F">
              <w:rPr>
                <w:rFonts w:cstheme="minorHAnsi"/>
                <w:color w:val="444444"/>
              </w:rPr>
              <w:t>Monthly – service currently extended until </w:t>
            </w:r>
            <w:r w:rsidRPr="00A12C9F">
              <w:rPr>
                <w:rStyle w:val="Strong"/>
                <w:rFonts w:cstheme="minorHAnsi"/>
                <w:color w:val="444444"/>
              </w:rPr>
              <w:t>31st March 2022</w:t>
            </w:r>
            <w:r w:rsidRPr="00A12C9F">
              <w:rPr>
                <w:rFonts w:cstheme="minorHAnsi"/>
                <w:color w:val="444444"/>
              </w:rPr>
              <w:t> for all people notified of the need to self-isolate by NHS Test and Trace (for the 10-day self-isolation period) living in England</w:t>
            </w:r>
          </w:p>
        </w:tc>
        <w:tc>
          <w:tcPr>
            <w:tcW w:w="3573" w:type="dxa"/>
            <w:tcMar>
              <w:top w:w="120" w:type="dxa"/>
              <w:left w:w="120" w:type="dxa"/>
              <w:bottom w:w="120" w:type="dxa"/>
              <w:right w:w="120" w:type="dxa"/>
            </w:tcMar>
            <w:vAlign w:val="center"/>
            <w:hideMark/>
          </w:tcPr>
          <w:p w14:paraId="7A7C58D7" w14:textId="77777777" w:rsidR="00EB094C" w:rsidRPr="00A12C9F" w:rsidRDefault="00EB094C" w:rsidP="003A24C9">
            <w:pPr>
              <w:jc w:val="center"/>
              <w:rPr>
                <w:rFonts w:cstheme="minorHAnsi"/>
                <w:color w:val="444444"/>
              </w:rPr>
            </w:pPr>
            <w:r w:rsidRPr="00A12C9F">
              <w:rPr>
                <w:rFonts w:cstheme="minorHAnsi"/>
                <w:color w:val="444444"/>
              </w:rPr>
              <w:t>£6 (including VAT) per delivery</w:t>
            </w:r>
          </w:p>
        </w:tc>
        <w:tc>
          <w:tcPr>
            <w:tcW w:w="2268" w:type="dxa"/>
            <w:tcMar>
              <w:top w:w="120" w:type="dxa"/>
              <w:left w:w="120" w:type="dxa"/>
              <w:bottom w:w="120" w:type="dxa"/>
              <w:right w:w="120" w:type="dxa"/>
            </w:tcMar>
            <w:vAlign w:val="center"/>
            <w:hideMark/>
          </w:tcPr>
          <w:p w14:paraId="0F693C26" w14:textId="77777777" w:rsidR="00EB094C" w:rsidRPr="00A12C9F" w:rsidRDefault="00EB094C" w:rsidP="003A24C9">
            <w:pPr>
              <w:jc w:val="center"/>
              <w:rPr>
                <w:rFonts w:cstheme="minorHAnsi"/>
                <w:color w:val="444444"/>
              </w:rPr>
            </w:pPr>
            <w:r w:rsidRPr="00A12C9F">
              <w:rPr>
                <w:rFonts w:cstheme="minorHAnsi"/>
                <w:color w:val="444444"/>
              </w:rPr>
              <w:t>Payment will be listed as ‘Additional advance payment’ under section titled ‘Summary of Payment Amounts’</w:t>
            </w:r>
          </w:p>
        </w:tc>
      </w:tr>
      <w:tr w:rsidR="00EB094C" w:rsidRPr="00A12C9F" w14:paraId="30BAFEE4" w14:textId="77777777" w:rsidTr="003A24C9">
        <w:tc>
          <w:tcPr>
            <w:tcW w:w="1725" w:type="dxa"/>
            <w:shd w:val="clear" w:color="auto" w:fill="5185CD"/>
            <w:tcMar>
              <w:top w:w="120" w:type="dxa"/>
              <w:left w:w="120" w:type="dxa"/>
              <w:bottom w:w="120" w:type="dxa"/>
              <w:right w:w="120" w:type="dxa"/>
            </w:tcMar>
            <w:vAlign w:val="center"/>
            <w:hideMark/>
          </w:tcPr>
          <w:p w14:paraId="3D7F087F" w14:textId="77777777" w:rsidR="00EB094C" w:rsidRPr="00A12C9F" w:rsidRDefault="00EB094C" w:rsidP="003A24C9">
            <w:pPr>
              <w:jc w:val="center"/>
              <w:rPr>
                <w:rFonts w:cstheme="minorHAnsi"/>
                <w:color w:val="444444"/>
              </w:rPr>
            </w:pPr>
            <w:r w:rsidRPr="00A12C9F">
              <w:rPr>
                <w:rStyle w:val="Strong"/>
                <w:rFonts w:cstheme="minorHAnsi"/>
                <w:color w:val="FFFFFF"/>
              </w:rPr>
              <w:t>Community Pharmacist Consultation Service (CPCS)</w:t>
            </w:r>
            <w:r w:rsidRPr="00A12C9F">
              <w:rPr>
                <w:rFonts w:cstheme="minorHAnsi"/>
                <w:b/>
                <w:bCs/>
                <w:color w:val="FFFFFF"/>
              </w:rPr>
              <w:br/>
            </w:r>
          </w:p>
        </w:tc>
        <w:tc>
          <w:tcPr>
            <w:tcW w:w="1781" w:type="dxa"/>
            <w:tcMar>
              <w:top w:w="120" w:type="dxa"/>
              <w:left w:w="120" w:type="dxa"/>
              <w:bottom w:w="120" w:type="dxa"/>
              <w:right w:w="120" w:type="dxa"/>
            </w:tcMar>
            <w:vAlign w:val="center"/>
            <w:hideMark/>
          </w:tcPr>
          <w:p w14:paraId="4D75CF12" w14:textId="77777777" w:rsidR="00EB094C" w:rsidRPr="00A12C9F" w:rsidRDefault="00EB094C" w:rsidP="003A24C9">
            <w:pPr>
              <w:jc w:val="center"/>
              <w:rPr>
                <w:rFonts w:cstheme="minorHAnsi"/>
                <w:color w:val="444444"/>
              </w:rPr>
            </w:pPr>
            <w:r w:rsidRPr="00A12C9F">
              <w:rPr>
                <w:rFonts w:cstheme="minorHAnsi"/>
                <w:color w:val="444444"/>
              </w:rPr>
              <w:t>MYS</w:t>
            </w:r>
            <w:r w:rsidRPr="00A12C9F">
              <w:rPr>
                <w:rFonts w:cstheme="minorHAnsi"/>
                <w:color w:val="444444"/>
              </w:rPr>
              <w:br/>
              <w:t xml:space="preserve">(by the 5th day </w:t>
            </w:r>
            <w:r w:rsidRPr="00A12C9F">
              <w:rPr>
                <w:rFonts w:cstheme="minorHAnsi"/>
                <w:color w:val="444444"/>
              </w:rPr>
              <w:lastRenderedPageBreak/>
              <w:t>of the following month)</w:t>
            </w:r>
          </w:p>
        </w:tc>
        <w:tc>
          <w:tcPr>
            <w:tcW w:w="1710" w:type="dxa"/>
            <w:tcMar>
              <w:top w:w="120" w:type="dxa"/>
              <w:left w:w="120" w:type="dxa"/>
              <w:bottom w:w="120" w:type="dxa"/>
              <w:right w:w="120" w:type="dxa"/>
            </w:tcMar>
            <w:vAlign w:val="center"/>
            <w:hideMark/>
          </w:tcPr>
          <w:p w14:paraId="3B95C4B3" w14:textId="77777777" w:rsidR="00EB094C" w:rsidRPr="00A12C9F" w:rsidRDefault="00EB094C" w:rsidP="003A24C9">
            <w:pPr>
              <w:jc w:val="center"/>
              <w:rPr>
                <w:rFonts w:cstheme="minorHAnsi"/>
                <w:color w:val="444444"/>
              </w:rPr>
            </w:pPr>
            <w:r w:rsidRPr="00A12C9F">
              <w:rPr>
                <w:rFonts w:cstheme="minorHAnsi"/>
                <w:color w:val="444444"/>
              </w:rPr>
              <w:lastRenderedPageBreak/>
              <w:t>Monthly</w:t>
            </w:r>
          </w:p>
        </w:tc>
        <w:tc>
          <w:tcPr>
            <w:tcW w:w="3573" w:type="dxa"/>
            <w:tcMar>
              <w:top w:w="120" w:type="dxa"/>
              <w:left w:w="120" w:type="dxa"/>
              <w:bottom w:w="120" w:type="dxa"/>
              <w:right w:w="120" w:type="dxa"/>
            </w:tcMar>
            <w:vAlign w:val="center"/>
            <w:hideMark/>
          </w:tcPr>
          <w:p w14:paraId="7BA7D4BA" w14:textId="77777777" w:rsidR="00EB094C" w:rsidRPr="00A12C9F" w:rsidRDefault="00EB094C" w:rsidP="003A24C9">
            <w:pPr>
              <w:jc w:val="center"/>
              <w:rPr>
                <w:rFonts w:cstheme="minorHAnsi"/>
                <w:color w:val="444444"/>
              </w:rPr>
            </w:pPr>
            <w:r w:rsidRPr="00A12C9F">
              <w:rPr>
                <w:rFonts w:cstheme="minorHAnsi"/>
                <w:color w:val="444444"/>
              </w:rPr>
              <w:t>£14 (no VAT applicable) for each completed referral</w:t>
            </w:r>
          </w:p>
        </w:tc>
        <w:tc>
          <w:tcPr>
            <w:tcW w:w="2268" w:type="dxa"/>
            <w:tcMar>
              <w:top w:w="120" w:type="dxa"/>
              <w:left w:w="120" w:type="dxa"/>
              <w:bottom w:w="120" w:type="dxa"/>
              <w:right w:w="120" w:type="dxa"/>
            </w:tcMar>
            <w:vAlign w:val="center"/>
            <w:hideMark/>
          </w:tcPr>
          <w:p w14:paraId="7098CB45" w14:textId="77777777" w:rsidR="00EB094C" w:rsidRPr="00A12C9F" w:rsidRDefault="00EB094C" w:rsidP="003A24C9">
            <w:pPr>
              <w:jc w:val="center"/>
              <w:rPr>
                <w:rFonts w:cstheme="minorHAnsi"/>
                <w:color w:val="444444"/>
              </w:rPr>
            </w:pPr>
            <w:r w:rsidRPr="00A12C9F">
              <w:rPr>
                <w:rFonts w:cstheme="minorHAnsi"/>
                <w:color w:val="444444"/>
              </w:rPr>
              <w:t>‘CPCS Remuneration Payment’</w:t>
            </w:r>
          </w:p>
        </w:tc>
      </w:tr>
      <w:tr w:rsidR="00EB094C" w:rsidRPr="00A12C9F" w14:paraId="515E2DB8" w14:textId="77777777" w:rsidTr="003A24C9">
        <w:tc>
          <w:tcPr>
            <w:tcW w:w="1725" w:type="dxa"/>
            <w:shd w:val="clear" w:color="auto" w:fill="5185CD"/>
            <w:tcMar>
              <w:top w:w="120" w:type="dxa"/>
              <w:left w:w="120" w:type="dxa"/>
              <w:bottom w:w="120" w:type="dxa"/>
              <w:right w:w="120" w:type="dxa"/>
            </w:tcMar>
            <w:vAlign w:val="center"/>
            <w:hideMark/>
          </w:tcPr>
          <w:p w14:paraId="10D14F2B" w14:textId="77777777" w:rsidR="00EB094C" w:rsidRPr="00A12C9F" w:rsidRDefault="00EB094C" w:rsidP="003A24C9">
            <w:pPr>
              <w:jc w:val="center"/>
              <w:rPr>
                <w:rFonts w:cstheme="minorHAnsi"/>
                <w:color w:val="444444"/>
              </w:rPr>
            </w:pPr>
            <w:r w:rsidRPr="00A12C9F">
              <w:rPr>
                <w:rStyle w:val="Strong"/>
                <w:rFonts w:cstheme="minorHAnsi"/>
                <w:color w:val="FFFFFF"/>
              </w:rPr>
              <w:t>Pharmacy Earlier Payment Scheme (PEPS) – transition payment and clawback</w:t>
            </w:r>
            <w:r w:rsidRPr="00A12C9F">
              <w:rPr>
                <w:rFonts w:cstheme="minorHAnsi"/>
                <w:b/>
                <w:bCs/>
                <w:color w:val="FFFFFF"/>
              </w:rPr>
              <w:br/>
            </w:r>
          </w:p>
        </w:tc>
        <w:tc>
          <w:tcPr>
            <w:tcW w:w="1781" w:type="dxa"/>
            <w:tcMar>
              <w:top w:w="120" w:type="dxa"/>
              <w:left w:w="120" w:type="dxa"/>
              <w:bottom w:w="120" w:type="dxa"/>
              <w:right w:w="120" w:type="dxa"/>
            </w:tcMar>
            <w:vAlign w:val="center"/>
            <w:hideMark/>
          </w:tcPr>
          <w:p w14:paraId="48D6CC08" w14:textId="77777777" w:rsidR="00EB094C" w:rsidRPr="00A12C9F" w:rsidRDefault="00EB094C" w:rsidP="003A24C9">
            <w:pPr>
              <w:jc w:val="center"/>
              <w:rPr>
                <w:color w:val="444444"/>
              </w:rPr>
            </w:pPr>
            <w:r w:rsidRPr="0DE9A70C">
              <w:rPr>
                <w:color w:val="444444"/>
              </w:rPr>
              <w:t>Automatic for all PEPS contractors who did not opt out of the PEPS transition arrangements</w:t>
            </w:r>
          </w:p>
        </w:tc>
        <w:tc>
          <w:tcPr>
            <w:tcW w:w="1710" w:type="dxa"/>
            <w:tcMar>
              <w:top w:w="120" w:type="dxa"/>
              <w:left w:w="120" w:type="dxa"/>
              <w:bottom w:w="120" w:type="dxa"/>
              <w:right w:w="120" w:type="dxa"/>
            </w:tcMar>
            <w:vAlign w:val="center"/>
            <w:hideMark/>
          </w:tcPr>
          <w:p w14:paraId="735E3D93"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Style w:val="Strong"/>
                <w:rFonts w:asciiTheme="minorHAnsi" w:hAnsiTheme="minorHAnsi" w:cstheme="minorHAnsi"/>
                <w:color w:val="444444"/>
                <w:sz w:val="22"/>
                <w:szCs w:val="22"/>
              </w:rPr>
              <w:t>1st November 2021</w:t>
            </w:r>
            <w:r w:rsidRPr="00A12C9F">
              <w:rPr>
                <w:rFonts w:asciiTheme="minorHAnsi" w:hAnsiTheme="minorHAnsi" w:cstheme="minorHAnsi"/>
                <w:color w:val="444444"/>
                <w:sz w:val="22"/>
                <w:szCs w:val="22"/>
              </w:rPr>
              <w:t> – Bridging payment</w:t>
            </w:r>
          </w:p>
          <w:p w14:paraId="016D151C"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Style w:val="Strong"/>
                <w:rFonts w:asciiTheme="minorHAnsi" w:hAnsiTheme="minorHAnsi" w:cstheme="minorBidi"/>
                <w:color w:val="444444"/>
                <w:sz w:val="22"/>
                <w:szCs w:val="22"/>
              </w:rPr>
              <w:t>1st December 2021 - 30</w:t>
            </w:r>
            <w:r w:rsidRPr="0DE9A70C">
              <w:rPr>
                <w:rStyle w:val="Strong"/>
                <w:rFonts w:asciiTheme="minorHAnsi" w:hAnsiTheme="minorHAnsi" w:cstheme="minorBidi"/>
                <w:color w:val="444444"/>
                <w:sz w:val="22"/>
                <w:szCs w:val="22"/>
                <w:vertAlign w:val="superscript"/>
              </w:rPr>
              <w:t>th</w:t>
            </w:r>
            <w:r w:rsidRPr="0DE9A70C">
              <w:rPr>
                <w:rStyle w:val="Strong"/>
                <w:rFonts w:asciiTheme="minorHAnsi" w:hAnsiTheme="minorHAnsi" w:cstheme="minorBidi"/>
                <w:color w:val="444444"/>
                <w:sz w:val="22"/>
                <w:szCs w:val="22"/>
              </w:rPr>
              <w:t xml:space="preserve"> September 2022</w:t>
            </w:r>
            <w:r w:rsidRPr="0DE9A70C">
              <w:rPr>
                <w:rFonts w:asciiTheme="minorHAnsi" w:hAnsiTheme="minorHAnsi" w:cstheme="minorBidi"/>
                <w:color w:val="444444"/>
                <w:sz w:val="22"/>
                <w:szCs w:val="22"/>
              </w:rPr>
              <w:t> recovery of bridging payment starts (this is spread over 11 months)</w:t>
            </w:r>
          </w:p>
        </w:tc>
        <w:tc>
          <w:tcPr>
            <w:tcW w:w="3573" w:type="dxa"/>
            <w:tcMar>
              <w:top w:w="120" w:type="dxa"/>
              <w:left w:w="120" w:type="dxa"/>
              <w:bottom w:w="120" w:type="dxa"/>
              <w:right w:w="120" w:type="dxa"/>
            </w:tcMar>
            <w:vAlign w:val="center"/>
            <w:hideMark/>
          </w:tcPr>
          <w:p w14:paraId="50CF8B71"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Style w:val="Strong"/>
                <w:rFonts w:asciiTheme="minorHAnsi" w:hAnsiTheme="minorHAnsi" w:cstheme="minorBidi"/>
                <w:color w:val="444444"/>
                <w:sz w:val="22"/>
                <w:szCs w:val="22"/>
              </w:rPr>
              <w:t>1st November 2021</w:t>
            </w:r>
            <w:r w:rsidRPr="0DE9A70C">
              <w:rPr>
                <w:rFonts w:asciiTheme="minorHAnsi" w:hAnsiTheme="minorHAnsi" w:cstheme="minorBidi"/>
                <w:color w:val="444444"/>
                <w:sz w:val="22"/>
                <w:szCs w:val="22"/>
              </w:rPr>
              <w:t> – One-off bridging payment based on 92% of the final PEPS payment received on 1st October 2021</w:t>
            </w:r>
          </w:p>
          <w:p w14:paraId="452557B3"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Style w:val="Strong"/>
                <w:rFonts w:asciiTheme="minorHAnsi" w:hAnsiTheme="minorHAnsi" w:cstheme="minorBidi"/>
                <w:color w:val="444444"/>
                <w:sz w:val="22"/>
                <w:szCs w:val="22"/>
              </w:rPr>
              <w:t>1st December 2021 - 30</w:t>
            </w:r>
            <w:r w:rsidRPr="0DE9A70C">
              <w:rPr>
                <w:rStyle w:val="Strong"/>
                <w:rFonts w:asciiTheme="minorHAnsi" w:hAnsiTheme="minorHAnsi" w:cstheme="minorBidi"/>
                <w:color w:val="444444"/>
                <w:sz w:val="22"/>
                <w:szCs w:val="22"/>
                <w:vertAlign w:val="superscript"/>
              </w:rPr>
              <w:t>th</w:t>
            </w:r>
            <w:r w:rsidRPr="0DE9A70C">
              <w:rPr>
                <w:rStyle w:val="Strong"/>
                <w:rFonts w:asciiTheme="minorHAnsi" w:hAnsiTheme="minorHAnsi" w:cstheme="minorBidi"/>
                <w:color w:val="444444"/>
                <w:sz w:val="22"/>
                <w:szCs w:val="22"/>
              </w:rPr>
              <w:t xml:space="preserve"> September 2022</w:t>
            </w:r>
            <w:r w:rsidRPr="0DE9A70C">
              <w:rPr>
                <w:rFonts w:asciiTheme="minorHAnsi" w:hAnsiTheme="minorHAnsi" w:cstheme="minorBidi"/>
                <w:color w:val="444444"/>
                <w:sz w:val="22"/>
                <w:szCs w:val="22"/>
              </w:rPr>
              <w:t> – one-off bridging payment recovered in equal parts over 11 months</w:t>
            </w:r>
          </w:p>
        </w:tc>
        <w:tc>
          <w:tcPr>
            <w:tcW w:w="2268" w:type="dxa"/>
            <w:tcMar>
              <w:top w:w="120" w:type="dxa"/>
              <w:left w:w="120" w:type="dxa"/>
              <w:bottom w:w="120" w:type="dxa"/>
              <w:right w:w="120" w:type="dxa"/>
            </w:tcMar>
            <w:vAlign w:val="center"/>
            <w:hideMark/>
          </w:tcPr>
          <w:p w14:paraId="44A257AD"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Fonts w:asciiTheme="minorHAnsi" w:hAnsiTheme="minorHAnsi" w:cstheme="minorBidi"/>
                <w:color w:val="444444"/>
                <w:sz w:val="22"/>
                <w:szCs w:val="22"/>
              </w:rPr>
              <w:t>Bridging payment will be paid directly to PEPS contractors and will not appear on the Schedule of payments.</w:t>
            </w:r>
          </w:p>
          <w:p w14:paraId="230A6609"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Bridging payment recovery – ‘PEPS Transition Recovery’</w:t>
            </w:r>
          </w:p>
          <w:p w14:paraId="60F9271B"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 </w:t>
            </w:r>
          </w:p>
        </w:tc>
      </w:tr>
      <w:tr w:rsidR="00EB094C" w:rsidRPr="00A12C9F" w14:paraId="33F95815" w14:textId="77777777" w:rsidTr="003A24C9">
        <w:tc>
          <w:tcPr>
            <w:tcW w:w="1725" w:type="dxa"/>
            <w:shd w:val="clear" w:color="auto" w:fill="5185CD"/>
            <w:tcMar>
              <w:top w:w="120" w:type="dxa"/>
              <w:left w:w="120" w:type="dxa"/>
              <w:bottom w:w="120" w:type="dxa"/>
              <w:right w:w="120" w:type="dxa"/>
            </w:tcMar>
            <w:vAlign w:val="center"/>
            <w:hideMark/>
          </w:tcPr>
          <w:p w14:paraId="250CCFCD" w14:textId="77777777" w:rsidR="00EB094C" w:rsidRPr="00A12C9F" w:rsidRDefault="00EB094C" w:rsidP="003A24C9">
            <w:pPr>
              <w:jc w:val="center"/>
              <w:rPr>
                <w:rFonts w:cstheme="minorHAnsi"/>
                <w:color w:val="444444"/>
              </w:rPr>
            </w:pPr>
            <w:r w:rsidRPr="00A12C9F">
              <w:rPr>
                <w:rStyle w:val="Strong"/>
                <w:rFonts w:cstheme="minorHAnsi"/>
                <w:color w:val="FFFFFF"/>
              </w:rPr>
              <w:t>Appliance Use Review Service (AUR)</w:t>
            </w:r>
          </w:p>
        </w:tc>
        <w:tc>
          <w:tcPr>
            <w:tcW w:w="1781" w:type="dxa"/>
            <w:tcMar>
              <w:top w:w="120" w:type="dxa"/>
              <w:left w:w="120" w:type="dxa"/>
              <w:bottom w:w="120" w:type="dxa"/>
              <w:right w:w="120" w:type="dxa"/>
            </w:tcMar>
            <w:vAlign w:val="center"/>
            <w:hideMark/>
          </w:tcPr>
          <w:p w14:paraId="778CAAC9" w14:textId="77777777" w:rsidR="00EB094C" w:rsidRPr="00A12C9F" w:rsidRDefault="00EB094C" w:rsidP="003A24C9">
            <w:pPr>
              <w:jc w:val="center"/>
              <w:rPr>
                <w:rFonts w:cstheme="minorHAnsi"/>
                <w:color w:val="444444"/>
              </w:rPr>
            </w:pPr>
            <w:r w:rsidRPr="00A12C9F">
              <w:rPr>
                <w:rFonts w:cstheme="minorHAnsi"/>
                <w:color w:val="444444"/>
              </w:rPr>
              <w:t>End of month submission form (MYS or paper)</w:t>
            </w:r>
          </w:p>
        </w:tc>
        <w:tc>
          <w:tcPr>
            <w:tcW w:w="1710" w:type="dxa"/>
            <w:tcMar>
              <w:top w:w="120" w:type="dxa"/>
              <w:left w:w="120" w:type="dxa"/>
              <w:bottom w:w="120" w:type="dxa"/>
              <w:right w:w="120" w:type="dxa"/>
            </w:tcMar>
            <w:vAlign w:val="center"/>
            <w:hideMark/>
          </w:tcPr>
          <w:p w14:paraId="6A80CD83"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6A591B64"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£25 – AUR conducted on pharmacy premises</w:t>
            </w:r>
          </w:p>
          <w:p w14:paraId="777CAE61"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£54 – AUR carried out in a patient’s home</w:t>
            </w:r>
          </w:p>
        </w:tc>
        <w:tc>
          <w:tcPr>
            <w:tcW w:w="2268" w:type="dxa"/>
            <w:tcMar>
              <w:top w:w="120" w:type="dxa"/>
              <w:left w:w="120" w:type="dxa"/>
              <w:bottom w:w="120" w:type="dxa"/>
              <w:right w:w="120" w:type="dxa"/>
            </w:tcMar>
            <w:vAlign w:val="center"/>
            <w:hideMark/>
          </w:tcPr>
          <w:p w14:paraId="053AC464"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 xml:space="preserve">‘Appliance use reviews carried out at </w:t>
            </w:r>
            <w:proofErr w:type="gramStart"/>
            <w:r w:rsidRPr="00A12C9F">
              <w:rPr>
                <w:rFonts w:asciiTheme="minorHAnsi" w:hAnsiTheme="minorHAnsi" w:cstheme="minorHAnsi"/>
                <w:color w:val="444444"/>
                <w:sz w:val="22"/>
                <w:szCs w:val="22"/>
              </w:rPr>
              <w:t>patients</w:t>
            </w:r>
            <w:proofErr w:type="gramEnd"/>
            <w:r w:rsidRPr="00A12C9F">
              <w:rPr>
                <w:rFonts w:asciiTheme="minorHAnsi" w:hAnsiTheme="minorHAnsi" w:cstheme="minorHAnsi"/>
                <w:color w:val="444444"/>
                <w:sz w:val="22"/>
                <w:szCs w:val="22"/>
              </w:rPr>
              <w:t xml:space="preserve"> home’</w:t>
            </w:r>
          </w:p>
          <w:p w14:paraId="3A8CDB43"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‘Appliance use reviews carried out at premises’</w:t>
            </w:r>
          </w:p>
          <w:p w14:paraId="48C47640"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under section titled ‘Prescription Fees’</w:t>
            </w:r>
          </w:p>
        </w:tc>
      </w:tr>
      <w:tr w:rsidR="00EB094C" w:rsidRPr="00A12C9F" w14:paraId="6F67D43A" w14:textId="77777777" w:rsidTr="003A24C9">
        <w:tc>
          <w:tcPr>
            <w:tcW w:w="1725" w:type="dxa"/>
            <w:shd w:val="clear" w:color="auto" w:fill="5185CD"/>
            <w:tcMar>
              <w:top w:w="120" w:type="dxa"/>
              <w:left w:w="120" w:type="dxa"/>
              <w:bottom w:w="120" w:type="dxa"/>
              <w:right w:w="120" w:type="dxa"/>
            </w:tcMar>
            <w:vAlign w:val="center"/>
            <w:hideMark/>
          </w:tcPr>
          <w:p w14:paraId="7FB4E781" w14:textId="77777777" w:rsidR="00EB094C" w:rsidRPr="00A12C9F" w:rsidRDefault="00EB094C" w:rsidP="003A24C9">
            <w:pPr>
              <w:jc w:val="center"/>
              <w:rPr>
                <w:rFonts w:cstheme="minorHAnsi"/>
                <w:color w:val="444444"/>
              </w:rPr>
            </w:pPr>
            <w:r w:rsidRPr="00A12C9F">
              <w:rPr>
                <w:rStyle w:val="Strong"/>
                <w:rFonts w:cstheme="minorHAnsi"/>
                <w:color w:val="FFFFFF"/>
              </w:rPr>
              <w:t>New Medicines Service (NMS)</w:t>
            </w:r>
          </w:p>
        </w:tc>
        <w:tc>
          <w:tcPr>
            <w:tcW w:w="1781" w:type="dxa"/>
            <w:tcMar>
              <w:top w:w="120" w:type="dxa"/>
              <w:left w:w="120" w:type="dxa"/>
              <w:bottom w:w="120" w:type="dxa"/>
              <w:right w:w="120" w:type="dxa"/>
            </w:tcMar>
            <w:vAlign w:val="center"/>
            <w:hideMark/>
          </w:tcPr>
          <w:p w14:paraId="5A2243D0" w14:textId="77777777" w:rsidR="00EB094C" w:rsidRPr="00A12C9F" w:rsidRDefault="00EB094C" w:rsidP="003A24C9">
            <w:pPr>
              <w:jc w:val="center"/>
              <w:rPr>
                <w:rFonts w:cstheme="minorHAnsi"/>
                <w:color w:val="444444"/>
              </w:rPr>
            </w:pPr>
            <w:r w:rsidRPr="00A12C9F">
              <w:rPr>
                <w:rFonts w:cstheme="minorHAnsi"/>
                <w:color w:val="444444"/>
              </w:rPr>
              <w:t>End of month submission form (MYS or paper)</w:t>
            </w:r>
          </w:p>
        </w:tc>
        <w:tc>
          <w:tcPr>
            <w:tcW w:w="1710" w:type="dxa"/>
            <w:tcMar>
              <w:top w:w="120" w:type="dxa"/>
              <w:left w:w="120" w:type="dxa"/>
              <w:bottom w:w="120" w:type="dxa"/>
              <w:right w:w="120" w:type="dxa"/>
            </w:tcMar>
            <w:vAlign w:val="center"/>
            <w:hideMark/>
          </w:tcPr>
          <w:p w14:paraId="6F905774"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0F77F5A1" w14:textId="77777777" w:rsidR="00EB094C" w:rsidRPr="00A12C9F" w:rsidRDefault="00EB094C" w:rsidP="003A24C9">
            <w:pPr>
              <w:jc w:val="center"/>
              <w:rPr>
                <w:rFonts w:cstheme="minorHAnsi"/>
                <w:color w:val="444444"/>
              </w:rPr>
            </w:pPr>
            <w:r w:rsidRPr="00A12C9F">
              <w:rPr>
                <w:rFonts w:cstheme="minorHAnsi"/>
                <w:color w:val="444444"/>
              </w:rPr>
              <w:t>Between £20 and £28 for each completed NMS provided depending on the total number of patients who receive the service in the month</w:t>
            </w:r>
          </w:p>
        </w:tc>
        <w:tc>
          <w:tcPr>
            <w:tcW w:w="2268" w:type="dxa"/>
            <w:tcMar>
              <w:top w:w="120" w:type="dxa"/>
              <w:left w:w="120" w:type="dxa"/>
              <w:bottom w:w="120" w:type="dxa"/>
              <w:right w:w="120" w:type="dxa"/>
            </w:tcMar>
            <w:vAlign w:val="center"/>
            <w:hideMark/>
          </w:tcPr>
          <w:p w14:paraId="0816D7F7" w14:textId="77777777" w:rsidR="00EB094C" w:rsidRPr="00A12C9F" w:rsidRDefault="00EB094C" w:rsidP="003A24C9">
            <w:pPr>
              <w:jc w:val="center"/>
              <w:rPr>
                <w:rFonts w:cstheme="minorHAnsi"/>
                <w:color w:val="444444"/>
              </w:rPr>
            </w:pPr>
            <w:r w:rsidRPr="00A12C9F">
              <w:rPr>
                <w:rFonts w:cstheme="minorHAnsi"/>
                <w:color w:val="444444"/>
              </w:rPr>
              <w:t>‘New medicine service’ under section titled ‘Prescription Fees’</w:t>
            </w:r>
          </w:p>
        </w:tc>
      </w:tr>
      <w:tr w:rsidR="00EB094C" w:rsidRPr="00A12C9F" w14:paraId="4CAE750E" w14:textId="77777777" w:rsidTr="003A24C9">
        <w:trPr>
          <w:trHeight w:val="360"/>
        </w:trPr>
        <w:tc>
          <w:tcPr>
            <w:tcW w:w="1725" w:type="dxa"/>
            <w:shd w:val="clear" w:color="auto" w:fill="5185CD"/>
            <w:tcMar>
              <w:top w:w="120" w:type="dxa"/>
              <w:left w:w="120" w:type="dxa"/>
              <w:bottom w:w="120" w:type="dxa"/>
              <w:right w:w="120" w:type="dxa"/>
            </w:tcMar>
            <w:vAlign w:val="center"/>
            <w:hideMark/>
          </w:tcPr>
          <w:p w14:paraId="7D45A96E" w14:textId="77777777" w:rsidR="00EB094C" w:rsidRPr="00A12C9F" w:rsidRDefault="00EB094C" w:rsidP="003A24C9">
            <w:pPr>
              <w:jc w:val="center"/>
              <w:rPr>
                <w:rFonts w:cstheme="minorHAnsi"/>
                <w:color w:val="444444"/>
              </w:rPr>
            </w:pPr>
            <w:r w:rsidRPr="00A12C9F">
              <w:rPr>
                <w:rStyle w:val="Strong"/>
                <w:rFonts w:cstheme="minorHAnsi"/>
                <w:color w:val="FFFFFF"/>
              </w:rPr>
              <w:lastRenderedPageBreak/>
              <w:t>Discharge Medicines Service (DMS)</w:t>
            </w:r>
          </w:p>
        </w:tc>
        <w:tc>
          <w:tcPr>
            <w:tcW w:w="1781" w:type="dxa"/>
            <w:tcMar>
              <w:top w:w="120" w:type="dxa"/>
              <w:left w:w="120" w:type="dxa"/>
              <w:bottom w:w="120" w:type="dxa"/>
              <w:right w:w="120" w:type="dxa"/>
            </w:tcMar>
            <w:vAlign w:val="center"/>
            <w:hideMark/>
          </w:tcPr>
          <w:p w14:paraId="7481E49B" w14:textId="77777777" w:rsidR="00EB094C" w:rsidRPr="00A12C9F" w:rsidRDefault="00EB094C" w:rsidP="003A24C9">
            <w:pPr>
              <w:jc w:val="center"/>
              <w:rPr>
                <w:rFonts w:cstheme="minorHAnsi"/>
                <w:color w:val="444444"/>
              </w:rPr>
            </w:pPr>
            <w:r w:rsidRPr="00A12C9F">
              <w:rPr>
                <w:rFonts w:cstheme="minorHAnsi"/>
                <w:color w:val="444444"/>
              </w:rPr>
              <w:t>MYS</w:t>
            </w:r>
          </w:p>
        </w:tc>
        <w:tc>
          <w:tcPr>
            <w:tcW w:w="1710" w:type="dxa"/>
            <w:tcMar>
              <w:top w:w="120" w:type="dxa"/>
              <w:left w:w="120" w:type="dxa"/>
              <w:bottom w:w="120" w:type="dxa"/>
              <w:right w:w="120" w:type="dxa"/>
            </w:tcMar>
            <w:vAlign w:val="center"/>
            <w:hideMark/>
          </w:tcPr>
          <w:p w14:paraId="362C140E"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540A3FC4" w14:textId="77777777" w:rsidR="00EB094C" w:rsidRPr="00A12C9F" w:rsidRDefault="00EB094C" w:rsidP="003A24C9">
            <w:pPr>
              <w:jc w:val="center"/>
              <w:rPr>
                <w:color w:val="444444"/>
              </w:rPr>
            </w:pPr>
            <w:r>
              <w:rPr>
                <w:noProof/>
              </w:rPr>
              <w:drawing>
                <wp:inline distT="0" distB="0" distL="0" distR="0" wp14:anchorId="61286E24" wp14:editId="6716506A">
                  <wp:extent cx="2171700" cy="2076450"/>
                  <wp:effectExtent l="0" t="0" r="952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4">
                            <a:extLst>
                              <a:ext uri="{28A0092B-C50C-407E-A947-70E740481C1C}">
                                <a14:useLocalDpi xmlns:a14="http://schemas.microsoft.com/office/drawing/2010/main" val="0"/>
                              </a:ext>
                            </a:extLst>
                          </a:blip>
                          <a:stretch>
                            <a:fillRect/>
                          </a:stretch>
                        </pic:blipFill>
                        <pic:spPr>
                          <a:xfrm>
                            <a:off x="0" y="0"/>
                            <a:ext cx="2171700" cy="2076450"/>
                          </a:xfrm>
                          <a:prstGeom prst="rect">
                            <a:avLst/>
                          </a:prstGeom>
                        </pic:spPr>
                      </pic:pic>
                    </a:graphicData>
                  </a:graphic>
                </wp:inline>
              </w:drawing>
            </w:r>
          </w:p>
        </w:tc>
        <w:tc>
          <w:tcPr>
            <w:tcW w:w="2268" w:type="dxa"/>
            <w:tcMar>
              <w:top w:w="120" w:type="dxa"/>
              <w:left w:w="120" w:type="dxa"/>
              <w:bottom w:w="120" w:type="dxa"/>
              <w:right w:w="120" w:type="dxa"/>
            </w:tcMar>
            <w:vAlign w:val="center"/>
            <w:hideMark/>
          </w:tcPr>
          <w:p w14:paraId="283D2483" w14:textId="77777777" w:rsidR="00EB094C" w:rsidRPr="00A12C9F" w:rsidRDefault="00EB094C" w:rsidP="003A24C9">
            <w:pPr>
              <w:jc w:val="center"/>
              <w:rPr>
                <w:rFonts w:cstheme="minorHAnsi"/>
                <w:color w:val="444444"/>
              </w:rPr>
            </w:pPr>
            <w:r w:rsidRPr="00A12C9F">
              <w:rPr>
                <w:rFonts w:cstheme="minorHAnsi"/>
                <w:color w:val="444444"/>
              </w:rPr>
              <w:t>‘Discharge Medicine Review Fee’</w:t>
            </w:r>
          </w:p>
        </w:tc>
      </w:tr>
      <w:tr w:rsidR="00EB094C" w:rsidRPr="00A12C9F" w14:paraId="21F71E80" w14:textId="77777777" w:rsidTr="003A24C9">
        <w:trPr>
          <w:trHeight w:val="360"/>
        </w:trPr>
        <w:tc>
          <w:tcPr>
            <w:tcW w:w="1725" w:type="dxa"/>
            <w:shd w:val="clear" w:color="auto" w:fill="5185CD"/>
            <w:tcMar>
              <w:top w:w="120" w:type="dxa"/>
              <w:left w:w="120" w:type="dxa"/>
              <w:bottom w:w="120" w:type="dxa"/>
              <w:right w:w="120" w:type="dxa"/>
            </w:tcMar>
            <w:vAlign w:val="center"/>
            <w:hideMark/>
          </w:tcPr>
          <w:p w14:paraId="5BCD6E27" w14:textId="77777777" w:rsidR="00EB094C" w:rsidRPr="00A12C9F" w:rsidRDefault="00EB094C" w:rsidP="003A24C9">
            <w:pPr>
              <w:jc w:val="center"/>
              <w:rPr>
                <w:rFonts w:cstheme="minorHAnsi"/>
                <w:color w:val="444444"/>
              </w:rPr>
            </w:pPr>
            <w:r w:rsidRPr="00A12C9F">
              <w:rPr>
                <w:rStyle w:val="Strong"/>
                <w:rFonts w:cstheme="minorHAnsi"/>
                <w:color w:val="FFFFFF"/>
              </w:rPr>
              <w:t>COVID-19 vaccinations</w:t>
            </w:r>
          </w:p>
        </w:tc>
        <w:tc>
          <w:tcPr>
            <w:tcW w:w="1781" w:type="dxa"/>
            <w:tcMar>
              <w:top w:w="120" w:type="dxa"/>
              <w:left w:w="120" w:type="dxa"/>
              <w:bottom w:w="120" w:type="dxa"/>
              <w:right w:w="120" w:type="dxa"/>
            </w:tcMar>
            <w:vAlign w:val="center"/>
            <w:hideMark/>
          </w:tcPr>
          <w:p w14:paraId="7307C6BA" w14:textId="77777777" w:rsidR="00EB094C" w:rsidRPr="00A12C9F" w:rsidRDefault="00EB094C" w:rsidP="003A24C9">
            <w:pPr>
              <w:jc w:val="center"/>
              <w:rPr>
                <w:rFonts w:cstheme="minorHAnsi"/>
                <w:color w:val="444444"/>
              </w:rPr>
            </w:pPr>
            <w:r w:rsidRPr="00A12C9F">
              <w:rPr>
                <w:rFonts w:cstheme="minorHAnsi"/>
                <w:color w:val="444444"/>
              </w:rPr>
              <w:t>MYS</w:t>
            </w:r>
          </w:p>
        </w:tc>
        <w:tc>
          <w:tcPr>
            <w:tcW w:w="1710" w:type="dxa"/>
            <w:tcMar>
              <w:top w:w="120" w:type="dxa"/>
              <w:left w:w="120" w:type="dxa"/>
              <w:bottom w:w="120" w:type="dxa"/>
              <w:right w:w="120" w:type="dxa"/>
            </w:tcMar>
            <w:vAlign w:val="center"/>
            <w:hideMark/>
          </w:tcPr>
          <w:p w14:paraId="0C5FB161"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4E24879E"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£12.58 is paid for each vaccination given</w:t>
            </w:r>
          </w:p>
          <w:p w14:paraId="6A7386C5" w14:textId="77777777" w:rsidR="00EB094C" w:rsidRPr="00A12C9F" w:rsidRDefault="00EB094C" w:rsidP="003A24C9">
            <w:pPr>
              <w:pStyle w:val="NormalWeb"/>
              <w:spacing w:before="240"/>
              <w:jc w:val="center"/>
              <w:rPr>
                <w:rFonts w:asciiTheme="minorHAnsi" w:hAnsiTheme="minorHAnsi" w:cstheme="minorBidi"/>
                <w:color w:val="444444"/>
                <w:sz w:val="22"/>
                <w:szCs w:val="22"/>
              </w:rPr>
            </w:pPr>
            <w:r w:rsidRPr="0DE9A70C">
              <w:rPr>
                <w:rFonts w:asciiTheme="minorHAnsi" w:hAnsiTheme="minorHAnsi" w:cstheme="minorBidi"/>
                <w:color w:val="444444"/>
                <w:sz w:val="22"/>
                <w:szCs w:val="22"/>
              </w:rPr>
              <w:t>Additional £10.00 payment per vaccine for housebound and care home patients</w:t>
            </w:r>
          </w:p>
        </w:tc>
        <w:tc>
          <w:tcPr>
            <w:tcW w:w="2268" w:type="dxa"/>
            <w:tcMar>
              <w:top w:w="120" w:type="dxa"/>
              <w:left w:w="120" w:type="dxa"/>
              <w:bottom w:w="120" w:type="dxa"/>
              <w:right w:w="120" w:type="dxa"/>
            </w:tcMar>
            <w:vAlign w:val="center"/>
            <w:hideMark/>
          </w:tcPr>
          <w:p w14:paraId="6D06339E" w14:textId="77777777" w:rsidR="00EB094C" w:rsidRPr="00A12C9F" w:rsidRDefault="00EB094C" w:rsidP="003A24C9">
            <w:pPr>
              <w:jc w:val="center"/>
              <w:rPr>
                <w:rFonts w:cstheme="minorHAnsi"/>
                <w:color w:val="444444"/>
              </w:rPr>
            </w:pPr>
            <w:r w:rsidRPr="00A12C9F">
              <w:rPr>
                <w:rFonts w:cstheme="minorHAnsi"/>
                <w:color w:val="444444"/>
              </w:rPr>
              <w:t>‘Covid Vaccine Claim’</w:t>
            </w:r>
          </w:p>
        </w:tc>
      </w:tr>
      <w:tr w:rsidR="00EB094C" w:rsidRPr="00A12C9F" w14:paraId="0ECCDDCC" w14:textId="77777777" w:rsidTr="003A24C9">
        <w:trPr>
          <w:trHeight w:val="360"/>
        </w:trPr>
        <w:tc>
          <w:tcPr>
            <w:tcW w:w="1725" w:type="dxa"/>
            <w:shd w:val="clear" w:color="auto" w:fill="5185CD"/>
            <w:tcMar>
              <w:top w:w="120" w:type="dxa"/>
              <w:left w:w="120" w:type="dxa"/>
              <w:bottom w:w="120" w:type="dxa"/>
              <w:right w:w="120" w:type="dxa"/>
            </w:tcMar>
            <w:vAlign w:val="center"/>
            <w:hideMark/>
          </w:tcPr>
          <w:p w14:paraId="2059CFC5" w14:textId="77777777" w:rsidR="00EB094C" w:rsidRPr="00A12C9F" w:rsidRDefault="00EB094C" w:rsidP="003A24C9">
            <w:pPr>
              <w:jc w:val="center"/>
              <w:rPr>
                <w:rFonts w:cstheme="minorHAnsi"/>
                <w:color w:val="444444"/>
              </w:rPr>
            </w:pPr>
            <w:r w:rsidRPr="00A12C9F">
              <w:rPr>
                <w:rStyle w:val="Strong"/>
                <w:rFonts w:cstheme="minorHAnsi"/>
                <w:color w:val="FFFFFF"/>
              </w:rPr>
              <w:t>Hepatitis C testing service</w:t>
            </w:r>
          </w:p>
        </w:tc>
        <w:tc>
          <w:tcPr>
            <w:tcW w:w="1781" w:type="dxa"/>
            <w:tcMar>
              <w:top w:w="120" w:type="dxa"/>
              <w:left w:w="120" w:type="dxa"/>
              <w:bottom w:w="120" w:type="dxa"/>
              <w:right w:w="120" w:type="dxa"/>
            </w:tcMar>
            <w:vAlign w:val="center"/>
            <w:hideMark/>
          </w:tcPr>
          <w:p w14:paraId="3084860B" w14:textId="77777777" w:rsidR="00EB094C" w:rsidRPr="00A12C9F" w:rsidRDefault="00EB094C" w:rsidP="003A24C9">
            <w:pPr>
              <w:jc w:val="center"/>
              <w:rPr>
                <w:rFonts w:cstheme="minorHAnsi"/>
                <w:color w:val="444444"/>
              </w:rPr>
            </w:pPr>
            <w:r w:rsidRPr="00A12C9F">
              <w:rPr>
                <w:rFonts w:cstheme="minorHAnsi"/>
                <w:color w:val="444444"/>
              </w:rPr>
              <w:t>MYS</w:t>
            </w:r>
            <w:r w:rsidRPr="00A12C9F">
              <w:rPr>
                <w:rFonts w:cstheme="minorHAnsi"/>
                <w:color w:val="444444"/>
              </w:rPr>
              <w:br/>
              <w:t>(by the 5th day of the following month after completion of a test)</w:t>
            </w:r>
          </w:p>
        </w:tc>
        <w:tc>
          <w:tcPr>
            <w:tcW w:w="1710" w:type="dxa"/>
            <w:tcMar>
              <w:top w:w="120" w:type="dxa"/>
              <w:left w:w="120" w:type="dxa"/>
              <w:bottom w:w="120" w:type="dxa"/>
              <w:right w:w="120" w:type="dxa"/>
            </w:tcMar>
            <w:vAlign w:val="center"/>
            <w:hideMark/>
          </w:tcPr>
          <w:p w14:paraId="671726CA" w14:textId="77777777" w:rsidR="00EB094C" w:rsidRPr="00A12C9F" w:rsidRDefault="00EB094C" w:rsidP="003A24C9">
            <w:pPr>
              <w:jc w:val="center"/>
              <w:rPr>
                <w:color w:val="444444"/>
              </w:rPr>
            </w:pPr>
            <w:r w:rsidRPr="0DE9A70C">
              <w:rPr>
                <w:color w:val="444444"/>
              </w:rPr>
              <w:t>Monthly in the same payment month as other payments for NHS Pharmaceutical Services. This service will continue until </w:t>
            </w:r>
            <w:r w:rsidRPr="0DE9A70C">
              <w:rPr>
                <w:rStyle w:val="Strong"/>
                <w:color w:val="444444"/>
              </w:rPr>
              <w:t>31st March 2022</w:t>
            </w:r>
          </w:p>
        </w:tc>
        <w:tc>
          <w:tcPr>
            <w:tcW w:w="3573" w:type="dxa"/>
            <w:tcMar>
              <w:top w:w="120" w:type="dxa"/>
              <w:left w:w="120" w:type="dxa"/>
              <w:bottom w:w="120" w:type="dxa"/>
              <w:right w:w="120" w:type="dxa"/>
            </w:tcMar>
            <w:vAlign w:val="center"/>
            <w:hideMark/>
          </w:tcPr>
          <w:p w14:paraId="7E380891" w14:textId="77777777" w:rsidR="00EB094C" w:rsidRPr="00A12C9F" w:rsidRDefault="00EB094C" w:rsidP="003A24C9">
            <w:pPr>
              <w:jc w:val="center"/>
              <w:rPr>
                <w:rFonts w:cstheme="minorHAnsi"/>
                <w:color w:val="444444"/>
              </w:rPr>
            </w:pPr>
            <w:r w:rsidRPr="00A12C9F">
              <w:rPr>
                <w:rFonts w:cstheme="minorHAnsi"/>
                <w:color w:val="444444"/>
              </w:rPr>
              <w:t>£36 per test performed</w:t>
            </w:r>
          </w:p>
        </w:tc>
        <w:tc>
          <w:tcPr>
            <w:tcW w:w="2268" w:type="dxa"/>
            <w:tcMar>
              <w:top w:w="120" w:type="dxa"/>
              <w:left w:w="120" w:type="dxa"/>
              <w:bottom w:w="120" w:type="dxa"/>
              <w:right w:w="120" w:type="dxa"/>
            </w:tcMar>
            <w:vAlign w:val="center"/>
            <w:hideMark/>
          </w:tcPr>
          <w:p w14:paraId="46ADA62D" w14:textId="77777777" w:rsidR="00EB094C" w:rsidRPr="00A12C9F" w:rsidRDefault="00EB094C" w:rsidP="003A24C9">
            <w:pPr>
              <w:jc w:val="center"/>
              <w:rPr>
                <w:rFonts w:cstheme="minorHAnsi"/>
                <w:color w:val="444444"/>
              </w:rPr>
            </w:pPr>
            <w:r w:rsidRPr="00A12C9F">
              <w:rPr>
                <w:rFonts w:cstheme="minorHAnsi"/>
                <w:color w:val="444444"/>
              </w:rPr>
              <w:t>‘Hep C Provision of Testing Service’</w:t>
            </w:r>
          </w:p>
        </w:tc>
      </w:tr>
      <w:tr w:rsidR="00EB094C" w:rsidRPr="00A12C9F" w14:paraId="16B871A3" w14:textId="77777777" w:rsidTr="003A24C9">
        <w:trPr>
          <w:trHeight w:val="360"/>
        </w:trPr>
        <w:tc>
          <w:tcPr>
            <w:tcW w:w="1725" w:type="dxa"/>
            <w:shd w:val="clear" w:color="auto" w:fill="5185CD"/>
            <w:tcMar>
              <w:top w:w="120" w:type="dxa"/>
              <w:left w:w="120" w:type="dxa"/>
              <w:bottom w:w="120" w:type="dxa"/>
              <w:right w:w="120" w:type="dxa"/>
            </w:tcMar>
            <w:vAlign w:val="center"/>
            <w:hideMark/>
          </w:tcPr>
          <w:p w14:paraId="64659F98" w14:textId="77777777" w:rsidR="00EB094C" w:rsidRPr="00A12C9F" w:rsidRDefault="00EB094C" w:rsidP="003A24C9">
            <w:pPr>
              <w:jc w:val="center"/>
              <w:rPr>
                <w:rFonts w:cstheme="minorHAnsi"/>
                <w:color w:val="444444"/>
              </w:rPr>
            </w:pPr>
            <w:r w:rsidRPr="00A12C9F">
              <w:rPr>
                <w:rStyle w:val="Strong"/>
                <w:rFonts w:cstheme="minorHAnsi"/>
                <w:color w:val="FFFFFF"/>
              </w:rPr>
              <w:t>Hepatitis C Point of Care Test (POCT) kit</w:t>
            </w:r>
          </w:p>
        </w:tc>
        <w:tc>
          <w:tcPr>
            <w:tcW w:w="1781" w:type="dxa"/>
            <w:tcMar>
              <w:top w:w="120" w:type="dxa"/>
              <w:left w:w="120" w:type="dxa"/>
              <w:bottom w:w="120" w:type="dxa"/>
              <w:right w:w="120" w:type="dxa"/>
            </w:tcMar>
            <w:vAlign w:val="center"/>
            <w:hideMark/>
          </w:tcPr>
          <w:p w14:paraId="29A864CF" w14:textId="77777777" w:rsidR="00EB094C" w:rsidRPr="00A12C9F" w:rsidRDefault="00EB094C" w:rsidP="003A24C9">
            <w:pPr>
              <w:jc w:val="center"/>
              <w:rPr>
                <w:rFonts w:cstheme="minorHAnsi"/>
                <w:color w:val="444444"/>
              </w:rPr>
            </w:pPr>
            <w:r w:rsidRPr="00A12C9F">
              <w:rPr>
                <w:rFonts w:cstheme="minorHAnsi"/>
                <w:color w:val="444444"/>
              </w:rPr>
              <w:t>MYS</w:t>
            </w:r>
            <w:r w:rsidRPr="00A12C9F">
              <w:rPr>
                <w:rFonts w:cstheme="minorHAnsi"/>
                <w:color w:val="444444"/>
              </w:rPr>
              <w:br/>
              <w:t xml:space="preserve">(by the 5th day of the following month after </w:t>
            </w:r>
            <w:r w:rsidRPr="00A12C9F">
              <w:rPr>
                <w:rFonts w:cstheme="minorHAnsi"/>
                <w:color w:val="444444"/>
              </w:rPr>
              <w:lastRenderedPageBreak/>
              <w:t>completion of a test)</w:t>
            </w:r>
          </w:p>
        </w:tc>
        <w:tc>
          <w:tcPr>
            <w:tcW w:w="1710" w:type="dxa"/>
            <w:tcMar>
              <w:top w:w="120" w:type="dxa"/>
              <w:left w:w="120" w:type="dxa"/>
              <w:bottom w:w="120" w:type="dxa"/>
              <w:right w:w="120" w:type="dxa"/>
            </w:tcMar>
            <w:vAlign w:val="center"/>
            <w:hideMark/>
          </w:tcPr>
          <w:p w14:paraId="3C3023D4" w14:textId="77777777" w:rsidR="00EB094C" w:rsidRPr="00A12C9F" w:rsidRDefault="00EB094C" w:rsidP="003A24C9">
            <w:pPr>
              <w:jc w:val="center"/>
              <w:rPr>
                <w:color w:val="444444"/>
              </w:rPr>
            </w:pPr>
            <w:r w:rsidRPr="0DE9A70C">
              <w:rPr>
                <w:color w:val="444444"/>
              </w:rPr>
              <w:lastRenderedPageBreak/>
              <w:t xml:space="preserve">Monthly in the same payment month as other payments for NHS Pharmaceutical </w:t>
            </w:r>
            <w:r w:rsidRPr="0DE9A70C">
              <w:rPr>
                <w:color w:val="444444"/>
              </w:rPr>
              <w:lastRenderedPageBreak/>
              <w:t>Services. This service will continue until </w:t>
            </w:r>
            <w:r w:rsidRPr="0DE9A70C">
              <w:rPr>
                <w:rStyle w:val="Strong"/>
                <w:color w:val="444444"/>
              </w:rPr>
              <w:t>31st March 2022</w:t>
            </w:r>
          </w:p>
        </w:tc>
        <w:tc>
          <w:tcPr>
            <w:tcW w:w="3573" w:type="dxa"/>
            <w:tcMar>
              <w:top w:w="120" w:type="dxa"/>
              <w:left w:w="120" w:type="dxa"/>
              <w:bottom w:w="120" w:type="dxa"/>
              <w:right w:w="120" w:type="dxa"/>
            </w:tcMar>
            <w:vAlign w:val="center"/>
            <w:hideMark/>
          </w:tcPr>
          <w:p w14:paraId="1DDB528F" w14:textId="77777777" w:rsidR="00EB094C" w:rsidRPr="00A12C9F" w:rsidRDefault="00EB094C" w:rsidP="003A24C9">
            <w:pPr>
              <w:jc w:val="center"/>
              <w:rPr>
                <w:rFonts w:cstheme="minorHAnsi"/>
                <w:color w:val="444444"/>
              </w:rPr>
            </w:pPr>
            <w:r w:rsidRPr="00A12C9F">
              <w:rPr>
                <w:rFonts w:cstheme="minorHAnsi"/>
                <w:color w:val="444444"/>
              </w:rPr>
              <w:lastRenderedPageBreak/>
              <w:t>Cost of the POCT kit at manufacturer’s list price + VAT</w:t>
            </w:r>
          </w:p>
        </w:tc>
        <w:tc>
          <w:tcPr>
            <w:tcW w:w="2268" w:type="dxa"/>
            <w:tcMar>
              <w:top w:w="120" w:type="dxa"/>
              <w:left w:w="120" w:type="dxa"/>
              <w:bottom w:w="120" w:type="dxa"/>
              <w:right w:w="120" w:type="dxa"/>
            </w:tcMar>
            <w:vAlign w:val="center"/>
            <w:hideMark/>
          </w:tcPr>
          <w:p w14:paraId="01FB09ED" w14:textId="77777777" w:rsidR="00EB094C" w:rsidRPr="00A12C9F" w:rsidRDefault="00EB094C" w:rsidP="003A24C9">
            <w:pPr>
              <w:jc w:val="center"/>
              <w:rPr>
                <w:rFonts w:cstheme="minorHAnsi"/>
                <w:color w:val="444444"/>
              </w:rPr>
            </w:pPr>
            <w:r w:rsidRPr="00A12C9F">
              <w:rPr>
                <w:rFonts w:cstheme="minorHAnsi"/>
                <w:color w:val="444444"/>
              </w:rPr>
              <w:t>‘Hep C Test Kit Reimbursement’</w:t>
            </w:r>
          </w:p>
        </w:tc>
      </w:tr>
      <w:tr w:rsidR="00EB094C" w:rsidRPr="00A12C9F" w14:paraId="667A5255" w14:textId="77777777" w:rsidTr="003A24C9">
        <w:tc>
          <w:tcPr>
            <w:tcW w:w="1725" w:type="dxa"/>
            <w:shd w:val="clear" w:color="auto" w:fill="5185CD"/>
            <w:tcMar>
              <w:top w:w="120" w:type="dxa"/>
              <w:left w:w="120" w:type="dxa"/>
              <w:bottom w:w="120" w:type="dxa"/>
              <w:right w:w="120" w:type="dxa"/>
            </w:tcMar>
            <w:vAlign w:val="center"/>
            <w:hideMark/>
          </w:tcPr>
          <w:p w14:paraId="3CEC37F5" w14:textId="77777777" w:rsidR="00EB094C" w:rsidRPr="00A12C9F" w:rsidRDefault="00EB094C" w:rsidP="003A24C9">
            <w:pPr>
              <w:jc w:val="center"/>
              <w:rPr>
                <w:rFonts w:cstheme="minorHAnsi"/>
                <w:color w:val="444444"/>
              </w:rPr>
            </w:pPr>
            <w:r w:rsidRPr="00A12C9F">
              <w:rPr>
                <w:rStyle w:val="Strong"/>
                <w:rFonts w:cstheme="minorHAnsi"/>
                <w:color w:val="FFFFFF"/>
              </w:rPr>
              <w:t>Stoma Appliance Customisation (SAC)</w:t>
            </w:r>
            <w:r w:rsidRPr="00A12C9F">
              <w:rPr>
                <w:rFonts w:cstheme="minorHAnsi"/>
                <w:b/>
                <w:bCs/>
                <w:color w:val="FFFFFF"/>
              </w:rPr>
              <w:br/>
            </w:r>
          </w:p>
        </w:tc>
        <w:tc>
          <w:tcPr>
            <w:tcW w:w="1781" w:type="dxa"/>
            <w:tcMar>
              <w:top w:w="120" w:type="dxa"/>
              <w:left w:w="120" w:type="dxa"/>
              <w:bottom w:w="120" w:type="dxa"/>
              <w:right w:w="120" w:type="dxa"/>
            </w:tcMar>
            <w:vAlign w:val="center"/>
            <w:hideMark/>
          </w:tcPr>
          <w:p w14:paraId="4D2B9642" w14:textId="77777777" w:rsidR="00EB094C" w:rsidRPr="00A12C9F" w:rsidRDefault="00EB094C" w:rsidP="003A24C9">
            <w:pPr>
              <w:jc w:val="center"/>
              <w:rPr>
                <w:rFonts w:cstheme="minorHAnsi"/>
                <w:color w:val="444444"/>
              </w:rPr>
            </w:pPr>
            <w:r w:rsidRPr="00A12C9F">
              <w:rPr>
                <w:rFonts w:cstheme="minorHAnsi"/>
                <w:color w:val="444444"/>
              </w:rPr>
              <w:t>Automatically based on qualifying Part IXC Drug Tariff products</w:t>
            </w:r>
          </w:p>
        </w:tc>
        <w:tc>
          <w:tcPr>
            <w:tcW w:w="1710" w:type="dxa"/>
            <w:tcMar>
              <w:top w:w="120" w:type="dxa"/>
              <w:left w:w="120" w:type="dxa"/>
              <w:bottom w:w="120" w:type="dxa"/>
              <w:right w:w="120" w:type="dxa"/>
            </w:tcMar>
            <w:vAlign w:val="center"/>
            <w:hideMark/>
          </w:tcPr>
          <w:p w14:paraId="1C303D2B" w14:textId="77777777" w:rsidR="00EB094C" w:rsidRPr="00A12C9F" w:rsidRDefault="00EB094C" w:rsidP="003A24C9">
            <w:pPr>
              <w:jc w:val="center"/>
              <w:rPr>
                <w:rFonts w:cstheme="minorHAnsi"/>
                <w:color w:val="444444"/>
              </w:rPr>
            </w:pPr>
            <w:r w:rsidRPr="00A12C9F">
              <w:rPr>
                <w:rFonts w:cstheme="minorHAnsi"/>
                <w:color w:val="444444"/>
              </w:rPr>
              <w:t>Monthly</w:t>
            </w:r>
          </w:p>
        </w:tc>
        <w:tc>
          <w:tcPr>
            <w:tcW w:w="3573" w:type="dxa"/>
            <w:tcMar>
              <w:top w:w="120" w:type="dxa"/>
              <w:left w:w="120" w:type="dxa"/>
              <w:bottom w:w="120" w:type="dxa"/>
              <w:right w:w="120" w:type="dxa"/>
            </w:tcMar>
            <w:vAlign w:val="center"/>
            <w:hideMark/>
          </w:tcPr>
          <w:p w14:paraId="01A75046" w14:textId="77777777" w:rsidR="00EB094C" w:rsidRPr="00A12C9F" w:rsidRDefault="00EB094C" w:rsidP="003A24C9">
            <w:pPr>
              <w:jc w:val="center"/>
              <w:rPr>
                <w:color w:val="444444"/>
              </w:rPr>
            </w:pPr>
            <w:r w:rsidRPr="0DE9A70C">
              <w:rPr>
                <w:color w:val="444444"/>
              </w:rPr>
              <w:t>£4.32 is paid per qualifying* Part IXC item dispensed, regardless of whether customisation was required</w:t>
            </w:r>
          </w:p>
        </w:tc>
        <w:tc>
          <w:tcPr>
            <w:tcW w:w="2268" w:type="dxa"/>
            <w:tcMar>
              <w:top w:w="120" w:type="dxa"/>
              <w:left w:w="120" w:type="dxa"/>
              <w:bottom w:w="120" w:type="dxa"/>
              <w:right w:w="120" w:type="dxa"/>
            </w:tcMar>
            <w:vAlign w:val="center"/>
            <w:hideMark/>
          </w:tcPr>
          <w:p w14:paraId="0ABF4302" w14:textId="77777777" w:rsidR="00EB094C" w:rsidRPr="00A12C9F" w:rsidRDefault="00EB094C" w:rsidP="003A24C9">
            <w:pPr>
              <w:jc w:val="center"/>
              <w:rPr>
                <w:rFonts w:cstheme="minorHAnsi"/>
                <w:color w:val="444444"/>
              </w:rPr>
            </w:pPr>
            <w:r w:rsidRPr="00A12C9F">
              <w:rPr>
                <w:rFonts w:cstheme="minorHAnsi"/>
                <w:color w:val="444444"/>
              </w:rPr>
              <w:t>Payment will be listed as ‘Stoma customisation’ under section titled ‘Prescription Fees’</w:t>
            </w:r>
          </w:p>
        </w:tc>
      </w:tr>
    </w:tbl>
    <w:p w14:paraId="7DB56B77" w14:textId="77777777" w:rsidR="00EB094C" w:rsidRDefault="00EB094C" w:rsidP="00EB094C">
      <w:pPr>
        <w:rPr>
          <w:b/>
          <w:bCs/>
        </w:rPr>
      </w:pPr>
    </w:p>
    <w:p w14:paraId="33E8C1FF" w14:textId="77777777" w:rsidR="00EB094C" w:rsidRDefault="00EB094C" w:rsidP="00EB094C">
      <w:pPr>
        <w:rPr>
          <w:b/>
          <w:bCs/>
        </w:rPr>
      </w:pPr>
      <w:r w:rsidRPr="5B712038">
        <w:rPr>
          <w:b/>
          <w:bCs/>
        </w:rPr>
        <w:t>Services where the claim deadline has expired</w:t>
      </w:r>
    </w:p>
    <w:p w14:paraId="03672098" w14:textId="77777777" w:rsidR="00EB094C" w:rsidRPr="00A12C9F" w:rsidRDefault="00EB094C" w:rsidP="00EB094C">
      <w:pPr>
        <w:rPr>
          <w:b/>
          <w:bCs/>
        </w:rPr>
      </w:pPr>
    </w:p>
    <w:tbl>
      <w:tblPr>
        <w:tblW w:w="110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1701"/>
        <w:gridCol w:w="5250"/>
        <w:gridCol w:w="2262"/>
      </w:tblGrid>
      <w:tr w:rsidR="00EB094C" w:rsidRPr="00A12C9F" w14:paraId="077DB31F" w14:textId="77777777" w:rsidTr="003A24C9">
        <w:trPr>
          <w:trHeight w:val="360"/>
          <w:tblHeader/>
        </w:trPr>
        <w:tc>
          <w:tcPr>
            <w:tcW w:w="1844" w:type="dxa"/>
            <w:shd w:val="clear" w:color="auto" w:fill="C3137B"/>
            <w:tcMar>
              <w:top w:w="120" w:type="dxa"/>
              <w:left w:w="120" w:type="dxa"/>
              <w:bottom w:w="120" w:type="dxa"/>
              <w:right w:w="120" w:type="dxa"/>
            </w:tcMar>
            <w:vAlign w:val="center"/>
            <w:hideMark/>
          </w:tcPr>
          <w:p w14:paraId="265A093D"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type</w:t>
            </w:r>
          </w:p>
        </w:tc>
        <w:tc>
          <w:tcPr>
            <w:tcW w:w="1701" w:type="dxa"/>
            <w:shd w:val="clear" w:color="auto" w:fill="C3137B"/>
            <w:tcMar>
              <w:top w:w="120" w:type="dxa"/>
              <w:left w:w="120" w:type="dxa"/>
              <w:bottom w:w="120" w:type="dxa"/>
              <w:right w:w="120" w:type="dxa"/>
            </w:tcMar>
            <w:vAlign w:val="center"/>
            <w:hideMark/>
          </w:tcPr>
          <w:p w14:paraId="67212E77"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due</w:t>
            </w:r>
          </w:p>
        </w:tc>
        <w:tc>
          <w:tcPr>
            <w:tcW w:w="5250" w:type="dxa"/>
            <w:shd w:val="clear" w:color="auto" w:fill="C3137B"/>
            <w:tcMar>
              <w:top w:w="120" w:type="dxa"/>
              <w:left w:w="120" w:type="dxa"/>
              <w:bottom w:w="120" w:type="dxa"/>
              <w:right w:w="120" w:type="dxa"/>
            </w:tcMar>
            <w:vAlign w:val="center"/>
            <w:hideMark/>
          </w:tcPr>
          <w:p w14:paraId="7F008C1B"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Payment amount</w:t>
            </w:r>
          </w:p>
        </w:tc>
        <w:tc>
          <w:tcPr>
            <w:tcW w:w="2262" w:type="dxa"/>
            <w:shd w:val="clear" w:color="auto" w:fill="C3137B"/>
            <w:tcMar>
              <w:top w:w="120" w:type="dxa"/>
              <w:left w:w="120" w:type="dxa"/>
              <w:bottom w:w="120" w:type="dxa"/>
              <w:right w:w="120" w:type="dxa"/>
            </w:tcMar>
            <w:vAlign w:val="center"/>
            <w:hideMark/>
          </w:tcPr>
          <w:p w14:paraId="530BD1D5"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How payment will appear on the Schedule of Payments under section of ‘Details of other amounts authorised’</w:t>
            </w:r>
          </w:p>
        </w:tc>
      </w:tr>
      <w:tr w:rsidR="00EB094C" w:rsidRPr="00A12C9F" w14:paraId="48BC9F9E" w14:textId="77777777" w:rsidTr="003A24C9">
        <w:tc>
          <w:tcPr>
            <w:tcW w:w="1844" w:type="dxa"/>
            <w:shd w:val="clear" w:color="auto" w:fill="5185CD"/>
            <w:tcMar>
              <w:top w:w="120" w:type="dxa"/>
              <w:left w:w="120" w:type="dxa"/>
              <w:bottom w:w="120" w:type="dxa"/>
              <w:right w:w="120" w:type="dxa"/>
            </w:tcMar>
            <w:vAlign w:val="center"/>
            <w:hideMark/>
          </w:tcPr>
          <w:p w14:paraId="7C4D5E76"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t>Pharmacy Quality Scheme 2021/22 – Aspiration payment</w:t>
            </w:r>
            <w:r w:rsidRPr="00A12C9F">
              <w:rPr>
                <w:rFonts w:cstheme="minorHAnsi"/>
                <w:b/>
                <w:bCs/>
                <w:color w:val="FFFFFF"/>
              </w:rPr>
              <w:br/>
            </w:r>
          </w:p>
        </w:tc>
        <w:tc>
          <w:tcPr>
            <w:tcW w:w="1701" w:type="dxa"/>
            <w:tcMar>
              <w:top w:w="120" w:type="dxa"/>
              <w:left w:w="120" w:type="dxa"/>
              <w:bottom w:w="120" w:type="dxa"/>
              <w:right w:w="120" w:type="dxa"/>
            </w:tcMar>
            <w:vAlign w:val="center"/>
            <w:hideMark/>
          </w:tcPr>
          <w:p w14:paraId="3F2DC988" w14:textId="77777777" w:rsidR="00EB094C" w:rsidRPr="00A12C9F" w:rsidRDefault="00EB094C" w:rsidP="003A24C9">
            <w:pPr>
              <w:spacing w:before="225" w:after="225"/>
              <w:jc w:val="center"/>
              <w:rPr>
                <w:rFonts w:cstheme="minorHAnsi"/>
                <w:color w:val="444444"/>
              </w:rPr>
            </w:pPr>
            <w:r w:rsidRPr="00A12C9F">
              <w:rPr>
                <w:rFonts w:cstheme="minorHAnsi"/>
                <w:color w:val="444444"/>
              </w:rPr>
              <w:t>1st December 2021</w:t>
            </w:r>
          </w:p>
        </w:tc>
        <w:tc>
          <w:tcPr>
            <w:tcW w:w="5250" w:type="dxa"/>
            <w:tcMar>
              <w:top w:w="120" w:type="dxa"/>
              <w:left w:w="120" w:type="dxa"/>
              <w:bottom w:w="120" w:type="dxa"/>
              <w:right w:w="120" w:type="dxa"/>
            </w:tcMar>
            <w:vAlign w:val="center"/>
            <w:hideMark/>
          </w:tcPr>
          <w:p w14:paraId="5A993933" w14:textId="77777777" w:rsidR="00EB094C" w:rsidRPr="00A12C9F" w:rsidRDefault="00EB094C" w:rsidP="003A24C9">
            <w:pPr>
              <w:spacing w:before="225" w:after="225"/>
              <w:jc w:val="center"/>
              <w:rPr>
                <w:rFonts w:cstheme="minorHAnsi"/>
                <w:color w:val="444444"/>
              </w:rPr>
            </w:pPr>
            <w:r w:rsidRPr="00A12C9F">
              <w:rPr>
                <w:rFonts w:cstheme="minorHAnsi"/>
                <w:color w:val="444444"/>
              </w:rPr>
              <w:t>70% of the number of points within the band in which contractors are placed (the Aspiration Payment does not include the extra points that can be earned for being the Pharmacy PCN Lead). The value of each point for the aspiration payment is set at £67.75 (i.e. the minimum value of a point for PQS 2021/22).</w:t>
            </w:r>
            <w:r w:rsidRPr="00A12C9F">
              <w:rPr>
                <w:rFonts w:cstheme="minorHAnsi"/>
                <w:color w:val="444444"/>
              </w:rPr>
              <w:br/>
              <w:t>NHSBSA has </w:t>
            </w:r>
            <w:hyperlink r:id="rId55" w:history="1">
              <w:r w:rsidRPr="00A12C9F">
                <w:rPr>
                  <w:rStyle w:val="Hyperlink"/>
                  <w:rFonts w:cstheme="minorHAnsi"/>
                  <w:b/>
                  <w:bCs/>
                  <w:color w:val="4F3388"/>
                </w:rPr>
                <w:t>published a spreadsheet</w:t>
              </w:r>
            </w:hyperlink>
            <w:r w:rsidRPr="00A12C9F">
              <w:rPr>
                <w:rFonts w:cstheme="minorHAnsi"/>
                <w:color w:val="444444"/>
              </w:rPr>
              <w:t> detailing the banding that pharmacies have been put into for PQS 2021/22.</w:t>
            </w:r>
          </w:p>
        </w:tc>
        <w:tc>
          <w:tcPr>
            <w:tcW w:w="2262" w:type="dxa"/>
            <w:tcMar>
              <w:top w:w="120" w:type="dxa"/>
              <w:left w:w="120" w:type="dxa"/>
              <w:bottom w:w="120" w:type="dxa"/>
              <w:right w:w="120" w:type="dxa"/>
            </w:tcMar>
            <w:vAlign w:val="center"/>
            <w:hideMark/>
          </w:tcPr>
          <w:p w14:paraId="43344EB7" w14:textId="77777777" w:rsidR="00EB094C" w:rsidRPr="00A12C9F" w:rsidRDefault="00EB094C" w:rsidP="003A24C9">
            <w:pPr>
              <w:spacing w:before="225" w:after="225"/>
              <w:jc w:val="center"/>
              <w:rPr>
                <w:rFonts w:cstheme="minorHAnsi"/>
                <w:color w:val="444444"/>
              </w:rPr>
            </w:pPr>
            <w:r w:rsidRPr="00A12C9F">
              <w:rPr>
                <w:rFonts w:cstheme="minorHAnsi"/>
                <w:color w:val="444444"/>
              </w:rPr>
              <w:t>‘Pharmacy Quality Scheme’</w:t>
            </w:r>
          </w:p>
        </w:tc>
      </w:tr>
      <w:tr w:rsidR="00EB094C" w:rsidRPr="00A12C9F" w14:paraId="3DFEA0C6" w14:textId="77777777" w:rsidTr="003A24C9">
        <w:tc>
          <w:tcPr>
            <w:tcW w:w="1844" w:type="dxa"/>
            <w:shd w:val="clear" w:color="auto" w:fill="5185CD"/>
            <w:tcMar>
              <w:top w:w="120" w:type="dxa"/>
              <w:left w:w="120" w:type="dxa"/>
              <w:bottom w:w="120" w:type="dxa"/>
              <w:right w:w="120" w:type="dxa"/>
            </w:tcMar>
            <w:vAlign w:val="center"/>
            <w:hideMark/>
          </w:tcPr>
          <w:p w14:paraId="074441C6" w14:textId="77777777" w:rsidR="00EB094C" w:rsidRPr="00A12C9F" w:rsidRDefault="00EB094C" w:rsidP="003A24C9">
            <w:pPr>
              <w:spacing w:before="225" w:after="225"/>
              <w:jc w:val="center"/>
              <w:rPr>
                <w:rFonts w:cstheme="minorHAnsi"/>
                <w:color w:val="444444"/>
              </w:rPr>
            </w:pPr>
            <w:r w:rsidRPr="00A12C9F">
              <w:rPr>
                <w:rStyle w:val="Strong"/>
                <w:rFonts w:cstheme="minorHAnsi"/>
                <w:color w:val="FFFFFF"/>
              </w:rPr>
              <w:lastRenderedPageBreak/>
              <w:t>COVID-19 Costs</w:t>
            </w:r>
            <w:r w:rsidRPr="00A12C9F">
              <w:rPr>
                <w:rFonts w:cstheme="minorHAnsi"/>
                <w:b/>
                <w:bCs/>
                <w:color w:val="FFFFFF"/>
              </w:rPr>
              <w:br/>
            </w:r>
            <w:r w:rsidRPr="00A12C9F">
              <w:rPr>
                <w:rStyle w:val="Strong"/>
                <w:rFonts w:cstheme="minorHAnsi"/>
                <w:color w:val="FFFFFF"/>
              </w:rPr>
              <w:t>(incurred between 1 March 2020 – 31 March 2021 for the delivery of NHS pharmaceutical services)</w:t>
            </w:r>
          </w:p>
        </w:tc>
        <w:tc>
          <w:tcPr>
            <w:tcW w:w="1701" w:type="dxa"/>
            <w:tcMar>
              <w:top w:w="120" w:type="dxa"/>
              <w:left w:w="120" w:type="dxa"/>
              <w:bottom w:w="120" w:type="dxa"/>
              <w:right w:w="120" w:type="dxa"/>
            </w:tcMar>
            <w:vAlign w:val="center"/>
            <w:hideMark/>
          </w:tcPr>
          <w:p w14:paraId="609C0672" w14:textId="77777777" w:rsidR="00EB094C" w:rsidRPr="00A12C9F" w:rsidRDefault="00EB094C" w:rsidP="003A24C9">
            <w:pPr>
              <w:spacing w:before="225" w:after="225"/>
              <w:jc w:val="center"/>
              <w:rPr>
                <w:rFonts w:cstheme="minorHAnsi"/>
                <w:color w:val="444444"/>
              </w:rPr>
            </w:pPr>
            <w:r w:rsidRPr="00A12C9F">
              <w:rPr>
                <w:rFonts w:cstheme="minorHAnsi"/>
                <w:color w:val="444444"/>
              </w:rPr>
              <w:t>1st October 2021</w:t>
            </w:r>
          </w:p>
        </w:tc>
        <w:tc>
          <w:tcPr>
            <w:tcW w:w="5250" w:type="dxa"/>
            <w:tcMar>
              <w:top w:w="120" w:type="dxa"/>
              <w:left w:w="120" w:type="dxa"/>
              <w:bottom w:w="120" w:type="dxa"/>
              <w:right w:w="120" w:type="dxa"/>
            </w:tcMar>
            <w:vAlign w:val="center"/>
            <w:hideMark/>
          </w:tcPr>
          <w:p w14:paraId="5CB0221F" w14:textId="77777777" w:rsidR="00EB094C" w:rsidRPr="00A12C9F" w:rsidRDefault="00EB094C" w:rsidP="003A24C9">
            <w:pPr>
              <w:pStyle w:val="NormalWeb"/>
              <w:spacing w:before="240"/>
              <w:rPr>
                <w:rFonts w:asciiTheme="minorHAnsi" w:hAnsiTheme="minorHAnsi" w:cstheme="minorHAnsi"/>
                <w:color w:val="444444"/>
                <w:sz w:val="22"/>
                <w:szCs w:val="22"/>
              </w:rPr>
            </w:pPr>
            <w:r w:rsidRPr="00A12C9F">
              <w:rPr>
                <w:rFonts w:asciiTheme="minorHAnsi" w:hAnsiTheme="minorHAnsi" w:cstheme="minorHAnsi"/>
                <w:color w:val="444444"/>
                <w:sz w:val="22"/>
                <w:szCs w:val="22"/>
              </w:rPr>
              <w:t>Contractors could claim for the following:</w:t>
            </w:r>
          </w:p>
          <w:p w14:paraId="6C19EFE0" w14:textId="77777777" w:rsidR="00EB094C" w:rsidRPr="00A12C9F" w:rsidRDefault="00EB094C" w:rsidP="003A24C9">
            <w:pPr>
              <w:pStyle w:val="NormalWeb"/>
              <w:spacing w:before="240"/>
              <w:rPr>
                <w:rFonts w:asciiTheme="minorHAnsi" w:hAnsiTheme="minorHAnsi" w:cstheme="minorHAnsi"/>
                <w:color w:val="444444"/>
                <w:sz w:val="22"/>
                <w:szCs w:val="22"/>
              </w:rPr>
            </w:pPr>
            <w:r w:rsidRPr="00A12C9F">
              <w:rPr>
                <w:rFonts w:asciiTheme="minorHAnsi" w:hAnsiTheme="minorHAnsi" w:cstheme="minorHAnsi"/>
                <w:color w:val="444444"/>
                <w:sz w:val="22"/>
                <w:szCs w:val="22"/>
              </w:rPr>
              <w:t>1. Additional staff costs due to COVID-19</w:t>
            </w:r>
          </w:p>
          <w:p w14:paraId="3A1464CE" w14:textId="77777777" w:rsidR="00EB094C" w:rsidRPr="00A12C9F" w:rsidRDefault="00EB094C" w:rsidP="003A24C9">
            <w:pPr>
              <w:pStyle w:val="NormalWeb"/>
              <w:spacing w:before="240"/>
              <w:rPr>
                <w:rFonts w:asciiTheme="minorHAnsi" w:hAnsiTheme="minorHAnsi" w:cstheme="minorHAnsi"/>
                <w:color w:val="444444"/>
                <w:sz w:val="22"/>
                <w:szCs w:val="22"/>
              </w:rPr>
            </w:pPr>
            <w:r w:rsidRPr="00A12C9F">
              <w:rPr>
                <w:rFonts w:asciiTheme="minorHAnsi" w:hAnsiTheme="minorHAnsi" w:cstheme="minorHAnsi"/>
                <w:color w:val="444444"/>
                <w:sz w:val="22"/>
                <w:szCs w:val="22"/>
              </w:rPr>
              <w:t>2. Costs incurred to make premises COVID-19 secure</w:t>
            </w:r>
          </w:p>
          <w:p w14:paraId="3B6BF333" w14:textId="77777777" w:rsidR="00EB094C" w:rsidRPr="00A12C9F" w:rsidRDefault="00EB094C" w:rsidP="003A24C9">
            <w:pPr>
              <w:pStyle w:val="NormalWeb"/>
              <w:spacing w:before="240"/>
              <w:rPr>
                <w:rFonts w:asciiTheme="minorHAnsi" w:hAnsiTheme="minorHAnsi" w:cstheme="minorHAnsi"/>
                <w:color w:val="444444"/>
                <w:sz w:val="22"/>
                <w:szCs w:val="22"/>
              </w:rPr>
            </w:pPr>
            <w:r w:rsidRPr="00A12C9F">
              <w:rPr>
                <w:rFonts w:asciiTheme="minorHAnsi" w:hAnsiTheme="minorHAnsi" w:cstheme="minorHAnsi"/>
                <w:color w:val="444444"/>
                <w:sz w:val="22"/>
                <w:szCs w:val="22"/>
              </w:rPr>
              <w:t>3. IT and communication costs to support home working and virtual patient contact; and</w:t>
            </w:r>
            <w:r w:rsidRPr="00A12C9F">
              <w:rPr>
                <w:rFonts w:asciiTheme="minorHAnsi" w:hAnsiTheme="minorHAnsi" w:cstheme="minorHAnsi"/>
                <w:color w:val="444444"/>
                <w:sz w:val="22"/>
                <w:szCs w:val="22"/>
              </w:rPr>
              <w:br/>
            </w:r>
            <w:r w:rsidRPr="00A12C9F">
              <w:rPr>
                <w:rFonts w:asciiTheme="minorHAnsi" w:hAnsiTheme="minorHAnsi" w:cstheme="minorHAnsi"/>
                <w:color w:val="444444"/>
                <w:sz w:val="22"/>
                <w:szCs w:val="22"/>
              </w:rPr>
              <w:br/>
              <w:t>4. Notified closures for infection control purposes (maximum 14 days)</w:t>
            </w:r>
          </w:p>
        </w:tc>
        <w:tc>
          <w:tcPr>
            <w:tcW w:w="2262" w:type="dxa"/>
            <w:tcMar>
              <w:top w:w="120" w:type="dxa"/>
              <w:left w:w="120" w:type="dxa"/>
              <w:bottom w:w="120" w:type="dxa"/>
              <w:right w:w="120" w:type="dxa"/>
            </w:tcMar>
            <w:vAlign w:val="center"/>
            <w:hideMark/>
          </w:tcPr>
          <w:p w14:paraId="375DC67E"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Reimbursement will appear as: ‘Reimbursement of Covid-19 costs’</w:t>
            </w:r>
          </w:p>
          <w:p w14:paraId="239496E2" w14:textId="77777777" w:rsidR="00EB094C" w:rsidRPr="00A12C9F" w:rsidRDefault="00933807" w:rsidP="003A24C9">
            <w:pPr>
              <w:spacing w:before="150" w:after="150"/>
              <w:jc w:val="center"/>
              <w:rPr>
                <w:rFonts w:cstheme="minorHAnsi"/>
                <w:color w:val="444444"/>
              </w:rPr>
            </w:pPr>
            <w:r>
              <w:rPr>
                <w:rFonts w:cstheme="minorHAnsi"/>
                <w:color w:val="444444"/>
              </w:rPr>
              <w:pict w14:anchorId="2FCC78D5">
                <v:rect id="_x0000_i1025" style="width:140.05pt;height:15pt" o:hrpct="0" o:hralign="center" o:hrstd="t" o:hr="t" fillcolor="#a0a0a0" stroked="f"/>
              </w:pict>
            </w:r>
          </w:p>
          <w:p w14:paraId="166D1E0B"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Adjustment will appear as:</w:t>
            </w:r>
            <w:r w:rsidRPr="00A12C9F">
              <w:rPr>
                <w:rFonts w:asciiTheme="minorHAnsi" w:hAnsiTheme="minorHAnsi" w:cstheme="minorHAnsi"/>
                <w:color w:val="444444"/>
                <w:sz w:val="22"/>
                <w:szCs w:val="22"/>
              </w:rPr>
              <w:br/>
              <w:t xml:space="preserve">‘Reimbursement of Covid-19 costs </w:t>
            </w:r>
            <w:proofErr w:type="spellStart"/>
            <w:r w:rsidRPr="00A12C9F">
              <w:rPr>
                <w:rFonts w:asciiTheme="minorHAnsi" w:hAnsiTheme="minorHAnsi" w:cstheme="minorHAnsi"/>
                <w:color w:val="444444"/>
                <w:sz w:val="22"/>
                <w:szCs w:val="22"/>
              </w:rPr>
              <w:t>adj</w:t>
            </w:r>
            <w:proofErr w:type="spellEnd"/>
            <w:r w:rsidRPr="00A12C9F">
              <w:rPr>
                <w:rFonts w:asciiTheme="minorHAnsi" w:hAnsiTheme="minorHAnsi" w:cstheme="minorHAnsi"/>
                <w:color w:val="444444"/>
                <w:sz w:val="22"/>
                <w:szCs w:val="22"/>
              </w:rPr>
              <w:t>’</w:t>
            </w:r>
          </w:p>
          <w:p w14:paraId="7326397A" w14:textId="77777777" w:rsidR="00EB094C" w:rsidRPr="00A12C9F" w:rsidRDefault="00933807" w:rsidP="003A24C9">
            <w:pPr>
              <w:spacing w:before="150" w:after="150"/>
              <w:jc w:val="center"/>
              <w:rPr>
                <w:rFonts w:cstheme="minorHAnsi"/>
                <w:color w:val="444444"/>
              </w:rPr>
            </w:pPr>
            <w:r>
              <w:rPr>
                <w:rFonts w:cstheme="minorHAnsi"/>
                <w:color w:val="444444"/>
              </w:rPr>
              <w:pict w14:anchorId="52446010">
                <v:rect id="_x0000_i1026" style="width:140.05pt;height:15pt" o:hrpct="0" o:hralign="center" o:hrstd="t" o:hr="t" fillcolor="#a0a0a0" stroked="f"/>
              </w:pict>
            </w:r>
          </w:p>
          <w:p w14:paraId="1C77E0FA"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Recovery will appear as:</w:t>
            </w:r>
            <w:r w:rsidRPr="00A12C9F">
              <w:rPr>
                <w:rFonts w:asciiTheme="minorHAnsi" w:hAnsiTheme="minorHAnsi" w:cstheme="minorHAnsi"/>
                <w:color w:val="444444"/>
                <w:sz w:val="22"/>
                <w:szCs w:val="22"/>
              </w:rPr>
              <w:br/>
              <w:t>‘Recovery of 20/21 Covid-19 Cash Advance’</w:t>
            </w:r>
          </w:p>
        </w:tc>
      </w:tr>
      <w:tr w:rsidR="00EB094C" w:rsidRPr="00A12C9F" w14:paraId="41569F30" w14:textId="77777777" w:rsidTr="003A24C9">
        <w:trPr>
          <w:trHeight w:val="375"/>
        </w:trPr>
        <w:tc>
          <w:tcPr>
            <w:tcW w:w="1844" w:type="dxa"/>
            <w:shd w:val="clear" w:color="auto" w:fill="5185CD"/>
            <w:tcMar>
              <w:top w:w="120" w:type="dxa"/>
              <w:left w:w="120" w:type="dxa"/>
              <w:bottom w:w="120" w:type="dxa"/>
              <w:right w:w="120" w:type="dxa"/>
            </w:tcMar>
            <w:vAlign w:val="center"/>
            <w:hideMark/>
          </w:tcPr>
          <w:p w14:paraId="6C6AB07B" w14:textId="77777777" w:rsidR="00EB094C" w:rsidRPr="00A12C9F" w:rsidRDefault="00EB094C" w:rsidP="003A24C9">
            <w:pPr>
              <w:jc w:val="center"/>
              <w:rPr>
                <w:rFonts w:cstheme="minorHAnsi"/>
                <w:color w:val="444444"/>
              </w:rPr>
            </w:pPr>
            <w:r w:rsidRPr="00A12C9F">
              <w:rPr>
                <w:rStyle w:val="Strong"/>
                <w:rFonts w:cstheme="minorHAnsi"/>
                <w:color w:val="FFFFFF"/>
              </w:rPr>
              <w:t>CPCS –GP referral pathway engagement and set up</w:t>
            </w:r>
          </w:p>
        </w:tc>
        <w:tc>
          <w:tcPr>
            <w:tcW w:w="1701" w:type="dxa"/>
            <w:tcMar>
              <w:top w:w="120" w:type="dxa"/>
              <w:left w:w="120" w:type="dxa"/>
              <w:bottom w:w="120" w:type="dxa"/>
              <w:right w:w="120" w:type="dxa"/>
            </w:tcMar>
            <w:vAlign w:val="center"/>
            <w:hideMark/>
          </w:tcPr>
          <w:p w14:paraId="540155BE" w14:textId="77777777" w:rsidR="00EB094C" w:rsidRPr="00A12C9F" w:rsidRDefault="00EB094C" w:rsidP="003A24C9">
            <w:pPr>
              <w:jc w:val="center"/>
              <w:rPr>
                <w:rFonts w:cstheme="minorHAnsi"/>
                <w:color w:val="444444"/>
              </w:rPr>
            </w:pPr>
            <w:r w:rsidRPr="00A12C9F">
              <w:rPr>
                <w:rFonts w:cstheme="minorHAnsi"/>
                <w:color w:val="444444"/>
              </w:rPr>
              <w:t>Payments depended on when the claim was submitted by a contractor and processed and verified by the NHSBSA.</w:t>
            </w:r>
          </w:p>
        </w:tc>
        <w:tc>
          <w:tcPr>
            <w:tcW w:w="5250" w:type="dxa"/>
            <w:tcMar>
              <w:top w:w="120" w:type="dxa"/>
              <w:left w:w="120" w:type="dxa"/>
              <w:bottom w:w="120" w:type="dxa"/>
              <w:right w:w="120" w:type="dxa"/>
            </w:tcMar>
            <w:vAlign w:val="center"/>
            <w:hideMark/>
          </w:tcPr>
          <w:p w14:paraId="52434BFD" w14:textId="77777777" w:rsidR="00EB094C" w:rsidRPr="00A12C9F" w:rsidRDefault="00EB094C" w:rsidP="003A24C9">
            <w:pPr>
              <w:jc w:val="center"/>
              <w:rPr>
                <w:rFonts w:cstheme="minorHAnsi"/>
                <w:color w:val="444444"/>
              </w:rPr>
            </w:pPr>
            <w:r w:rsidRPr="00A12C9F">
              <w:rPr>
                <w:rFonts w:cstheme="minorHAnsi"/>
                <w:color w:val="444444"/>
              </w:rPr>
              <w:t>£300 engagement and setup payment if contractors undertook a range of actions to get ready for rolling out the referral pathway in their area by 30th June 2021</w:t>
            </w:r>
          </w:p>
        </w:tc>
        <w:tc>
          <w:tcPr>
            <w:tcW w:w="2262" w:type="dxa"/>
            <w:tcMar>
              <w:top w:w="120" w:type="dxa"/>
              <w:left w:w="120" w:type="dxa"/>
              <w:bottom w:w="120" w:type="dxa"/>
              <w:right w:w="120" w:type="dxa"/>
            </w:tcMar>
            <w:vAlign w:val="center"/>
            <w:hideMark/>
          </w:tcPr>
          <w:p w14:paraId="7AC70D50" w14:textId="77777777" w:rsidR="00EB094C" w:rsidRPr="00A12C9F" w:rsidRDefault="00EB094C" w:rsidP="003A24C9">
            <w:pPr>
              <w:jc w:val="center"/>
              <w:rPr>
                <w:rFonts w:cstheme="minorHAnsi"/>
                <w:color w:val="444444"/>
              </w:rPr>
            </w:pPr>
            <w:r w:rsidRPr="00A12C9F">
              <w:rPr>
                <w:rFonts w:cstheme="minorHAnsi"/>
                <w:color w:val="444444"/>
              </w:rPr>
              <w:t>‘GP Referral Pathway Engagement Fee’</w:t>
            </w:r>
          </w:p>
        </w:tc>
      </w:tr>
      <w:tr w:rsidR="00EB094C" w:rsidRPr="00A12C9F" w14:paraId="1A4CFA25" w14:textId="77777777" w:rsidTr="003A24C9">
        <w:tc>
          <w:tcPr>
            <w:tcW w:w="1844" w:type="dxa"/>
            <w:shd w:val="clear" w:color="auto" w:fill="5185CD"/>
            <w:tcMar>
              <w:top w:w="120" w:type="dxa"/>
              <w:left w:w="120" w:type="dxa"/>
              <w:bottom w:w="120" w:type="dxa"/>
              <w:right w:w="120" w:type="dxa"/>
            </w:tcMar>
            <w:vAlign w:val="center"/>
            <w:hideMark/>
          </w:tcPr>
          <w:p w14:paraId="3325C849" w14:textId="77777777" w:rsidR="00EB094C" w:rsidRPr="00A12C9F" w:rsidRDefault="00EB094C" w:rsidP="003A24C9">
            <w:pPr>
              <w:jc w:val="center"/>
              <w:rPr>
                <w:rFonts w:cstheme="minorHAnsi"/>
                <w:color w:val="444444"/>
              </w:rPr>
            </w:pPr>
            <w:r w:rsidRPr="00A12C9F">
              <w:rPr>
                <w:rStyle w:val="Strong"/>
                <w:rFonts w:cstheme="minorHAnsi"/>
                <w:color w:val="FFFFFF"/>
              </w:rPr>
              <w:t>COVID-19 Lateral Flow Device Distribution Service Early Sign-Up Fee</w:t>
            </w:r>
          </w:p>
        </w:tc>
        <w:tc>
          <w:tcPr>
            <w:tcW w:w="1701" w:type="dxa"/>
            <w:tcMar>
              <w:top w:w="120" w:type="dxa"/>
              <w:left w:w="120" w:type="dxa"/>
              <w:bottom w:w="120" w:type="dxa"/>
              <w:right w:w="120" w:type="dxa"/>
            </w:tcMar>
            <w:vAlign w:val="center"/>
            <w:hideMark/>
          </w:tcPr>
          <w:p w14:paraId="4B8155CF" w14:textId="77777777" w:rsidR="00EB094C" w:rsidRPr="00A12C9F" w:rsidRDefault="00EB094C" w:rsidP="003A24C9">
            <w:pPr>
              <w:jc w:val="center"/>
              <w:rPr>
                <w:rFonts w:cstheme="minorHAnsi"/>
                <w:color w:val="444444"/>
              </w:rPr>
            </w:pPr>
            <w:r w:rsidRPr="00A12C9F">
              <w:rPr>
                <w:rFonts w:cstheme="minorHAnsi"/>
                <w:color w:val="444444"/>
              </w:rPr>
              <w:t xml:space="preserve">Registrations made from 29th March – 31st March 2021 were paid on 1st June 2021. Registrations made from 1st – 18th April 2021 were paid </w:t>
            </w:r>
            <w:r w:rsidRPr="00A12C9F">
              <w:rPr>
                <w:rFonts w:cstheme="minorHAnsi"/>
                <w:color w:val="444444"/>
              </w:rPr>
              <w:lastRenderedPageBreak/>
              <w:t>on 1st July 2021.</w:t>
            </w:r>
          </w:p>
        </w:tc>
        <w:tc>
          <w:tcPr>
            <w:tcW w:w="5250" w:type="dxa"/>
            <w:tcMar>
              <w:top w:w="120" w:type="dxa"/>
              <w:left w:w="120" w:type="dxa"/>
              <w:bottom w:w="120" w:type="dxa"/>
              <w:right w:w="120" w:type="dxa"/>
            </w:tcMar>
            <w:vAlign w:val="center"/>
            <w:hideMark/>
          </w:tcPr>
          <w:p w14:paraId="3BC5D65E" w14:textId="77777777" w:rsidR="00EB094C" w:rsidRPr="00A12C9F" w:rsidRDefault="00EB094C" w:rsidP="003A24C9">
            <w:pPr>
              <w:jc w:val="center"/>
              <w:rPr>
                <w:rFonts w:cstheme="minorHAnsi"/>
                <w:color w:val="444444"/>
              </w:rPr>
            </w:pPr>
            <w:r w:rsidRPr="00A12C9F">
              <w:rPr>
                <w:rFonts w:cstheme="minorHAnsi"/>
                <w:color w:val="444444"/>
              </w:rPr>
              <w:lastRenderedPageBreak/>
              <w:t>£200 + VAT </w:t>
            </w:r>
            <w:r w:rsidRPr="00A12C9F">
              <w:rPr>
                <w:rStyle w:val="Strong"/>
                <w:rFonts w:cstheme="minorHAnsi"/>
                <w:color w:val="444444"/>
              </w:rPr>
              <w:t>Early sign-up fee</w:t>
            </w:r>
            <w:r w:rsidRPr="00A12C9F">
              <w:rPr>
                <w:rFonts w:cstheme="minorHAnsi"/>
                <w:color w:val="444444"/>
              </w:rPr>
              <w:t> (providing contractor signed up before 11:59pm on 18th April 2021)</w:t>
            </w:r>
          </w:p>
        </w:tc>
        <w:tc>
          <w:tcPr>
            <w:tcW w:w="2262" w:type="dxa"/>
            <w:tcMar>
              <w:top w:w="120" w:type="dxa"/>
              <w:left w:w="120" w:type="dxa"/>
              <w:bottom w:w="120" w:type="dxa"/>
              <w:right w:w="120" w:type="dxa"/>
            </w:tcMar>
            <w:vAlign w:val="center"/>
            <w:hideMark/>
          </w:tcPr>
          <w:p w14:paraId="2FBDAAC4" w14:textId="77777777" w:rsidR="00EB094C" w:rsidRPr="00A12C9F" w:rsidRDefault="00EB094C" w:rsidP="003A24C9">
            <w:pPr>
              <w:jc w:val="center"/>
              <w:rPr>
                <w:rFonts w:cstheme="minorHAnsi"/>
                <w:color w:val="444444"/>
              </w:rPr>
            </w:pPr>
            <w:r w:rsidRPr="00A12C9F">
              <w:rPr>
                <w:rFonts w:cstheme="minorHAnsi"/>
                <w:color w:val="444444"/>
              </w:rPr>
              <w:t>COVID Test Kit Registration Fee</w:t>
            </w:r>
          </w:p>
        </w:tc>
      </w:tr>
      <w:tr w:rsidR="00EB094C" w:rsidRPr="00A12C9F" w14:paraId="46AB4F50" w14:textId="77777777" w:rsidTr="003A24C9">
        <w:tc>
          <w:tcPr>
            <w:tcW w:w="1844" w:type="dxa"/>
            <w:shd w:val="clear" w:color="auto" w:fill="5185CD"/>
            <w:tcMar>
              <w:top w:w="120" w:type="dxa"/>
              <w:left w:w="120" w:type="dxa"/>
              <w:bottom w:w="120" w:type="dxa"/>
              <w:right w:w="120" w:type="dxa"/>
            </w:tcMar>
            <w:vAlign w:val="center"/>
            <w:hideMark/>
          </w:tcPr>
          <w:p w14:paraId="16252839" w14:textId="77777777" w:rsidR="00EB094C" w:rsidRPr="00A12C9F" w:rsidRDefault="00EB094C" w:rsidP="003A24C9">
            <w:pPr>
              <w:jc w:val="center"/>
              <w:rPr>
                <w:rFonts w:cstheme="minorHAnsi"/>
                <w:color w:val="444444"/>
              </w:rPr>
            </w:pPr>
            <w:r w:rsidRPr="00A12C9F">
              <w:rPr>
                <w:rStyle w:val="Strong"/>
                <w:rFonts w:cstheme="minorHAnsi"/>
                <w:color w:val="FFFFFF"/>
              </w:rPr>
              <w:t xml:space="preserve">Pandemic Delivery Service (Essential </w:t>
            </w:r>
            <w:proofErr w:type="gramStart"/>
            <w:r w:rsidRPr="00A12C9F">
              <w:rPr>
                <w:rStyle w:val="Strong"/>
                <w:rFonts w:cstheme="minorHAnsi"/>
                <w:color w:val="FFFFFF"/>
              </w:rPr>
              <w:t>service)*</w:t>
            </w:r>
            <w:proofErr w:type="gramEnd"/>
          </w:p>
        </w:tc>
        <w:tc>
          <w:tcPr>
            <w:tcW w:w="1701" w:type="dxa"/>
            <w:tcMar>
              <w:top w:w="120" w:type="dxa"/>
              <w:left w:w="120" w:type="dxa"/>
              <w:bottom w:w="120" w:type="dxa"/>
              <w:right w:w="120" w:type="dxa"/>
            </w:tcMar>
            <w:vAlign w:val="center"/>
            <w:hideMark/>
          </w:tcPr>
          <w:p w14:paraId="2A84D0D3" w14:textId="77777777" w:rsidR="00EB094C" w:rsidRPr="00A12C9F" w:rsidRDefault="00EB094C" w:rsidP="003A24C9">
            <w:pPr>
              <w:jc w:val="center"/>
              <w:rPr>
                <w:rFonts w:cstheme="minorHAnsi"/>
                <w:color w:val="444444"/>
              </w:rPr>
            </w:pPr>
            <w:r w:rsidRPr="00A12C9F">
              <w:rPr>
                <w:rFonts w:cstheme="minorHAnsi"/>
                <w:color w:val="444444"/>
              </w:rPr>
              <w:t>Monthly – the service was extended until 31st March 2021 for all clinically extremely vulnerable (CEV) patients living in England</w:t>
            </w:r>
          </w:p>
        </w:tc>
        <w:tc>
          <w:tcPr>
            <w:tcW w:w="5250" w:type="dxa"/>
            <w:tcMar>
              <w:top w:w="120" w:type="dxa"/>
              <w:left w:w="120" w:type="dxa"/>
              <w:bottom w:w="120" w:type="dxa"/>
              <w:right w:w="120" w:type="dxa"/>
            </w:tcMar>
            <w:vAlign w:val="center"/>
            <w:hideMark/>
          </w:tcPr>
          <w:p w14:paraId="444BF862" w14:textId="77777777" w:rsidR="00EB094C" w:rsidRPr="00A12C9F" w:rsidRDefault="00EB094C" w:rsidP="003A24C9">
            <w:pPr>
              <w:jc w:val="center"/>
              <w:rPr>
                <w:rFonts w:cstheme="minorHAnsi"/>
                <w:color w:val="444444"/>
              </w:rPr>
            </w:pPr>
            <w:r w:rsidRPr="00A12C9F">
              <w:rPr>
                <w:rFonts w:cstheme="minorHAnsi"/>
                <w:noProof/>
                <w:color w:val="444444"/>
              </w:rPr>
              <w:drawing>
                <wp:inline distT="0" distB="0" distL="0" distR="0" wp14:anchorId="5E17DD94" wp14:editId="549C6642">
                  <wp:extent cx="3171825" cy="2114550"/>
                  <wp:effectExtent l="0" t="0" r="9525"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tc>
        <w:tc>
          <w:tcPr>
            <w:tcW w:w="2262" w:type="dxa"/>
            <w:tcMar>
              <w:top w:w="120" w:type="dxa"/>
              <w:left w:w="120" w:type="dxa"/>
              <w:bottom w:w="120" w:type="dxa"/>
              <w:right w:w="120" w:type="dxa"/>
            </w:tcMar>
            <w:vAlign w:val="center"/>
            <w:hideMark/>
          </w:tcPr>
          <w:p w14:paraId="31849740" w14:textId="77777777" w:rsidR="00EB094C" w:rsidRPr="00A12C9F" w:rsidRDefault="00EB094C" w:rsidP="003A24C9">
            <w:pPr>
              <w:jc w:val="center"/>
              <w:rPr>
                <w:rFonts w:cstheme="minorHAnsi"/>
                <w:color w:val="444444"/>
              </w:rPr>
            </w:pPr>
            <w:r w:rsidRPr="00A12C9F">
              <w:rPr>
                <w:rFonts w:cstheme="minorHAnsi"/>
                <w:color w:val="444444"/>
              </w:rPr>
              <w:t>Paid on the same line as ‘Transitional Payment’. It will show as a total figure</w:t>
            </w:r>
          </w:p>
        </w:tc>
      </w:tr>
      <w:tr w:rsidR="00EB094C" w:rsidRPr="00A12C9F" w14:paraId="48CF6D22" w14:textId="77777777" w:rsidTr="003A24C9">
        <w:trPr>
          <w:trHeight w:val="360"/>
        </w:trPr>
        <w:tc>
          <w:tcPr>
            <w:tcW w:w="1844" w:type="dxa"/>
            <w:shd w:val="clear" w:color="auto" w:fill="5185CD"/>
            <w:tcMar>
              <w:top w:w="120" w:type="dxa"/>
              <w:left w:w="120" w:type="dxa"/>
              <w:bottom w:w="120" w:type="dxa"/>
              <w:right w:w="120" w:type="dxa"/>
            </w:tcMar>
            <w:vAlign w:val="center"/>
            <w:hideMark/>
          </w:tcPr>
          <w:p w14:paraId="350E7A78" w14:textId="77777777" w:rsidR="00EB094C" w:rsidRPr="00A12C9F" w:rsidRDefault="00EB094C" w:rsidP="003A24C9">
            <w:pPr>
              <w:jc w:val="center"/>
              <w:rPr>
                <w:rFonts w:cstheme="minorHAnsi"/>
                <w:color w:val="444444"/>
              </w:rPr>
            </w:pPr>
            <w:r w:rsidRPr="00A12C9F">
              <w:rPr>
                <w:rStyle w:val="Strong"/>
                <w:rFonts w:cstheme="minorHAnsi"/>
                <w:color w:val="FFFFFF"/>
              </w:rPr>
              <w:t xml:space="preserve">Pandemic Delivery Service (Essential </w:t>
            </w:r>
            <w:proofErr w:type="gramStart"/>
            <w:r w:rsidRPr="00A12C9F">
              <w:rPr>
                <w:rStyle w:val="Strong"/>
                <w:rFonts w:cstheme="minorHAnsi"/>
                <w:color w:val="FFFFFF"/>
              </w:rPr>
              <w:t>service)*</w:t>
            </w:r>
            <w:proofErr w:type="gramEnd"/>
          </w:p>
        </w:tc>
        <w:tc>
          <w:tcPr>
            <w:tcW w:w="1701" w:type="dxa"/>
            <w:tcMar>
              <w:top w:w="120" w:type="dxa"/>
              <w:left w:w="120" w:type="dxa"/>
              <w:bottom w:w="120" w:type="dxa"/>
              <w:right w:w="120" w:type="dxa"/>
            </w:tcMar>
            <w:vAlign w:val="center"/>
            <w:hideMark/>
          </w:tcPr>
          <w:p w14:paraId="077D0F3C" w14:textId="77777777" w:rsidR="00EB094C" w:rsidRPr="00A12C9F" w:rsidRDefault="00EB094C" w:rsidP="003A24C9">
            <w:pPr>
              <w:jc w:val="center"/>
              <w:rPr>
                <w:rFonts w:cstheme="minorHAnsi"/>
                <w:color w:val="444444"/>
              </w:rPr>
            </w:pPr>
            <w:r w:rsidRPr="00A12C9F">
              <w:rPr>
                <w:rFonts w:cstheme="minorHAnsi"/>
                <w:color w:val="444444"/>
              </w:rPr>
              <w:t>Monthly – service extended until 31st March for all clinically extremely vulnerable (CEV) patients living in England</w:t>
            </w:r>
          </w:p>
        </w:tc>
        <w:tc>
          <w:tcPr>
            <w:tcW w:w="5250" w:type="dxa"/>
            <w:tcMar>
              <w:top w:w="120" w:type="dxa"/>
              <w:left w:w="120" w:type="dxa"/>
              <w:bottom w:w="120" w:type="dxa"/>
              <w:right w:w="120" w:type="dxa"/>
            </w:tcMar>
            <w:vAlign w:val="center"/>
            <w:hideMark/>
          </w:tcPr>
          <w:p w14:paraId="63BE28C4"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noProof/>
                <w:color w:val="444444"/>
                <w:sz w:val="22"/>
                <w:szCs w:val="22"/>
              </w:rPr>
              <w:drawing>
                <wp:inline distT="0" distB="0" distL="0" distR="0" wp14:anchorId="0F0BD69C" wp14:editId="5434CFF9">
                  <wp:extent cx="2105025" cy="1711562"/>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09959" cy="1715574"/>
                          </a:xfrm>
                          <a:prstGeom prst="rect">
                            <a:avLst/>
                          </a:prstGeom>
                          <a:noFill/>
                          <a:ln>
                            <a:noFill/>
                          </a:ln>
                        </pic:spPr>
                      </pic:pic>
                    </a:graphicData>
                  </a:graphic>
                </wp:inline>
              </w:drawing>
            </w:r>
          </w:p>
          <w:p w14:paraId="112EDB58" w14:textId="77777777" w:rsidR="00EB094C" w:rsidRPr="00A12C9F" w:rsidRDefault="00EB094C" w:rsidP="003A24C9">
            <w:pPr>
              <w:pStyle w:val="NormalWeb"/>
              <w:spacing w:before="240"/>
              <w:jc w:val="center"/>
              <w:rPr>
                <w:rFonts w:asciiTheme="minorHAnsi" w:hAnsiTheme="minorHAnsi" w:cstheme="minorHAnsi"/>
                <w:color w:val="444444"/>
                <w:sz w:val="22"/>
                <w:szCs w:val="22"/>
              </w:rPr>
            </w:pPr>
            <w:r w:rsidRPr="00A12C9F">
              <w:rPr>
                <w:rFonts w:asciiTheme="minorHAnsi" w:hAnsiTheme="minorHAnsi" w:cstheme="minorHAnsi"/>
                <w:color w:val="444444"/>
                <w:sz w:val="22"/>
                <w:szCs w:val="22"/>
              </w:rPr>
              <w:t>Payment bands up to end of February 2021</w:t>
            </w:r>
          </w:p>
        </w:tc>
        <w:tc>
          <w:tcPr>
            <w:tcW w:w="2262" w:type="dxa"/>
            <w:tcMar>
              <w:top w:w="120" w:type="dxa"/>
              <w:left w:w="120" w:type="dxa"/>
              <w:bottom w:w="120" w:type="dxa"/>
              <w:right w:w="120" w:type="dxa"/>
            </w:tcMar>
            <w:vAlign w:val="center"/>
            <w:hideMark/>
          </w:tcPr>
          <w:p w14:paraId="4DA18746" w14:textId="77777777" w:rsidR="00EB094C" w:rsidRPr="00A12C9F" w:rsidRDefault="00EB094C" w:rsidP="003A24C9">
            <w:pPr>
              <w:jc w:val="center"/>
              <w:rPr>
                <w:rFonts w:cstheme="minorHAnsi"/>
                <w:color w:val="444444"/>
              </w:rPr>
            </w:pPr>
            <w:r w:rsidRPr="00A12C9F">
              <w:rPr>
                <w:rFonts w:cstheme="minorHAnsi"/>
                <w:color w:val="444444"/>
              </w:rPr>
              <w:t>Paid on the same line as ‘Transitional Payment’. It will show as a total figure</w:t>
            </w:r>
          </w:p>
        </w:tc>
      </w:tr>
      <w:tr w:rsidR="00EB094C" w:rsidRPr="00A12C9F" w14:paraId="63568051" w14:textId="77777777" w:rsidTr="003A24C9">
        <w:trPr>
          <w:trHeight w:val="360"/>
        </w:trPr>
        <w:tc>
          <w:tcPr>
            <w:tcW w:w="1844" w:type="dxa"/>
            <w:shd w:val="clear" w:color="auto" w:fill="5185CD"/>
            <w:tcMar>
              <w:top w:w="120" w:type="dxa"/>
              <w:left w:w="120" w:type="dxa"/>
              <w:bottom w:w="120" w:type="dxa"/>
              <w:right w:w="120" w:type="dxa"/>
            </w:tcMar>
            <w:vAlign w:val="center"/>
            <w:hideMark/>
          </w:tcPr>
          <w:p w14:paraId="589A8FFC" w14:textId="77777777" w:rsidR="00EB094C" w:rsidRPr="00A12C9F" w:rsidRDefault="00EB094C" w:rsidP="003A24C9">
            <w:pPr>
              <w:jc w:val="center"/>
              <w:rPr>
                <w:rFonts w:cstheme="minorHAnsi"/>
                <w:color w:val="444444"/>
              </w:rPr>
            </w:pPr>
            <w:r w:rsidRPr="00A12C9F">
              <w:rPr>
                <w:rStyle w:val="Strong"/>
                <w:rFonts w:cstheme="minorHAnsi"/>
                <w:color w:val="FFFFFF"/>
              </w:rPr>
              <w:t>Pharmacy Quality Scheme (PQS) 2020/21 Part 2</w:t>
            </w:r>
          </w:p>
        </w:tc>
        <w:tc>
          <w:tcPr>
            <w:tcW w:w="1701" w:type="dxa"/>
            <w:tcMar>
              <w:top w:w="120" w:type="dxa"/>
              <w:left w:w="120" w:type="dxa"/>
              <w:bottom w:w="120" w:type="dxa"/>
              <w:right w:w="120" w:type="dxa"/>
            </w:tcMar>
            <w:vAlign w:val="center"/>
            <w:hideMark/>
          </w:tcPr>
          <w:p w14:paraId="3C92A032" w14:textId="77777777" w:rsidR="00EB094C" w:rsidRPr="00A12C9F" w:rsidRDefault="00EB094C" w:rsidP="003A24C9">
            <w:pPr>
              <w:jc w:val="center"/>
              <w:rPr>
                <w:rFonts w:cstheme="minorHAnsi"/>
                <w:color w:val="444444"/>
              </w:rPr>
            </w:pPr>
            <w:r w:rsidRPr="00A12C9F">
              <w:rPr>
                <w:rFonts w:cstheme="minorHAnsi"/>
                <w:color w:val="444444"/>
              </w:rPr>
              <w:t>1st April 2021</w:t>
            </w:r>
          </w:p>
        </w:tc>
        <w:tc>
          <w:tcPr>
            <w:tcW w:w="5250" w:type="dxa"/>
            <w:tcMar>
              <w:top w:w="120" w:type="dxa"/>
              <w:left w:w="120" w:type="dxa"/>
              <w:bottom w:w="120" w:type="dxa"/>
              <w:right w:w="120" w:type="dxa"/>
            </w:tcMar>
            <w:vAlign w:val="center"/>
            <w:hideMark/>
          </w:tcPr>
          <w:p w14:paraId="60187C59" w14:textId="77777777" w:rsidR="00EB094C" w:rsidRPr="00A12C9F" w:rsidRDefault="00EB094C" w:rsidP="003A24C9">
            <w:pPr>
              <w:jc w:val="center"/>
              <w:rPr>
                <w:rFonts w:cstheme="minorHAnsi"/>
                <w:color w:val="444444"/>
              </w:rPr>
            </w:pPr>
            <w:r w:rsidRPr="00A12C9F">
              <w:rPr>
                <w:rFonts w:cstheme="minorHAnsi"/>
                <w:color w:val="444444"/>
              </w:rPr>
              <w:t>The funding was divided between qualifying pharmacies based on the number of points they have achieved up to a maximum £96 per point. Each point had a minimum value of £48, based on all pharmacy contractors achieving maximum points.</w:t>
            </w:r>
          </w:p>
        </w:tc>
        <w:tc>
          <w:tcPr>
            <w:tcW w:w="2262" w:type="dxa"/>
            <w:tcMar>
              <w:top w:w="120" w:type="dxa"/>
              <w:left w:w="120" w:type="dxa"/>
              <w:bottom w:w="120" w:type="dxa"/>
              <w:right w:w="120" w:type="dxa"/>
            </w:tcMar>
            <w:vAlign w:val="center"/>
            <w:hideMark/>
          </w:tcPr>
          <w:p w14:paraId="26674889" w14:textId="77777777" w:rsidR="00EB094C" w:rsidRPr="00A12C9F" w:rsidRDefault="00EB094C" w:rsidP="003A24C9">
            <w:pPr>
              <w:jc w:val="center"/>
              <w:rPr>
                <w:rFonts w:cstheme="minorHAnsi"/>
                <w:color w:val="444444"/>
              </w:rPr>
            </w:pPr>
            <w:r w:rsidRPr="00A12C9F">
              <w:rPr>
                <w:rFonts w:cstheme="minorHAnsi"/>
                <w:color w:val="444444"/>
              </w:rPr>
              <w:t>‘Total of other amounts authorised’</w:t>
            </w:r>
          </w:p>
        </w:tc>
      </w:tr>
      <w:tr w:rsidR="00EB094C" w:rsidRPr="00A12C9F" w14:paraId="74078206" w14:textId="77777777" w:rsidTr="003A24C9">
        <w:trPr>
          <w:trHeight w:val="360"/>
        </w:trPr>
        <w:tc>
          <w:tcPr>
            <w:tcW w:w="1844" w:type="dxa"/>
            <w:shd w:val="clear" w:color="auto" w:fill="5185CD"/>
            <w:tcMar>
              <w:top w:w="120" w:type="dxa"/>
              <w:left w:w="120" w:type="dxa"/>
              <w:bottom w:w="120" w:type="dxa"/>
              <w:right w:w="120" w:type="dxa"/>
            </w:tcMar>
            <w:vAlign w:val="center"/>
            <w:hideMark/>
          </w:tcPr>
          <w:p w14:paraId="08858762" w14:textId="77777777" w:rsidR="00EB094C" w:rsidRPr="00A12C9F" w:rsidRDefault="00EB094C" w:rsidP="003A24C9">
            <w:pPr>
              <w:jc w:val="center"/>
              <w:rPr>
                <w:rFonts w:cstheme="minorHAnsi"/>
                <w:color w:val="444444"/>
              </w:rPr>
            </w:pPr>
            <w:r w:rsidRPr="00A12C9F">
              <w:rPr>
                <w:rStyle w:val="Strong"/>
                <w:rFonts w:cstheme="minorHAnsi"/>
                <w:color w:val="FFFFFF"/>
              </w:rPr>
              <w:t xml:space="preserve">Discharge Medicines </w:t>
            </w:r>
            <w:r w:rsidRPr="00A12C9F">
              <w:rPr>
                <w:rStyle w:val="Strong"/>
                <w:rFonts w:cstheme="minorHAnsi"/>
                <w:color w:val="FFFFFF"/>
              </w:rPr>
              <w:lastRenderedPageBreak/>
              <w:t>Service (DMS) set up fee</w:t>
            </w:r>
          </w:p>
        </w:tc>
        <w:tc>
          <w:tcPr>
            <w:tcW w:w="1701" w:type="dxa"/>
            <w:tcMar>
              <w:top w:w="120" w:type="dxa"/>
              <w:left w:w="120" w:type="dxa"/>
              <w:bottom w:w="120" w:type="dxa"/>
              <w:right w:w="120" w:type="dxa"/>
            </w:tcMar>
            <w:vAlign w:val="center"/>
            <w:hideMark/>
          </w:tcPr>
          <w:p w14:paraId="05A779EB" w14:textId="77777777" w:rsidR="00EB094C" w:rsidRPr="00A12C9F" w:rsidRDefault="00EB094C" w:rsidP="003A24C9">
            <w:pPr>
              <w:jc w:val="center"/>
              <w:rPr>
                <w:rFonts w:cstheme="minorHAnsi"/>
                <w:color w:val="444444"/>
              </w:rPr>
            </w:pPr>
            <w:r w:rsidRPr="00A12C9F">
              <w:rPr>
                <w:rFonts w:cstheme="minorHAnsi"/>
                <w:color w:val="444444"/>
              </w:rPr>
              <w:lastRenderedPageBreak/>
              <w:t>1st April 2021</w:t>
            </w:r>
          </w:p>
        </w:tc>
        <w:tc>
          <w:tcPr>
            <w:tcW w:w="5250" w:type="dxa"/>
            <w:tcMar>
              <w:top w:w="120" w:type="dxa"/>
              <w:left w:w="120" w:type="dxa"/>
              <w:bottom w:w="120" w:type="dxa"/>
              <w:right w:w="120" w:type="dxa"/>
            </w:tcMar>
            <w:vAlign w:val="center"/>
            <w:hideMark/>
          </w:tcPr>
          <w:p w14:paraId="04FCF282" w14:textId="77777777" w:rsidR="00EB094C" w:rsidRPr="00A12C9F" w:rsidRDefault="00EB094C" w:rsidP="003A24C9">
            <w:pPr>
              <w:jc w:val="center"/>
              <w:rPr>
                <w:rFonts w:cstheme="minorHAnsi"/>
                <w:color w:val="444444"/>
              </w:rPr>
            </w:pPr>
            <w:r w:rsidRPr="00A12C9F">
              <w:rPr>
                <w:rFonts w:cstheme="minorHAnsi"/>
                <w:color w:val="444444"/>
              </w:rPr>
              <w:t xml:space="preserve">Set-up fee of £400 covered the costs of preparing to provide the service, principally training </w:t>
            </w:r>
            <w:proofErr w:type="gramStart"/>
            <w:r w:rsidRPr="00A12C9F">
              <w:rPr>
                <w:rFonts w:cstheme="minorHAnsi"/>
                <w:color w:val="444444"/>
              </w:rPr>
              <w:t>staff</w:t>
            </w:r>
            <w:proofErr w:type="gramEnd"/>
            <w:r w:rsidRPr="00A12C9F">
              <w:rPr>
                <w:rFonts w:cstheme="minorHAnsi"/>
                <w:color w:val="444444"/>
              </w:rPr>
              <w:t xml:space="preserve"> and putting in place a standard operating procedure for the service. </w:t>
            </w:r>
            <w:r w:rsidRPr="00A12C9F">
              <w:rPr>
                <w:rFonts w:cstheme="minorHAnsi"/>
                <w:color w:val="444444"/>
              </w:rPr>
              <w:lastRenderedPageBreak/>
              <w:t>Any pharmacy on the pharmaceutical list on 1st February 2021 automatically received this payment.</w:t>
            </w:r>
          </w:p>
        </w:tc>
        <w:tc>
          <w:tcPr>
            <w:tcW w:w="2262" w:type="dxa"/>
            <w:tcMar>
              <w:top w:w="120" w:type="dxa"/>
              <w:left w:w="120" w:type="dxa"/>
              <w:bottom w:w="120" w:type="dxa"/>
              <w:right w:w="120" w:type="dxa"/>
            </w:tcMar>
            <w:vAlign w:val="center"/>
            <w:hideMark/>
          </w:tcPr>
          <w:p w14:paraId="76F0194C" w14:textId="77777777" w:rsidR="00EB094C" w:rsidRPr="00A12C9F" w:rsidRDefault="00EB094C" w:rsidP="003A24C9">
            <w:pPr>
              <w:jc w:val="center"/>
              <w:rPr>
                <w:rFonts w:cstheme="minorHAnsi"/>
                <w:color w:val="444444"/>
              </w:rPr>
            </w:pPr>
            <w:r w:rsidRPr="00A12C9F">
              <w:rPr>
                <w:rFonts w:cstheme="minorHAnsi"/>
                <w:color w:val="444444"/>
              </w:rPr>
              <w:lastRenderedPageBreak/>
              <w:t>‘Discharge Medicine Review Fee’</w:t>
            </w:r>
          </w:p>
        </w:tc>
      </w:tr>
      <w:tr w:rsidR="00EB094C" w:rsidRPr="00A12C9F" w14:paraId="0C0FB201" w14:textId="77777777" w:rsidTr="003A24C9">
        <w:trPr>
          <w:trHeight w:val="360"/>
        </w:trPr>
        <w:tc>
          <w:tcPr>
            <w:tcW w:w="1844" w:type="dxa"/>
            <w:shd w:val="clear" w:color="auto" w:fill="5185CD"/>
            <w:tcMar>
              <w:top w:w="120" w:type="dxa"/>
              <w:left w:w="120" w:type="dxa"/>
              <w:bottom w:w="120" w:type="dxa"/>
              <w:right w:w="120" w:type="dxa"/>
            </w:tcMar>
            <w:vAlign w:val="center"/>
            <w:hideMark/>
          </w:tcPr>
          <w:p w14:paraId="5F14257A" w14:textId="77777777" w:rsidR="00EB094C" w:rsidRPr="00A12C9F" w:rsidRDefault="00EB094C" w:rsidP="003A24C9">
            <w:pPr>
              <w:jc w:val="center"/>
              <w:rPr>
                <w:rFonts w:cstheme="minorHAnsi"/>
                <w:color w:val="444444"/>
              </w:rPr>
            </w:pPr>
            <w:r w:rsidRPr="00A12C9F">
              <w:rPr>
                <w:rStyle w:val="Strong"/>
                <w:rFonts w:cstheme="minorHAnsi"/>
                <w:color w:val="FFFFFF"/>
              </w:rPr>
              <w:t>PPE claims (standard)</w:t>
            </w:r>
          </w:p>
        </w:tc>
        <w:tc>
          <w:tcPr>
            <w:tcW w:w="1701" w:type="dxa"/>
            <w:shd w:val="clear" w:color="auto" w:fill="FFFFFF"/>
            <w:tcMar>
              <w:top w:w="120" w:type="dxa"/>
              <w:left w:w="120" w:type="dxa"/>
              <w:bottom w:w="120" w:type="dxa"/>
              <w:right w:w="120" w:type="dxa"/>
            </w:tcMar>
            <w:vAlign w:val="center"/>
            <w:hideMark/>
          </w:tcPr>
          <w:p w14:paraId="22EE988E" w14:textId="77777777" w:rsidR="00EB094C" w:rsidRPr="00A12C9F" w:rsidRDefault="00EB094C" w:rsidP="003A24C9">
            <w:pPr>
              <w:jc w:val="center"/>
              <w:rPr>
                <w:rFonts w:cstheme="minorHAnsi"/>
                <w:color w:val="444444"/>
              </w:rPr>
            </w:pPr>
            <w:r w:rsidRPr="00A12C9F">
              <w:rPr>
                <w:rFonts w:cstheme="minorHAnsi"/>
                <w:color w:val="444444"/>
              </w:rPr>
              <w:t>PPE claims (standard) Payments depended on when the claim was submitted by a contractor and processed and verified by the NHSBSA. November 2020 Schedule of Payments which was paid on 1st February 2021 was the first available Schedule to include payments for PPE.</w:t>
            </w:r>
          </w:p>
        </w:tc>
        <w:tc>
          <w:tcPr>
            <w:tcW w:w="5250" w:type="dxa"/>
            <w:tcMar>
              <w:top w:w="120" w:type="dxa"/>
              <w:left w:w="120" w:type="dxa"/>
              <w:bottom w:w="120" w:type="dxa"/>
              <w:right w:w="120" w:type="dxa"/>
            </w:tcMar>
            <w:vAlign w:val="center"/>
            <w:hideMark/>
          </w:tcPr>
          <w:p w14:paraId="365F5441" w14:textId="77777777" w:rsidR="00EB094C" w:rsidRPr="00A12C9F" w:rsidRDefault="00EB094C" w:rsidP="003A24C9">
            <w:pPr>
              <w:jc w:val="center"/>
              <w:rPr>
                <w:rFonts w:cstheme="minorHAnsi"/>
                <w:color w:val="444444"/>
              </w:rPr>
            </w:pPr>
            <w:r w:rsidRPr="00A12C9F">
              <w:rPr>
                <w:rFonts w:cstheme="minorHAnsi"/>
                <w:noProof/>
                <w:color w:val="444444"/>
              </w:rPr>
              <w:drawing>
                <wp:inline distT="0" distB="0" distL="0" distR="0" wp14:anchorId="091B713B" wp14:editId="7CD39BE1">
                  <wp:extent cx="3108898" cy="172402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4507" cy="1727135"/>
                          </a:xfrm>
                          <a:prstGeom prst="rect">
                            <a:avLst/>
                          </a:prstGeom>
                          <a:noFill/>
                          <a:ln>
                            <a:noFill/>
                          </a:ln>
                        </pic:spPr>
                      </pic:pic>
                    </a:graphicData>
                  </a:graphic>
                </wp:inline>
              </w:drawing>
            </w:r>
          </w:p>
        </w:tc>
        <w:tc>
          <w:tcPr>
            <w:tcW w:w="2262" w:type="dxa"/>
            <w:tcMar>
              <w:top w:w="120" w:type="dxa"/>
              <w:left w:w="120" w:type="dxa"/>
              <w:bottom w:w="120" w:type="dxa"/>
              <w:right w:w="120" w:type="dxa"/>
            </w:tcMar>
            <w:vAlign w:val="center"/>
            <w:hideMark/>
          </w:tcPr>
          <w:p w14:paraId="02302532" w14:textId="77777777" w:rsidR="00EB094C" w:rsidRPr="00A12C9F" w:rsidRDefault="00EB094C" w:rsidP="003A24C9">
            <w:pPr>
              <w:jc w:val="center"/>
              <w:rPr>
                <w:rFonts w:cstheme="minorHAnsi"/>
                <w:color w:val="444444"/>
              </w:rPr>
            </w:pPr>
            <w:r w:rsidRPr="00A12C9F">
              <w:rPr>
                <w:rFonts w:cstheme="minorHAnsi"/>
                <w:color w:val="444444"/>
              </w:rPr>
              <w:t>‘PPE Claims’</w:t>
            </w:r>
          </w:p>
        </w:tc>
      </w:tr>
      <w:tr w:rsidR="00EB094C" w:rsidRPr="00A12C9F" w14:paraId="2761C72B" w14:textId="77777777" w:rsidTr="003A24C9">
        <w:trPr>
          <w:trHeight w:val="360"/>
        </w:trPr>
        <w:tc>
          <w:tcPr>
            <w:tcW w:w="1844" w:type="dxa"/>
            <w:shd w:val="clear" w:color="auto" w:fill="5185CD"/>
            <w:tcMar>
              <w:top w:w="120" w:type="dxa"/>
              <w:left w:w="120" w:type="dxa"/>
              <w:bottom w:w="120" w:type="dxa"/>
              <w:right w:w="120" w:type="dxa"/>
            </w:tcMar>
            <w:vAlign w:val="center"/>
            <w:hideMark/>
          </w:tcPr>
          <w:p w14:paraId="512C84BD" w14:textId="77777777" w:rsidR="00EB094C" w:rsidRPr="00A12C9F" w:rsidRDefault="00EB094C" w:rsidP="003A24C9">
            <w:pPr>
              <w:jc w:val="center"/>
              <w:rPr>
                <w:rFonts w:cstheme="minorHAnsi"/>
                <w:color w:val="444444"/>
              </w:rPr>
            </w:pPr>
            <w:r w:rsidRPr="00A12C9F">
              <w:rPr>
                <w:rStyle w:val="Strong"/>
                <w:rFonts w:cstheme="minorHAnsi"/>
                <w:color w:val="FFFFFF"/>
              </w:rPr>
              <w:t>PPE claims (exceptional)</w:t>
            </w:r>
          </w:p>
        </w:tc>
        <w:tc>
          <w:tcPr>
            <w:tcW w:w="1701" w:type="dxa"/>
            <w:shd w:val="clear" w:color="auto" w:fill="FFFFFF"/>
            <w:tcMar>
              <w:top w:w="120" w:type="dxa"/>
              <w:left w:w="120" w:type="dxa"/>
              <w:bottom w:w="120" w:type="dxa"/>
              <w:right w:w="120" w:type="dxa"/>
            </w:tcMar>
            <w:vAlign w:val="center"/>
            <w:hideMark/>
          </w:tcPr>
          <w:p w14:paraId="33ED3638" w14:textId="77777777" w:rsidR="00EB094C" w:rsidRPr="00A12C9F" w:rsidRDefault="00EB094C" w:rsidP="003A24C9">
            <w:pPr>
              <w:jc w:val="center"/>
              <w:rPr>
                <w:rFonts w:cstheme="minorHAnsi"/>
                <w:color w:val="444444"/>
              </w:rPr>
            </w:pPr>
            <w:r w:rsidRPr="00A12C9F">
              <w:rPr>
                <w:rFonts w:cstheme="minorHAnsi"/>
                <w:color w:val="444444"/>
              </w:rPr>
              <w:t>As above</w:t>
            </w:r>
          </w:p>
        </w:tc>
        <w:tc>
          <w:tcPr>
            <w:tcW w:w="5250" w:type="dxa"/>
            <w:tcMar>
              <w:top w:w="120" w:type="dxa"/>
              <w:left w:w="120" w:type="dxa"/>
              <w:bottom w:w="120" w:type="dxa"/>
              <w:right w:w="120" w:type="dxa"/>
            </w:tcMar>
            <w:vAlign w:val="center"/>
            <w:hideMark/>
          </w:tcPr>
          <w:p w14:paraId="2E45DEA8" w14:textId="77777777" w:rsidR="00EB094C" w:rsidRPr="00A12C9F" w:rsidRDefault="00EB094C" w:rsidP="003A24C9">
            <w:pPr>
              <w:jc w:val="center"/>
              <w:rPr>
                <w:rFonts w:cstheme="minorHAnsi"/>
                <w:color w:val="444444"/>
              </w:rPr>
            </w:pPr>
            <w:r w:rsidRPr="00A12C9F">
              <w:rPr>
                <w:rFonts w:cstheme="minorHAnsi"/>
                <w:color w:val="444444"/>
              </w:rPr>
              <w:t>Depends on amounts claimed</w:t>
            </w:r>
          </w:p>
        </w:tc>
        <w:tc>
          <w:tcPr>
            <w:tcW w:w="2262" w:type="dxa"/>
            <w:tcMar>
              <w:top w:w="120" w:type="dxa"/>
              <w:left w:w="120" w:type="dxa"/>
              <w:bottom w:w="120" w:type="dxa"/>
              <w:right w:w="120" w:type="dxa"/>
            </w:tcMar>
            <w:vAlign w:val="center"/>
            <w:hideMark/>
          </w:tcPr>
          <w:p w14:paraId="497BA47A" w14:textId="77777777" w:rsidR="00EB094C" w:rsidRPr="00A12C9F" w:rsidRDefault="00EB094C" w:rsidP="003A24C9">
            <w:pPr>
              <w:jc w:val="center"/>
              <w:rPr>
                <w:rFonts w:cstheme="minorHAnsi"/>
                <w:color w:val="444444"/>
              </w:rPr>
            </w:pPr>
            <w:r w:rsidRPr="00A12C9F">
              <w:rPr>
                <w:rFonts w:cstheme="minorHAnsi"/>
                <w:color w:val="444444"/>
              </w:rPr>
              <w:t>‘PPE Claims’</w:t>
            </w:r>
          </w:p>
        </w:tc>
      </w:tr>
    </w:tbl>
    <w:p w14:paraId="6D229735" w14:textId="77777777" w:rsidR="00EB094C" w:rsidRDefault="00EB094C" w:rsidP="00EB094C">
      <w:pPr>
        <w:jc w:val="both"/>
        <w:rPr>
          <w:i/>
          <w:iCs/>
        </w:rPr>
      </w:pPr>
      <w:r>
        <w:br/>
      </w:r>
    </w:p>
    <w:p w14:paraId="630FBD3E" w14:textId="77777777" w:rsidR="00EB094C" w:rsidRPr="00D303D2" w:rsidRDefault="00EB094C" w:rsidP="00EB094C">
      <w:pPr>
        <w:jc w:val="both"/>
      </w:pPr>
    </w:p>
    <w:p w14:paraId="6DDBF06D" w14:textId="77777777" w:rsidR="00EB094C" w:rsidRPr="00D303D2" w:rsidRDefault="00EB094C" w:rsidP="00EB094C">
      <w:pPr>
        <w:pStyle w:val="Heading4"/>
        <w:rPr>
          <w:rFonts w:ascii="Calibri Light" w:eastAsia="Calibri Light" w:hAnsi="Calibri Light" w:cs="Calibri Light"/>
          <w:color w:val="1F487C"/>
          <w:sz w:val="32"/>
          <w:szCs w:val="32"/>
        </w:rPr>
      </w:pPr>
      <w:bookmarkStart w:id="16" w:name="_Over_400_products"/>
      <w:bookmarkEnd w:id="16"/>
      <w:r>
        <w:rPr>
          <w:rFonts w:ascii="Calibri Light" w:hAnsi="Calibri Light" w:cs="Calibri Light"/>
          <w:i w:val="0"/>
          <w:iCs w:val="0"/>
          <w:sz w:val="32"/>
          <w:szCs w:val="32"/>
        </w:rPr>
        <w:t xml:space="preserve">Over </w:t>
      </w:r>
      <w:r w:rsidRPr="002127A1">
        <w:rPr>
          <w:rFonts w:ascii="Calibri Light" w:hAnsi="Calibri Light" w:cs="Calibri Light"/>
          <w:i w:val="0"/>
          <w:iCs w:val="0"/>
          <w:sz w:val="32"/>
          <w:szCs w:val="32"/>
        </w:rPr>
        <w:t>400 products added to DND list in past 18 months</w:t>
      </w:r>
    </w:p>
    <w:p w14:paraId="29A37DEF" w14:textId="77777777" w:rsidR="00EB094C" w:rsidRPr="00D303D2" w:rsidRDefault="00EB094C" w:rsidP="00EB094C">
      <w:pPr>
        <w:jc w:val="both"/>
        <w:rPr>
          <w:highlight w:val="yellow"/>
        </w:rPr>
      </w:pPr>
      <w:r>
        <w:br/>
      </w:r>
      <w:r w:rsidRPr="5B712038">
        <w:rPr>
          <w:rFonts w:eastAsiaTheme="minorEastAsia"/>
          <w:color w:val="000000" w:themeColor="text1"/>
        </w:rPr>
        <w:t>Over the past 1</w:t>
      </w:r>
      <w:r>
        <w:rPr>
          <w:rFonts w:eastAsiaTheme="minorEastAsia"/>
          <w:color w:val="000000" w:themeColor="text1"/>
        </w:rPr>
        <w:t>8</w:t>
      </w:r>
      <w:r w:rsidRPr="5B712038">
        <w:rPr>
          <w:rFonts w:eastAsiaTheme="minorEastAsia"/>
          <w:color w:val="000000" w:themeColor="text1"/>
        </w:rPr>
        <w:t xml:space="preserve"> months, following contractor feedback and through internal Dispensing &amp; Supply team checks, product applications for </w:t>
      </w:r>
      <w:r w:rsidRPr="5B712038">
        <w:rPr>
          <w:color w:val="000000" w:themeColor="text1"/>
        </w:rPr>
        <w:t>D</w:t>
      </w:r>
      <w:r w:rsidRPr="5B712038">
        <w:rPr>
          <w:rFonts w:eastAsiaTheme="minorEastAsia"/>
          <w:color w:val="000000" w:themeColor="text1"/>
        </w:rPr>
        <w:t xml:space="preserve">ND status have been submitted to the NHSBSA and DHSC for </w:t>
      </w:r>
      <w:r w:rsidRPr="5B712038">
        <w:rPr>
          <w:rFonts w:eastAsiaTheme="minorEastAsia"/>
          <w:b/>
          <w:bCs/>
          <w:color w:val="000000" w:themeColor="text1"/>
        </w:rPr>
        <w:t>over 5</w:t>
      </w:r>
      <w:r>
        <w:rPr>
          <w:rFonts w:eastAsiaTheme="minorEastAsia"/>
          <w:b/>
          <w:bCs/>
          <w:color w:val="000000" w:themeColor="text1"/>
        </w:rPr>
        <w:t>5</w:t>
      </w:r>
      <w:r w:rsidRPr="5B712038">
        <w:rPr>
          <w:rFonts w:eastAsiaTheme="minorEastAsia"/>
          <w:b/>
          <w:bCs/>
          <w:color w:val="000000" w:themeColor="text1"/>
        </w:rPr>
        <w:t>0</w:t>
      </w:r>
      <w:r w:rsidRPr="5B712038">
        <w:rPr>
          <w:rFonts w:eastAsiaTheme="minorEastAsia"/>
          <w:color w:val="000000" w:themeColor="text1"/>
        </w:rPr>
        <w:t xml:space="preserve"> products. Of these, </w:t>
      </w:r>
      <w:r w:rsidRPr="5B712038">
        <w:rPr>
          <w:rFonts w:eastAsiaTheme="minorEastAsia"/>
          <w:b/>
          <w:bCs/>
          <w:color w:val="000000" w:themeColor="text1"/>
        </w:rPr>
        <w:t xml:space="preserve">400 </w:t>
      </w:r>
      <w:r w:rsidRPr="5B712038">
        <w:rPr>
          <w:rFonts w:eastAsiaTheme="minorEastAsia"/>
          <w:color w:val="000000" w:themeColor="text1"/>
        </w:rPr>
        <w:t>products have been agreed to by DHSC and added to the DND list in the Drug Tariff.</w:t>
      </w:r>
      <w:r w:rsidRPr="5B712038">
        <w:rPr>
          <w:color w:val="000000" w:themeColor="text1"/>
        </w:rPr>
        <w:t xml:space="preserve"> </w:t>
      </w:r>
      <w:r w:rsidRPr="5B712038">
        <w:lastRenderedPageBreak/>
        <w:t>For a list of all the monthly changes to the DND status of products please see the following page</w:t>
      </w:r>
      <w:r w:rsidRPr="5B712038">
        <w:rPr>
          <w:rFonts w:ascii="Calibri Light" w:hAnsi="Calibri Light" w:cs="Calibri Light"/>
          <w:b/>
          <w:bCs/>
        </w:rPr>
        <w:t> </w:t>
      </w:r>
      <w:r w:rsidRPr="5B712038">
        <w:rPr>
          <w:rFonts w:ascii="Calibri Light" w:hAnsi="Calibri Light" w:cs="Calibri Light"/>
          <w:b/>
          <w:bCs/>
          <w:i/>
          <w:iCs/>
        </w:rPr>
        <w:t>‘</w:t>
      </w:r>
      <w:hyperlink r:id="rId59">
        <w:r w:rsidRPr="5B712038">
          <w:rPr>
            <w:rStyle w:val="Hyperlink"/>
            <w:i/>
            <w:iCs/>
          </w:rPr>
          <w:t>Notice of changes to discount not deducted (DND) status of products</w:t>
        </w:r>
      </w:hyperlink>
      <w:r w:rsidRPr="5B712038">
        <w:rPr>
          <w:i/>
          <w:iCs/>
        </w:rPr>
        <w:t>'.</w:t>
      </w:r>
    </w:p>
    <w:p w14:paraId="002308E1" w14:textId="77777777" w:rsidR="00EB094C" w:rsidRPr="00D303D2" w:rsidRDefault="00EB094C" w:rsidP="00EB094C">
      <w:pPr>
        <w:jc w:val="both"/>
        <w:rPr>
          <w:highlight w:val="yellow"/>
        </w:rPr>
      </w:pPr>
      <w:r>
        <w:br/>
        <w:t xml:space="preserve">The </w:t>
      </w:r>
      <w:r w:rsidRPr="5B712038">
        <w:rPr>
          <w:rFonts w:eastAsiaTheme="minorEastAsia"/>
          <w:color w:val="000000" w:themeColor="text1"/>
        </w:rPr>
        <w:t xml:space="preserve">Dispensing &amp; Supply </w:t>
      </w:r>
      <w:r>
        <w:t>team have also started their yearly analysis of annual PCA data to investigate other products suitable for DND and will make periodic applications to NHSBSA and DHSC.</w:t>
      </w:r>
      <w:r w:rsidRPr="5B712038">
        <w:rPr>
          <w:rStyle w:val="Hyperlink"/>
          <w:rFonts w:ascii="Calibri Light" w:eastAsia="Calibri Light" w:hAnsi="Calibri Light" w:cs="Calibri Light"/>
          <w:color w:val="1F487C"/>
          <w:sz w:val="32"/>
          <w:szCs w:val="32"/>
        </w:rPr>
        <w:t xml:space="preserve"> </w:t>
      </w:r>
    </w:p>
    <w:p w14:paraId="5B18450D" w14:textId="77777777" w:rsidR="00EB094C" w:rsidRPr="00D303D2" w:rsidRDefault="00EB094C" w:rsidP="00EB094C">
      <w:pPr>
        <w:jc w:val="both"/>
        <w:rPr>
          <w:rStyle w:val="Hyperlink"/>
          <w:color w:val="1F487C"/>
          <w:sz w:val="32"/>
          <w:szCs w:val="32"/>
        </w:rPr>
      </w:pPr>
      <w:r>
        <w:br/>
      </w:r>
    </w:p>
    <w:p w14:paraId="4D1DEF19" w14:textId="77777777" w:rsidR="00EB094C" w:rsidRDefault="00EB094C" w:rsidP="00EB094C">
      <w:pPr>
        <w:pStyle w:val="Heading4"/>
        <w:rPr>
          <w:rFonts w:ascii="Calibri Light" w:hAnsi="Calibri Light" w:cs="Calibri Light"/>
          <w:i w:val="0"/>
          <w:iCs w:val="0"/>
          <w:sz w:val="32"/>
          <w:szCs w:val="32"/>
        </w:rPr>
      </w:pPr>
      <w:bookmarkStart w:id="17" w:name="_Update_summary_of"/>
      <w:bookmarkStart w:id="18" w:name="sc"/>
      <w:bookmarkEnd w:id="17"/>
      <w:r w:rsidRPr="002127A1">
        <w:rPr>
          <w:rFonts w:ascii="Calibri Light" w:hAnsi="Calibri Light" w:cs="Calibri Light"/>
          <w:i w:val="0"/>
          <w:iCs w:val="0"/>
          <w:sz w:val="32"/>
          <w:szCs w:val="32"/>
        </w:rPr>
        <w:t>Update summary of applications submitted to DHSC for re-determination of special container status</w:t>
      </w:r>
    </w:p>
    <w:bookmarkEnd w:id="18"/>
    <w:p w14:paraId="106A5F1D" w14:textId="77777777" w:rsidR="00EB094C" w:rsidRDefault="00EB094C" w:rsidP="00EB094C">
      <w:pPr>
        <w:jc w:val="both"/>
      </w:pPr>
    </w:p>
    <w:p w14:paraId="5BCF8485" w14:textId="77777777" w:rsidR="00EB094C" w:rsidRPr="00D303D2" w:rsidRDefault="00EB094C" w:rsidP="00EB094C">
      <w:pPr>
        <w:pStyle w:val="NoSpacing"/>
        <w:jc w:val="both"/>
        <w:rPr>
          <w:rFonts w:eastAsiaTheme="minorEastAsia"/>
          <w:color w:val="0000FF"/>
          <w:highlight w:val="yellow"/>
          <w:u w:val="single"/>
        </w:rPr>
      </w:pPr>
      <w:r w:rsidRPr="47EEB0E0">
        <w:rPr>
          <w:color w:val="000000" w:themeColor="text1"/>
        </w:rPr>
        <w:t xml:space="preserve">Since August 2019, </w:t>
      </w:r>
      <w:r w:rsidRPr="47EEB0E0">
        <w:rPr>
          <w:rFonts w:eastAsiaTheme="minorEastAsia"/>
          <w:color w:val="000000" w:themeColor="text1"/>
        </w:rPr>
        <w:t>PSNC’s Dispensing &amp; Supply team</w:t>
      </w:r>
      <w:r w:rsidRPr="47EEB0E0">
        <w:rPr>
          <w:color w:val="000000" w:themeColor="text1"/>
        </w:rPr>
        <w:t xml:space="preserve"> has reviewed over </w:t>
      </w:r>
      <w:r w:rsidRPr="47EEB0E0">
        <w:rPr>
          <w:b/>
          <w:bCs/>
          <w:color w:val="000000" w:themeColor="text1"/>
        </w:rPr>
        <w:t>4,000</w:t>
      </w:r>
      <w:r w:rsidRPr="47EEB0E0">
        <w:rPr>
          <w:color w:val="000000" w:themeColor="text1"/>
        </w:rPr>
        <w:t xml:space="preserve"> products against Drug Tariff special container criteria. </w:t>
      </w:r>
      <w:r w:rsidRPr="47EEB0E0">
        <w:rPr>
          <w:rFonts w:eastAsiaTheme="minorEastAsia"/>
          <w:lang w:val="en-US"/>
        </w:rPr>
        <w:t>The three main criteria under which PSNC has focused its attention are drugs that are considered hygroscopic, viscous external preparations and those packaged into containers from which it is not practical to dispense the exact quantity.</w:t>
      </w:r>
      <w:r>
        <w:t xml:space="preserve"> </w:t>
      </w:r>
      <w:r w:rsidRPr="47EEB0E0">
        <w:rPr>
          <w:color w:val="000000" w:themeColor="text1"/>
        </w:rPr>
        <w:t>Of those checked, PSNC has identified and submitted applications for</w:t>
      </w:r>
      <w:r w:rsidRPr="47EEB0E0">
        <w:rPr>
          <w:b/>
          <w:bCs/>
          <w:color w:val="000000" w:themeColor="text1"/>
        </w:rPr>
        <w:t xml:space="preserve"> 85</w:t>
      </w:r>
      <w:r>
        <w:rPr>
          <w:b/>
          <w:bCs/>
          <w:color w:val="000000" w:themeColor="text1"/>
        </w:rPr>
        <w:t>6</w:t>
      </w:r>
      <w:r w:rsidRPr="47EEB0E0">
        <w:rPr>
          <w:color w:val="000000" w:themeColor="text1"/>
        </w:rPr>
        <w:t xml:space="preserve"> products that appear to meet one or more of the special container criteria but are not annotated as such in the Drug Tariff and/or the </w:t>
      </w:r>
      <w:proofErr w:type="spellStart"/>
      <w:r w:rsidRPr="47EEB0E0">
        <w:rPr>
          <w:color w:val="000000" w:themeColor="text1"/>
        </w:rPr>
        <w:t>dm+d</w:t>
      </w:r>
      <w:proofErr w:type="spellEnd"/>
      <w:r w:rsidRPr="47EEB0E0">
        <w:rPr>
          <w:color w:val="000000" w:themeColor="text1"/>
        </w:rPr>
        <w:t xml:space="preserve">. </w:t>
      </w:r>
      <w:r w:rsidRPr="47EEB0E0">
        <w:rPr>
          <w:rFonts w:eastAsiaTheme="minorEastAsia"/>
        </w:rPr>
        <w:t>See our page on ‘</w:t>
      </w:r>
      <w:hyperlink r:id="rId60" w:history="1">
        <w:r w:rsidRPr="47EEB0E0">
          <w:rPr>
            <w:rStyle w:val="Hyperlink"/>
            <w:rFonts w:eastAsiaTheme="minorEastAsia"/>
            <w:i/>
            <w:iCs/>
          </w:rPr>
          <w:t>Notice of changes to special container status of products</w:t>
        </w:r>
        <w:r w:rsidRPr="47EEB0E0">
          <w:rPr>
            <w:rStyle w:val="Hyperlink"/>
            <w:rFonts w:eastAsiaTheme="minorEastAsia"/>
          </w:rPr>
          <w:t>’</w:t>
        </w:r>
      </w:hyperlink>
      <w:r w:rsidRPr="47EEB0E0">
        <w:rPr>
          <w:rStyle w:val="Hyperlink"/>
          <w:rFonts w:eastAsiaTheme="minorEastAsia"/>
        </w:rPr>
        <w:t>.</w:t>
      </w:r>
      <w:r w:rsidRPr="47EEB0E0">
        <w:rPr>
          <w:color w:val="000000" w:themeColor="text1"/>
        </w:rPr>
        <w:t xml:space="preserve"> </w:t>
      </w:r>
    </w:p>
    <w:p w14:paraId="431BC9DE" w14:textId="77777777" w:rsidR="00EB094C" w:rsidRPr="00D303D2" w:rsidRDefault="00EB094C" w:rsidP="00EB094C">
      <w:pPr>
        <w:pStyle w:val="NoSpacing"/>
        <w:jc w:val="both"/>
        <w:rPr>
          <w:color w:val="000000" w:themeColor="text1"/>
          <w:highlight w:val="yellow"/>
        </w:rPr>
      </w:pPr>
    </w:p>
    <w:p w14:paraId="1C1C248A" w14:textId="77777777" w:rsidR="00EB094C" w:rsidRDefault="00EB094C" w:rsidP="00EB094C">
      <w:pPr>
        <w:jc w:val="both"/>
        <w:rPr>
          <w:color w:val="000000" w:themeColor="text1"/>
        </w:rPr>
      </w:pPr>
      <w:r w:rsidRPr="5B712038">
        <w:rPr>
          <w:b/>
          <w:bCs/>
        </w:rPr>
        <w:t>Special Container applications update:</w:t>
      </w:r>
      <w:r>
        <w:t xml:space="preserve"> PSNC have approached DHSC for</w:t>
      </w:r>
      <w:r w:rsidRPr="5B712038">
        <w:rPr>
          <w:color w:val="000000" w:themeColor="text1"/>
        </w:rPr>
        <w:t xml:space="preserve"> responses to over </w:t>
      </w:r>
      <w:r w:rsidRPr="5B712038">
        <w:rPr>
          <w:b/>
          <w:bCs/>
          <w:color w:val="000000" w:themeColor="text1"/>
        </w:rPr>
        <w:t>700</w:t>
      </w:r>
      <w:r w:rsidRPr="5B712038">
        <w:rPr>
          <w:color w:val="000000" w:themeColor="text1"/>
        </w:rPr>
        <w:t xml:space="preserve"> outstanding special container applications and requested the Department to outline their position for each individual product. To help expedite the process PSNC have offered to provide written confirmation, where available, of special container status obtained from manufacturers.</w:t>
      </w:r>
    </w:p>
    <w:p w14:paraId="7EB28245" w14:textId="77777777" w:rsidR="00EB094C" w:rsidRDefault="00EB094C" w:rsidP="00EB094C">
      <w:pPr>
        <w:pStyle w:val="NoSpacing"/>
        <w:spacing w:line="259" w:lineRule="auto"/>
        <w:jc w:val="both"/>
        <w:rPr>
          <w:rFonts w:eastAsiaTheme="minorEastAsia"/>
          <w:color w:val="000000" w:themeColor="text1"/>
        </w:rPr>
      </w:pPr>
    </w:p>
    <w:p w14:paraId="213C7D7D" w14:textId="77777777" w:rsidR="00EB094C" w:rsidRDefault="00EB094C" w:rsidP="00EB094C">
      <w:pPr>
        <w:pStyle w:val="NoSpacing"/>
        <w:spacing w:line="259" w:lineRule="auto"/>
        <w:jc w:val="both"/>
        <w:rPr>
          <w:rFonts w:eastAsiaTheme="minorEastAsia"/>
          <w:color w:val="000000" w:themeColor="text1"/>
        </w:rPr>
      </w:pPr>
      <w:r w:rsidRPr="5B712038">
        <w:rPr>
          <w:rFonts w:eastAsiaTheme="minorEastAsia"/>
          <w:color w:val="000000" w:themeColor="text1"/>
        </w:rPr>
        <w:t>DHSC has responded to PSNCs paper on special containers setting out PSNC’s concerns relating to the current processes for determining the special container status of products and included proposals to facilitate more accurate assessment of products against the relevant Drug Tariff criteria. PSNC is considering DHSC’s latest response and will follow-up accordingly.</w:t>
      </w:r>
    </w:p>
    <w:p w14:paraId="28A6F7F5" w14:textId="77777777" w:rsidR="00EB094C" w:rsidRDefault="00EB094C" w:rsidP="00EB094C">
      <w:pPr>
        <w:pStyle w:val="NoSpacing"/>
        <w:spacing w:line="259" w:lineRule="auto"/>
        <w:jc w:val="both"/>
        <w:rPr>
          <w:rFonts w:eastAsiaTheme="minorEastAsia"/>
          <w:color w:val="000000" w:themeColor="text1"/>
        </w:rPr>
      </w:pPr>
    </w:p>
    <w:p w14:paraId="288339C9" w14:textId="77777777" w:rsidR="00EB094C" w:rsidRDefault="00EB094C" w:rsidP="00EB094C">
      <w:pPr>
        <w:pStyle w:val="NoSpacing"/>
        <w:jc w:val="both"/>
        <w:rPr>
          <w:color w:val="000000" w:themeColor="text1"/>
        </w:rPr>
      </w:pPr>
      <w:r w:rsidRPr="5B712038">
        <w:rPr>
          <w:color w:val="000000" w:themeColor="text1"/>
        </w:rPr>
        <w:t xml:space="preserve">The table below provides latest information on the number of products that have been submitted to DHSC and NHSBSA for further investigation and the status of these applications. </w:t>
      </w:r>
    </w:p>
    <w:p w14:paraId="4D4CAE4F" w14:textId="77777777" w:rsidR="00EB094C" w:rsidRDefault="00EB094C" w:rsidP="00EB094C">
      <w:pPr>
        <w:jc w:val="both"/>
        <w:rPr>
          <w:color w:val="000000" w:themeColor="text1"/>
        </w:rPr>
      </w:pPr>
    </w:p>
    <w:tbl>
      <w:tblPr>
        <w:tblW w:w="104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60"/>
        <w:gridCol w:w="1736"/>
        <w:gridCol w:w="2162"/>
        <w:gridCol w:w="2162"/>
        <w:gridCol w:w="2162"/>
      </w:tblGrid>
      <w:tr w:rsidR="00EB094C" w:rsidRPr="001C3932" w14:paraId="0B5E2388" w14:textId="77777777" w:rsidTr="003A24C9">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1C7E1D2"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Special container criteria</w:t>
            </w:r>
          </w:p>
        </w:tc>
        <w:tc>
          <w:tcPr>
            <w:tcW w:w="1736" w:type="dxa"/>
            <w:tcBorders>
              <w:top w:val="single" w:sz="6" w:space="0" w:color="auto"/>
              <w:left w:val="nil"/>
              <w:bottom w:val="single" w:sz="6" w:space="0" w:color="auto"/>
              <w:right w:val="single" w:sz="6" w:space="0" w:color="auto"/>
            </w:tcBorders>
            <w:shd w:val="clear" w:color="auto" w:fill="65922E"/>
            <w:vAlign w:val="center"/>
          </w:tcPr>
          <w:p w14:paraId="3C2EF5F4" w14:textId="77777777" w:rsidR="00EB094C" w:rsidRPr="001C3932" w:rsidRDefault="00EB094C" w:rsidP="003A24C9">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checked</w:t>
            </w:r>
          </w:p>
        </w:tc>
        <w:tc>
          <w:tcPr>
            <w:tcW w:w="2162" w:type="dxa"/>
            <w:tcBorders>
              <w:top w:val="single" w:sz="6" w:space="0" w:color="auto"/>
              <w:left w:val="nil"/>
              <w:bottom w:val="single" w:sz="6" w:space="0" w:color="auto"/>
              <w:right w:val="single" w:sz="6" w:space="0" w:color="auto"/>
            </w:tcBorders>
            <w:shd w:val="clear" w:color="auto" w:fill="65922E"/>
            <w:vAlign w:val="center"/>
          </w:tcPr>
          <w:p w14:paraId="709E621C"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applied for</w:t>
            </w:r>
          </w:p>
        </w:tc>
        <w:tc>
          <w:tcPr>
            <w:tcW w:w="2162" w:type="dxa"/>
            <w:tcBorders>
              <w:top w:val="single" w:sz="6" w:space="0" w:color="auto"/>
              <w:left w:val="nil"/>
              <w:bottom w:val="single" w:sz="6" w:space="0" w:color="auto"/>
              <w:right w:val="single" w:sz="4" w:space="0" w:color="auto"/>
            </w:tcBorders>
            <w:shd w:val="clear" w:color="auto" w:fill="65922E"/>
            <w:vAlign w:val="center"/>
          </w:tcPr>
          <w:p w14:paraId="0726CF86"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Number of products currently in discussion with DHSC</w:t>
            </w:r>
            <w:r>
              <w:rPr>
                <w:b/>
                <w:bCs/>
                <w:color w:val="FFFFFF" w:themeColor="background1"/>
                <w:sz w:val="20"/>
                <w:szCs w:val="20"/>
              </w:rPr>
              <w:t xml:space="preserve"> or under review with NHSBSA</w:t>
            </w:r>
          </w:p>
        </w:tc>
        <w:tc>
          <w:tcPr>
            <w:tcW w:w="2162" w:type="dxa"/>
            <w:tcBorders>
              <w:top w:val="single" w:sz="6" w:space="0" w:color="auto"/>
              <w:left w:val="single" w:sz="4" w:space="0" w:color="auto"/>
              <w:bottom w:val="single" w:sz="6" w:space="0" w:color="auto"/>
              <w:right w:val="single" w:sz="6" w:space="0" w:color="auto"/>
            </w:tcBorders>
            <w:shd w:val="clear" w:color="auto" w:fill="65922E"/>
            <w:vAlign w:val="center"/>
          </w:tcPr>
          <w:p w14:paraId="76F40B30" w14:textId="77777777" w:rsidR="00EB094C" w:rsidRPr="001C3932" w:rsidRDefault="00EB094C" w:rsidP="003A24C9">
            <w:pPr>
              <w:pStyle w:val="NoSpacing"/>
              <w:spacing w:line="259" w:lineRule="auto"/>
              <w:jc w:val="center"/>
              <w:rPr>
                <w:b/>
                <w:bCs/>
                <w:color w:val="FFFFFF" w:themeColor="background1"/>
                <w:sz w:val="20"/>
                <w:szCs w:val="20"/>
              </w:rPr>
            </w:pPr>
            <w:r w:rsidRPr="0D643ABA">
              <w:rPr>
                <w:b/>
                <w:bCs/>
                <w:color w:val="FFFFFF" w:themeColor="background1"/>
                <w:sz w:val="20"/>
                <w:szCs w:val="20"/>
              </w:rPr>
              <w:t>Number of products agreed by DHSC as meeting criteria</w:t>
            </w:r>
          </w:p>
        </w:tc>
      </w:tr>
      <w:tr w:rsidR="00EB094C" w:rsidRPr="001C3932" w14:paraId="218FAD3C" w14:textId="77777777" w:rsidTr="003A24C9">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3585CBE2"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Effervescent or hygroscopic</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68EB6EC5"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26</w:t>
            </w:r>
            <w:r>
              <w:rPr>
                <w:b/>
                <w:color w:val="000000" w:themeColor="text1"/>
                <w:sz w:val="20"/>
                <w:szCs w:val="20"/>
              </w:rPr>
              <w:t>3</w:t>
            </w:r>
          </w:p>
        </w:tc>
        <w:tc>
          <w:tcPr>
            <w:tcW w:w="2162" w:type="dxa"/>
            <w:tcBorders>
              <w:top w:val="single" w:sz="6" w:space="0" w:color="auto"/>
              <w:left w:val="nil"/>
              <w:bottom w:val="single" w:sz="6" w:space="0" w:color="auto"/>
              <w:right w:val="single" w:sz="6" w:space="0" w:color="auto"/>
            </w:tcBorders>
            <w:shd w:val="clear" w:color="auto" w:fill="auto"/>
            <w:vAlign w:val="center"/>
          </w:tcPr>
          <w:p w14:paraId="2B057B52"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2</w:t>
            </w:r>
            <w:r>
              <w:rPr>
                <w:b/>
                <w:color w:val="000000" w:themeColor="text1"/>
                <w:sz w:val="20"/>
                <w:szCs w:val="20"/>
              </w:rPr>
              <w:t>21</w:t>
            </w:r>
          </w:p>
        </w:tc>
        <w:tc>
          <w:tcPr>
            <w:tcW w:w="2162" w:type="dxa"/>
            <w:tcBorders>
              <w:top w:val="single" w:sz="6" w:space="0" w:color="auto"/>
              <w:left w:val="nil"/>
              <w:bottom w:val="single" w:sz="6" w:space="0" w:color="auto"/>
              <w:right w:val="single" w:sz="4" w:space="0" w:color="auto"/>
            </w:tcBorders>
            <w:shd w:val="clear" w:color="auto" w:fill="auto"/>
            <w:vAlign w:val="center"/>
          </w:tcPr>
          <w:p w14:paraId="0C58C705" w14:textId="77777777" w:rsidR="00EB094C" w:rsidRPr="0006166A" w:rsidRDefault="00EB094C" w:rsidP="003A24C9">
            <w:pPr>
              <w:pStyle w:val="NoSpacing"/>
              <w:spacing w:line="259" w:lineRule="auto"/>
              <w:jc w:val="center"/>
              <w:rPr>
                <w:b/>
                <w:color w:val="000000" w:themeColor="text1"/>
                <w:sz w:val="20"/>
                <w:szCs w:val="20"/>
              </w:rPr>
            </w:pPr>
            <w:r>
              <w:rPr>
                <w:b/>
                <w:bCs/>
                <w:color w:val="000000" w:themeColor="text1"/>
                <w:sz w:val="20"/>
                <w:szCs w:val="20"/>
              </w:rPr>
              <w:t>188</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4D7B035"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3</w:t>
            </w:r>
            <w:r>
              <w:rPr>
                <w:b/>
                <w:color w:val="000000" w:themeColor="text1"/>
                <w:sz w:val="20"/>
                <w:szCs w:val="20"/>
              </w:rPr>
              <w:t>3</w:t>
            </w:r>
          </w:p>
        </w:tc>
      </w:tr>
      <w:tr w:rsidR="00EB094C" w:rsidRPr="001C3932" w14:paraId="1C58F104" w14:textId="77777777" w:rsidTr="003A24C9">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FF59151"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Viscous external preparations</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2AD4A4F2"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891</w:t>
            </w:r>
          </w:p>
        </w:tc>
        <w:tc>
          <w:tcPr>
            <w:tcW w:w="2162" w:type="dxa"/>
            <w:tcBorders>
              <w:top w:val="single" w:sz="6" w:space="0" w:color="auto"/>
              <w:left w:val="nil"/>
              <w:bottom w:val="single" w:sz="6" w:space="0" w:color="auto"/>
              <w:right w:val="single" w:sz="6" w:space="0" w:color="auto"/>
            </w:tcBorders>
            <w:shd w:val="clear" w:color="auto" w:fill="auto"/>
            <w:vAlign w:val="center"/>
          </w:tcPr>
          <w:p w14:paraId="3AC8AD8F"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136</w:t>
            </w:r>
          </w:p>
        </w:tc>
        <w:tc>
          <w:tcPr>
            <w:tcW w:w="2162" w:type="dxa"/>
            <w:tcBorders>
              <w:top w:val="single" w:sz="6" w:space="0" w:color="auto"/>
              <w:left w:val="nil"/>
              <w:bottom w:val="single" w:sz="6" w:space="0" w:color="auto"/>
              <w:right w:val="single" w:sz="4" w:space="0" w:color="auto"/>
            </w:tcBorders>
            <w:shd w:val="clear" w:color="auto" w:fill="auto"/>
            <w:vAlign w:val="center"/>
          </w:tcPr>
          <w:p w14:paraId="3FB71207" w14:textId="77777777" w:rsidR="00EB094C" w:rsidRPr="0006166A" w:rsidRDefault="00EB094C" w:rsidP="003A24C9">
            <w:pPr>
              <w:pStyle w:val="NoSpacing"/>
              <w:spacing w:line="259" w:lineRule="auto"/>
              <w:jc w:val="center"/>
              <w:rPr>
                <w:b/>
                <w:color w:val="000000" w:themeColor="text1"/>
                <w:sz w:val="20"/>
                <w:szCs w:val="20"/>
              </w:rPr>
            </w:pPr>
            <w:r>
              <w:rPr>
                <w:b/>
                <w:bCs/>
                <w:color w:val="000000" w:themeColor="text1"/>
                <w:sz w:val="20"/>
                <w:szCs w:val="20"/>
              </w:rPr>
              <w:t>124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6D3B7088"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12</w:t>
            </w:r>
          </w:p>
        </w:tc>
      </w:tr>
      <w:tr w:rsidR="00EB094C" w:rsidRPr="001C3932" w14:paraId="209DFD5E" w14:textId="77777777" w:rsidTr="003A24C9">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B22F79A" w14:textId="77777777" w:rsidR="00EB094C" w:rsidRPr="001C3932" w:rsidRDefault="00EB094C" w:rsidP="003A24C9">
            <w:pPr>
              <w:pStyle w:val="NoSpacing"/>
              <w:spacing w:line="259" w:lineRule="auto"/>
              <w:jc w:val="center"/>
              <w:rPr>
                <w:b/>
                <w:bCs/>
                <w:color w:val="FFFFFF" w:themeColor="background1"/>
                <w:sz w:val="20"/>
                <w:szCs w:val="20"/>
              </w:rPr>
            </w:pPr>
            <w:r w:rsidRPr="0D643ABA">
              <w:rPr>
                <w:b/>
                <w:bCs/>
                <w:color w:val="FFFFFF" w:themeColor="background1"/>
                <w:sz w:val="20"/>
                <w:szCs w:val="20"/>
              </w:rPr>
              <w:lastRenderedPageBreak/>
              <w:t>Packaged in a container from which it is not practicable to dispense exact quantity</w:t>
            </w:r>
            <w:r>
              <w:rPr>
                <w:b/>
                <w:bCs/>
                <w:color w:val="FFFFFF" w:themeColor="background1"/>
                <w:sz w:val="20"/>
                <w:szCs w:val="20"/>
              </w:rPr>
              <w:t>*</w:t>
            </w:r>
          </w:p>
        </w:tc>
        <w:tc>
          <w:tcPr>
            <w:tcW w:w="1736" w:type="dxa"/>
            <w:tcBorders>
              <w:top w:val="single" w:sz="6" w:space="0" w:color="auto"/>
              <w:left w:val="nil"/>
              <w:bottom w:val="single" w:sz="6" w:space="0" w:color="auto"/>
              <w:right w:val="single" w:sz="6" w:space="0" w:color="auto"/>
            </w:tcBorders>
            <w:shd w:val="clear" w:color="auto" w:fill="auto"/>
            <w:vAlign w:val="center"/>
          </w:tcPr>
          <w:p w14:paraId="27819DEC"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2,9</w:t>
            </w:r>
            <w:r>
              <w:rPr>
                <w:b/>
                <w:color w:val="000000" w:themeColor="text1"/>
                <w:sz w:val="20"/>
                <w:szCs w:val="20"/>
              </w:rPr>
              <w:t>94</w:t>
            </w:r>
          </w:p>
        </w:tc>
        <w:tc>
          <w:tcPr>
            <w:tcW w:w="2162" w:type="dxa"/>
            <w:tcBorders>
              <w:top w:val="single" w:sz="6" w:space="0" w:color="auto"/>
              <w:left w:val="nil"/>
              <w:bottom w:val="single" w:sz="6" w:space="0" w:color="auto"/>
              <w:right w:val="single" w:sz="6" w:space="0" w:color="auto"/>
            </w:tcBorders>
            <w:shd w:val="clear" w:color="auto" w:fill="auto"/>
            <w:vAlign w:val="center"/>
          </w:tcPr>
          <w:p w14:paraId="32942B72"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50</w:t>
            </w:r>
            <w:r>
              <w:rPr>
                <w:b/>
                <w:color w:val="000000" w:themeColor="text1"/>
                <w:sz w:val="20"/>
                <w:szCs w:val="20"/>
              </w:rPr>
              <w:t>6</w:t>
            </w:r>
          </w:p>
        </w:tc>
        <w:tc>
          <w:tcPr>
            <w:tcW w:w="2162" w:type="dxa"/>
            <w:tcBorders>
              <w:top w:val="single" w:sz="6" w:space="0" w:color="auto"/>
              <w:left w:val="nil"/>
              <w:bottom w:val="single" w:sz="6" w:space="0" w:color="auto"/>
              <w:right w:val="single" w:sz="4" w:space="0" w:color="auto"/>
            </w:tcBorders>
            <w:shd w:val="clear" w:color="auto" w:fill="auto"/>
            <w:vAlign w:val="center"/>
          </w:tcPr>
          <w:p w14:paraId="79537D8A" w14:textId="77777777" w:rsidR="00EB094C" w:rsidRPr="0006166A" w:rsidRDefault="00EB094C" w:rsidP="003A24C9">
            <w:pPr>
              <w:pStyle w:val="NoSpacing"/>
              <w:spacing w:line="259" w:lineRule="auto"/>
              <w:jc w:val="center"/>
              <w:rPr>
                <w:b/>
                <w:color w:val="000000" w:themeColor="text1"/>
                <w:sz w:val="20"/>
                <w:szCs w:val="20"/>
              </w:rPr>
            </w:pPr>
            <w:r>
              <w:rPr>
                <w:b/>
                <w:bCs/>
                <w:color w:val="000000" w:themeColor="text1"/>
                <w:sz w:val="20"/>
                <w:szCs w:val="20"/>
              </w:rPr>
              <w:t>436</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13042221" w14:textId="77777777" w:rsidR="00EB094C" w:rsidRPr="0006166A" w:rsidRDefault="00EB094C" w:rsidP="003A24C9">
            <w:pPr>
              <w:pStyle w:val="NoSpacing"/>
              <w:spacing w:line="259" w:lineRule="auto"/>
              <w:jc w:val="center"/>
              <w:rPr>
                <w:b/>
                <w:color w:val="000000" w:themeColor="text1"/>
                <w:sz w:val="20"/>
                <w:szCs w:val="20"/>
              </w:rPr>
            </w:pPr>
            <w:r>
              <w:rPr>
                <w:b/>
                <w:color w:val="000000" w:themeColor="text1"/>
                <w:sz w:val="20"/>
                <w:szCs w:val="20"/>
              </w:rPr>
              <w:t>70</w:t>
            </w:r>
          </w:p>
        </w:tc>
      </w:tr>
      <w:tr w:rsidR="00EB094C" w:rsidRPr="001C3932" w14:paraId="515FA6B1" w14:textId="77777777" w:rsidTr="003A24C9">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680DCD85" w14:textId="77777777" w:rsidR="00EB094C" w:rsidRPr="001C3932" w:rsidRDefault="00EB094C" w:rsidP="003A24C9">
            <w:pPr>
              <w:pStyle w:val="NoSpacing"/>
              <w:spacing w:line="259" w:lineRule="auto"/>
              <w:jc w:val="center"/>
              <w:rPr>
                <w:b/>
                <w:bCs/>
                <w:color w:val="FFFFFF" w:themeColor="background1"/>
                <w:sz w:val="20"/>
                <w:szCs w:val="20"/>
              </w:rPr>
            </w:pPr>
            <w:r w:rsidRPr="001C3932">
              <w:rPr>
                <w:b/>
                <w:bCs/>
                <w:color w:val="FFFFFF" w:themeColor="background1"/>
                <w:sz w:val="20"/>
                <w:szCs w:val="20"/>
              </w:rPr>
              <w:t>Total</w:t>
            </w:r>
          </w:p>
        </w:tc>
        <w:tc>
          <w:tcPr>
            <w:tcW w:w="1736" w:type="dxa"/>
            <w:tcBorders>
              <w:top w:val="single" w:sz="6" w:space="0" w:color="auto"/>
              <w:left w:val="nil"/>
              <w:bottom w:val="single" w:sz="6" w:space="0" w:color="auto"/>
              <w:right w:val="single" w:sz="6" w:space="0" w:color="auto"/>
            </w:tcBorders>
            <w:shd w:val="clear" w:color="auto" w:fill="auto"/>
            <w:vAlign w:val="center"/>
          </w:tcPr>
          <w:p w14:paraId="7492675E"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4,14</w:t>
            </w:r>
            <w:r>
              <w:rPr>
                <w:b/>
                <w:color w:val="000000" w:themeColor="text1"/>
                <w:sz w:val="20"/>
                <w:szCs w:val="20"/>
              </w:rPr>
              <w:t>8</w:t>
            </w:r>
          </w:p>
        </w:tc>
        <w:tc>
          <w:tcPr>
            <w:tcW w:w="2162" w:type="dxa"/>
            <w:tcBorders>
              <w:top w:val="single" w:sz="6" w:space="0" w:color="auto"/>
              <w:left w:val="nil"/>
              <w:bottom w:val="single" w:sz="6" w:space="0" w:color="auto"/>
              <w:right w:val="single" w:sz="6" w:space="0" w:color="auto"/>
            </w:tcBorders>
            <w:shd w:val="clear" w:color="auto" w:fill="auto"/>
            <w:vAlign w:val="center"/>
          </w:tcPr>
          <w:p w14:paraId="2F946B40"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8</w:t>
            </w:r>
            <w:r>
              <w:rPr>
                <w:b/>
                <w:color w:val="000000" w:themeColor="text1"/>
                <w:sz w:val="20"/>
                <w:szCs w:val="20"/>
              </w:rPr>
              <w:t>63</w:t>
            </w:r>
          </w:p>
        </w:tc>
        <w:tc>
          <w:tcPr>
            <w:tcW w:w="2162" w:type="dxa"/>
            <w:tcBorders>
              <w:top w:val="single" w:sz="6" w:space="0" w:color="auto"/>
              <w:left w:val="nil"/>
              <w:bottom w:val="single" w:sz="6" w:space="0" w:color="auto"/>
              <w:right w:val="single" w:sz="4" w:space="0" w:color="auto"/>
            </w:tcBorders>
            <w:shd w:val="clear" w:color="auto" w:fill="auto"/>
            <w:vAlign w:val="center"/>
          </w:tcPr>
          <w:p w14:paraId="6BE33184" w14:textId="77777777" w:rsidR="00EB094C" w:rsidRPr="0006166A" w:rsidRDefault="00EB094C" w:rsidP="003A24C9">
            <w:pPr>
              <w:pStyle w:val="NoSpacing"/>
              <w:spacing w:line="259" w:lineRule="auto"/>
              <w:jc w:val="center"/>
              <w:rPr>
                <w:b/>
                <w:color w:val="000000" w:themeColor="text1"/>
                <w:sz w:val="20"/>
                <w:szCs w:val="20"/>
              </w:rPr>
            </w:pPr>
            <w:r>
              <w:rPr>
                <w:b/>
                <w:bCs/>
                <w:color w:val="000000" w:themeColor="text1"/>
                <w:sz w:val="20"/>
                <w:szCs w:val="20"/>
              </w:rPr>
              <w:t>734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05EF88CC" w14:textId="77777777" w:rsidR="00EB094C" w:rsidRPr="0006166A" w:rsidRDefault="00EB094C" w:rsidP="003A24C9">
            <w:pPr>
              <w:pStyle w:val="NoSpacing"/>
              <w:spacing w:line="259" w:lineRule="auto"/>
              <w:jc w:val="center"/>
              <w:rPr>
                <w:b/>
                <w:color w:val="000000" w:themeColor="text1"/>
                <w:sz w:val="20"/>
                <w:szCs w:val="20"/>
              </w:rPr>
            </w:pPr>
            <w:r w:rsidRPr="21BB3C64">
              <w:rPr>
                <w:b/>
                <w:color w:val="000000" w:themeColor="text1"/>
                <w:sz w:val="20"/>
                <w:szCs w:val="20"/>
              </w:rPr>
              <w:t>1</w:t>
            </w:r>
            <w:r>
              <w:rPr>
                <w:b/>
                <w:color w:val="000000" w:themeColor="text1"/>
                <w:sz w:val="20"/>
                <w:szCs w:val="20"/>
              </w:rPr>
              <w:t>15</w:t>
            </w:r>
          </w:p>
        </w:tc>
      </w:tr>
    </w:tbl>
    <w:p w14:paraId="5D8AB10F" w14:textId="77777777" w:rsidR="00EB094C" w:rsidRPr="00D303D2" w:rsidRDefault="00EB094C" w:rsidP="00EB094C">
      <w:pPr>
        <w:pStyle w:val="NoSpacing"/>
        <w:spacing w:line="259" w:lineRule="auto"/>
      </w:pPr>
    </w:p>
    <w:p w14:paraId="2CB787B5" w14:textId="77777777" w:rsidR="00EB094C" w:rsidRPr="00AF6350" w:rsidRDefault="00EB094C" w:rsidP="00EB094C">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w:t>
      </w:r>
      <w:proofErr w:type="gramStart"/>
      <w:r w:rsidRPr="00AF6350">
        <w:rPr>
          <w:rFonts w:eastAsiaTheme="minorEastAsia"/>
          <w:i/>
          <w:iCs/>
          <w:color w:val="000000" w:themeColor="text1"/>
          <w:sz w:val="20"/>
          <w:szCs w:val="20"/>
        </w:rPr>
        <w:t>criteria</w:t>
      </w:r>
      <w:proofErr w:type="gramEnd"/>
      <w:r w:rsidRPr="00AF6350">
        <w:rPr>
          <w:rFonts w:eastAsiaTheme="minorEastAsia"/>
          <w:i/>
          <w:iCs/>
          <w:color w:val="000000" w:themeColor="text1"/>
          <w:sz w:val="20"/>
          <w:szCs w:val="20"/>
        </w:rPr>
        <w:t xml:space="preserve"> </w:t>
      </w:r>
    </w:p>
    <w:p w14:paraId="17DDFCE1" w14:textId="77777777" w:rsidR="00EB094C" w:rsidRPr="007930A0" w:rsidRDefault="00EB094C" w:rsidP="00EB094C">
      <w:pPr>
        <w:pStyle w:val="NoSpacing"/>
        <w:spacing w:line="259" w:lineRule="auto"/>
        <w:rPr>
          <w:rFonts w:eastAsiaTheme="minorEastAsia"/>
          <w:color w:val="000000" w:themeColor="text1"/>
          <w:sz w:val="20"/>
          <w:szCs w:val="20"/>
        </w:rPr>
      </w:pPr>
    </w:p>
    <w:p w14:paraId="3A3AFA36" w14:textId="77777777" w:rsidR="00EB094C" w:rsidRPr="006C253C" w:rsidRDefault="00EB094C" w:rsidP="00EB094C"/>
    <w:p w14:paraId="039DC57C" w14:textId="77777777" w:rsidR="00EB094C" w:rsidRDefault="00EB094C" w:rsidP="00EB094C">
      <w:pPr>
        <w:pStyle w:val="Heading4"/>
        <w:rPr>
          <w:rFonts w:ascii="Calibri Light" w:hAnsi="Calibri Light" w:cs="Calibri Light"/>
          <w:i w:val="0"/>
          <w:iCs w:val="0"/>
          <w:sz w:val="32"/>
          <w:szCs w:val="32"/>
        </w:rPr>
      </w:pPr>
      <w:bookmarkStart w:id="19" w:name="_Market_movements_with"/>
      <w:bookmarkStart w:id="20" w:name="supply"/>
      <w:bookmarkEnd w:id="19"/>
      <w:r w:rsidRPr="002127A1">
        <w:rPr>
          <w:rFonts w:ascii="Calibri Light" w:hAnsi="Calibri Light" w:cs="Calibri Light"/>
          <w:i w:val="0"/>
          <w:iCs w:val="0"/>
          <w:sz w:val="32"/>
          <w:szCs w:val="32"/>
        </w:rPr>
        <w:t>Market movements with implications for supply</w:t>
      </w:r>
    </w:p>
    <w:bookmarkEnd w:id="20"/>
    <w:p w14:paraId="56ADCDAF" w14:textId="77777777" w:rsidR="00EB094C" w:rsidRDefault="00EB094C" w:rsidP="00EB094C">
      <w:pPr>
        <w:pStyle w:val="NoSpacing"/>
      </w:pPr>
    </w:p>
    <w:p w14:paraId="64B88FC8" w14:textId="77777777" w:rsidR="00EB094C" w:rsidRDefault="00EB094C" w:rsidP="00EB094C">
      <w:pPr>
        <w:pStyle w:val="NoSpacing"/>
        <w:jc w:val="both"/>
      </w:pPr>
      <w:r>
        <w:t xml:space="preserve">The following </w:t>
      </w:r>
      <w:r w:rsidRPr="417D8021">
        <w:rPr>
          <w:b/>
          <w:bCs/>
        </w:rPr>
        <w:t>1</w:t>
      </w:r>
      <w:r>
        <w:rPr>
          <w:b/>
          <w:bCs/>
        </w:rPr>
        <w:t>6</w:t>
      </w:r>
      <w:r w:rsidRPr="417D8021">
        <w:rPr>
          <w:b/>
        </w:rPr>
        <w:t xml:space="preserve"> </w:t>
      </w:r>
      <w:r>
        <w:t>supply disruption alerts and medicine supply notifications (issued by DHSC between 2 September 2021 and 1 November 2021) were published on the PSNC website by the Dispensing &amp; Supply team to assist pharmacy teams:</w:t>
      </w:r>
    </w:p>
    <w:p w14:paraId="1770EA5D" w14:textId="77777777" w:rsidR="00EB094C" w:rsidRPr="00604597" w:rsidRDefault="00EB094C" w:rsidP="00EB094C">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203"/>
      </w:tblGrid>
      <w:tr w:rsidR="00EB094C" w:rsidRPr="00D912FB" w14:paraId="780372D7" w14:textId="77777777" w:rsidTr="003A24C9">
        <w:trPr>
          <w:trHeight w:val="300"/>
          <w:tblHeader/>
        </w:trPr>
        <w:tc>
          <w:tcPr>
            <w:tcW w:w="1410" w:type="dxa"/>
            <w:shd w:val="clear" w:color="auto" w:fill="65922E"/>
            <w:noWrap/>
            <w:vAlign w:val="center"/>
            <w:hideMark/>
          </w:tcPr>
          <w:p w14:paraId="61DBAB2E" w14:textId="77777777" w:rsidR="00EB094C" w:rsidRPr="00333782" w:rsidRDefault="00EB094C" w:rsidP="003A24C9">
            <w:pPr>
              <w:jc w:val="both"/>
              <w:rPr>
                <w:b/>
                <w:color w:val="FFFFFF" w:themeColor="background1"/>
                <w:sz w:val="20"/>
                <w:szCs w:val="20"/>
              </w:rPr>
            </w:pPr>
            <w:r w:rsidRPr="35127EA3">
              <w:rPr>
                <w:b/>
                <w:color w:val="FFFFFF" w:themeColor="background1"/>
                <w:sz w:val="20"/>
                <w:szCs w:val="20"/>
              </w:rPr>
              <w:t>Date</w:t>
            </w:r>
          </w:p>
        </w:tc>
        <w:tc>
          <w:tcPr>
            <w:tcW w:w="9203" w:type="dxa"/>
            <w:shd w:val="clear" w:color="auto" w:fill="65922E"/>
            <w:noWrap/>
            <w:vAlign w:val="center"/>
            <w:hideMark/>
          </w:tcPr>
          <w:p w14:paraId="4342E2CC" w14:textId="77777777" w:rsidR="00EB094C" w:rsidRPr="00333782" w:rsidRDefault="00EB094C" w:rsidP="003A24C9">
            <w:pPr>
              <w:jc w:val="both"/>
              <w:rPr>
                <w:b/>
                <w:color w:val="FFFFFF" w:themeColor="background1"/>
                <w:sz w:val="20"/>
                <w:szCs w:val="20"/>
              </w:rPr>
            </w:pPr>
            <w:r w:rsidRPr="35127EA3">
              <w:rPr>
                <w:b/>
                <w:color w:val="FFFFFF" w:themeColor="background1"/>
                <w:sz w:val="20"/>
                <w:szCs w:val="20"/>
              </w:rPr>
              <w:t>Drug</w:t>
            </w:r>
            <w:r w:rsidRPr="73384604">
              <w:rPr>
                <w:b/>
                <w:bCs/>
                <w:color w:val="FFFFFF" w:themeColor="background1"/>
                <w:sz w:val="20"/>
                <w:szCs w:val="20"/>
              </w:rPr>
              <w:t xml:space="preserve"> name</w:t>
            </w:r>
          </w:p>
        </w:tc>
      </w:tr>
      <w:tr w:rsidR="00EB094C" w:rsidRPr="00D912FB" w14:paraId="712CAD82" w14:textId="77777777" w:rsidTr="003A24C9">
        <w:trPr>
          <w:trHeight w:val="315"/>
        </w:trPr>
        <w:tc>
          <w:tcPr>
            <w:tcW w:w="1410" w:type="dxa"/>
            <w:shd w:val="clear" w:color="auto" w:fill="auto"/>
            <w:noWrap/>
            <w:vAlign w:val="center"/>
          </w:tcPr>
          <w:p w14:paraId="37598DEE"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02/09/21</w:t>
            </w:r>
          </w:p>
        </w:tc>
        <w:tc>
          <w:tcPr>
            <w:tcW w:w="9203" w:type="dxa"/>
            <w:shd w:val="clear" w:color="auto" w:fill="auto"/>
            <w:noWrap/>
            <w:vAlign w:val="center"/>
          </w:tcPr>
          <w:p w14:paraId="01A6A5A0" w14:textId="77777777" w:rsidR="00EB094C" w:rsidRPr="00E32183" w:rsidRDefault="00933807" w:rsidP="003A24C9">
            <w:pPr>
              <w:jc w:val="both"/>
            </w:pPr>
            <w:hyperlink r:id="rId61" w:history="1">
              <w:r w:rsidR="00EB094C" w:rsidRPr="00BE1379">
                <w:rPr>
                  <w:rStyle w:val="Hyperlink"/>
                </w:rPr>
                <w:t>Chloral Hydrate 143.3mg in 5ml oral solution – Update</w:t>
              </w:r>
            </w:hyperlink>
          </w:p>
        </w:tc>
      </w:tr>
      <w:tr w:rsidR="00EB094C" w:rsidRPr="00D912FB" w14:paraId="6AF288E9" w14:textId="77777777" w:rsidTr="003A24C9">
        <w:trPr>
          <w:trHeight w:val="315"/>
        </w:trPr>
        <w:tc>
          <w:tcPr>
            <w:tcW w:w="1410" w:type="dxa"/>
            <w:shd w:val="clear" w:color="auto" w:fill="auto"/>
            <w:noWrap/>
            <w:vAlign w:val="center"/>
          </w:tcPr>
          <w:p w14:paraId="5A0951E2"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02/09/21</w:t>
            </w:r>
          </w:p>
        </w:tc>
        <w:tc>
          <w:tcPr>
            <w:tcW w:w="9203" w:type="dxa"/>
            <w:shd w:val="clear" w:color="auto" w:fill="auto"/>
            <w:noWrap/>
            <w:vAlign w:val="center"/>
          </w:tcPr>
          <w:p w14:paraId="329721A5" w14:textId="77777777" w:rsidR="00EB094C" w:rsidRPr="00E32183" w:rsidRDefault="00933807" w:rsidP="003A24C9">
            <w:pPr>
              <w:jc w:val="both"/>
            </w:pPr>
            <w:hyperlink r:id="rId62" w:history="1">
              <w:proofErr w:type="spellStart"/>
              <w:r w:rsidR="00EB094C" w:rsidRPr="00B17162">
                <w:rPr>
                  <w:rStyle w:val="Hyperlink"/>
                </w:rPr>
                <w:t>Nalcrom</w:t>
              </w:r>
              <w:proofErr w:type="spellEnd"/>
              <w:r w:rsidR="00EB094C" w:rsidRPr="00B17162">
                <w:rPr>
                  <w:rStyle w:val="Hyperlink"/>
                </w:rPr>
                <w:t>® (sodium cromoglicate) 100mg capsules</w:t>
              </w:r>
            </w:hyperlink>
          </w:p>
        </w:tc>
      </w:tr>
      <w:tr w:rsidR="00EB094C" w:rsidRPr="00D912FB" w14:paraId="48944A29" w14:textId="77777777" w:rsidTr="003A24C9">
        <w:trPr>
          <w:trHeight w:val="315"/>
        </w:trPr>
        <w:tc>
          <w:tcPr>
            <w:tcW w:w="1410" w:type="dxa"/>
            <w:shd w:val="clear" w:color="auto" w:fill="auto"/>
            <w:noWrap/>
            <w:vAlign w:val="center"/>
          </w:tcPr>
          <w:p w14:paraId="757B47E8"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06/09/21</w:t>
            </w:r>
          </w:p>
        </w:tc>
        <w:tc>
          <w:tcPr>
            <w:tcW w:w="9203" w:type="dxa"/>
            <w:shd w:val="clear" w:color="auto" w:fill="auto"/>
            <w:noWrap/>
            <w:vAlign w:val="center"/>
          </w:tcPr>
          <w:p w14:paraId="15827377" w14:textId="77777777" w:rsidR="00EB094C" w:rsidRPr="00E32183" w:rsidRDefault="00933807" w:rsidP="003A24C9">
            <w:pPr>
              <w:jc w:val="both"/>
            </w:pPr>
            <w:hyperlink r:id="rId63" w:history="1">
              <w:r w:rsidR="00EB094C" w:rsidRPr="00423382">
                <w:rPr>
                  <w:rStyle w:val="Hyperlink"/>
                </w:rPr>
                <w:t>Xylocaine® 1% (lidocaine) with adrenaline 100micrograms/20ml (1:200,000) solution for injection vials</w:t>
              </w:r>
            </w:hyperlink>
          </w:p>
        </w:tc>
      </w:tr>
      <w:tr w:rsidR="00EB094C" w:rsidRPr="00D912FB" w14:paraId="59780334" w14:textId="77777777" w:rsidTr="003A24C9">
        <w:trPr>
          <w:trHeight w:val="315"/>
        </w:trPr>
        <w:tc>
          <w:tcPr>
            <w:tcW w:w="1410" w:type="dxa"/>
            <w:shd w:val="clear" w:color="auto" w:fill="auto"/>
            <w:noWrap/>
            <w:vAlign w:val="center"/>
          </w:tcPr>
          <w:p w14:paraId="7BEDEDFE"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13/09/21</w:t>
            </w:r>
          </w:p>
        </w:tc>
        <w:tc>
          <w:tcPr>
            <w:tcW w:w="9203" w:type="dxa"/>
            <w:shd w:val="clear" w:color="auto" w:fill="auto"/>
            <w:noWrap/>
            <w:vAlign w:val="center"/>
          </w:tcPr>
          <w:p w14:paraId="71D02713" w14:textId="77777777" w:rsidR="00EB094C" w:rsidRPr="00E32183" w:rsidRDefault="00933807" w:rsidP="003A24C9">
            <w:pPr>
              <w:jc w:val="both"/>
            </w:pPr>
            <w:hyperlink r:id="rId64" w:history="1">
              <w:proofErr w:type="spellStart"/>
              <w:r w:rsidR="00EB094C" w:rsidRPr="007426E3">
                <w:rPr>
                  <w:rStyle w:val="Hyperlink"/>
                </w:rPr>
                <w:t>Dalacin</w:t>
              </w:r>
              <w:proofErr w:type="spellEnd"/>
              <w:r w:rsidR="00EB094C" w:rsidRPr="007426E3">
                <w:rPr>
                  <w:rStyle w:val="Hyperlink"/>
                </w:rPr>
                <w:t>® (clindamycin) 2% vaginal cream – Updated</w:t>
              </w:r>
            </w:hyperlink>
          </w:p>
        </w:tc>
      </w:tr>
      <w:tr w:rsidR="00EB094C" w:rsidRPr="00D912FB" w14:paraId="45AE0FBC" w14:textId="77777777" w:rsidTr="003A24C9">
        <w:trPr>
          <w:trHeight w:val="315"/>
        </w:trPr>
        <w:tc>
          <w:tcPr>
            <w:tcW w:w="1410" w:type="dxa"/>
            <w:shd w:val="clear" w:color="auto" w:fill="auto"/>
            <w:noWrap/>
            <w:vAlign w:val="center"/>
          </w:tcPr>
          <w:p w14:paraId="6C1FD31B"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13/09/21</w:t>
            </w:r>
          </w:p>
        </w:tc>
        <w:tc>
          <w:tcPr>
            <w:tcW w:w="9203" w:type="dxa"/>
            <w:shd w:val="clear" w:color="auto" w:fill="auto"/>
            <w:noWrap/>
            <w:vAlign w:val="center"/>
          </w:tcPr>
          <w:p w14:paraId="1BF29E42" w14:textId="77777777" w:rsidR="00EB094C" w:rsidRPr="00E32183" w:rsidRDefault="00933807" w:rsidP="003A24C9">
            <w:pPr>
              <w:jc w:val="both"/>
            </w:pPr>
            <w:hyperlink r:id="rId65" w:history="1">
              <w:r w:rsidR="00EB094C" w:rsidRPr="00423382">
                <w:rPr>
                  <w:rStyle w:val="Hyperlink"/>
                </w:rPr>
                <w:t>Glipizide (</w:t>
              </w:r>
              <w:proofErr w:type="spellStart"/>
              <w:r w:rsidR="00EB094C" w:rsidRPr="00423382">
                <w:rPr>
                  <w:rStyle w:val="Hyperlink"/>
                </w:rPr>
                <w:t>Minodiab</w:t>
              </w:r>
              <w:proofErr w:type="spellEnd"/>
              <w:proofErr w:type="gramStart"/>
              <w:r w:rsidR="00EB094C" w:rsidRPr="00423382">
                <w:rPr>
                  <w:rStyle w:val="Hyperlink"/>
                </w:rPr>
                <w:t>® )</w:t>
              </w:r>
              <w:proofErr w:type="gramEnd"/>
              <w:r w:rsidR="00EB094C" w:rsidRPr="00423382">
                <w:rPr>
                  <w:rStyle w:val="Hyperlink"/>
                </w:rPr>
                <w:t xml:space="preserve"> 5mg tablets – Updated</w:t>
              </w:r>
            </w:hyperlink>
          </w:p>
        </w:tc>
      </w:tr>
      <w:tr w:rsidR="00EB094C" w:rsidRPr="00D912FB" w14:paraId="1BEE4058" w14:textId="77777777" w:rsidTr="003A24C9">
        <w:trPr>
          <w:trHeight w:val="315"/>
        </w:trPr>
        <w:tc>
          <w:tcPr>
            <w:tcW w:w="1410" w:type="dxa"/>
            <w:shd w:val="clear" w:color="auto" w:fill="auto"/>
            <w:noWrap/>
            <w:vAlign w:val="center"/>
          </w:tcPr>
          <w:p w14:paraId="419E7D42"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13/09/21</w:t>
            </w:r>
          </w:p>
        </w:tc>
        <w:tc>
          <w:tcPr>
            <w:tcW w:w="9203" w:type="dxa"/>
            <w:shd w:val="clear" w:color="auto" w:fill="auto"/>
            <w:noWrap/>
            <w:vAlign w:val="center"/>
          </w:tcPr>
          <w:p w14:paraId="78381E45" w14:textId="77777777" w:rsidR="00EB094C" w:rsidRPr="00E32183" w:rsidRDefault="00933807" w:rsidP="003A24C9">
            <w:pPr>
              <w:jc w:val="both"/>
            </w:pPr>
            <w:hyperlink r:id="rId66" w:history="1">
              <w:r w:rsidR="00EB094C" w:rsidRPr="003C5E6E">
                <w:rPr>
                  <w:rStyle w:val="Hyperlink"/>
                </w:rPr>
                <w:t>Metformin 500mg/5ml oral solution</w:t>
              </w:r>
            </w:hyperlink>
          </w:p>
        </w:tc>
      </w:tr>
      <w:tr w:rsidR="00EB094C" w:rsidRPr="00D912FB" w14:paraId="44CA2E43" w14:textId="77777777" w:rsidTr="003A24C9">
        <w:trPr>
          <w:trHeight w:val="375"/>
        </w:trPr>
        <w:tc>
          <w:tcPr>
            <w:tcW w:w="1410" w:type="dxa"/>
            <w:shd w:val="clear" w:color="auto" w:fill="auto"/>
            <w:noWrap/>
            <w:vAlign w:val="center"/>
          </w:tcPr>
          <w:p w14:paraId="1E272C70"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07/10/21</w:t>
            </w:r>
          </w:p>
        </w:tc>
        <w:tc>
          <w:tcPr>
            <w:tcW w:w="9203" w:type="dxa"/>
            <w:shd w:val="clear" w:color="auto" w:fill="auto"/>
            <w:noWrap/>
            <w:vAlign w:val="center"/>
          </w:tcPr>
          <w:p w14:paraId="5FE08E91" w14:textId="77777777" w:rsidR="00EB094C" w:rsidRPr="00E32183" w:rsidRDefault="00933807" w:rsidP="003A24C9">
            <w:pPr>
              <w:jc w:val="both"/>
            </w:pPr>
            <w:hyperlink r:id="rId67" w:history="1">
              <w:r w:rsidR="00EB094C" w:rsidRPr="00D96349">
                <w:rPr>
                  <w:rStyle w:val="Hyperlink"/>
                </w:rPr>
                <w:t>Metronidazole (</w:t>
              </w:r>
              <w:proofErr w:type="spellStart"/>
              <w:r w:rsidR="00EB094C" w:rsidRPr="00D96349">
                <w:rPr>
                  <w:rStyle w:val="Hyperlink"/>
                </w:rPr>
                <w:t>Acea</w:t>
              </w:r>
              <w:proofErr w:type="spellEnd"/>
              <w:r w:rsidR="00EB094C" w:rsidRPr="00D96349">
                <w:rPr>
                  <w:rStyle w:val="Hyperlink"/>
                </w:rPr>
                <w:t>) 0.75% gel – Update</w:t>
              </w:r>
            </w:hyperlink>
          </w:p>
        </w:tc>
      </w:tr>
      <w:tr w:rsidR="00EB094C" w:rsidRPr="00D912FB" w14:paraId="7F0ADA50" w14:textId="77777777" w:rsidTr="003A24C9">
        <w:trPr>
          <w:trHeight w:val="315"/>
        </w:trPr>
        <w:tc>
          <w:tcPr>
            <w:tcW w:w="1410" w:type="dxa"/>
            <w:shd w:val="clear" w:color="auto" w:fill="auto"/>
            <w:noWrap/>
            <w:vAlign w:val="center"/>
          </w:tcPr>
          <w:p w14:paraId="1B5D9529"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07/10/21</w:t>
            </w:r>
          </w:p>
        </w:tc>
        <w:tc>
          <w:tcPr>
            <w:tcW w:w="9203" w:type="dxa"/>
            <w:shd w:val="clear" w:color="auto" w:fill="auto"/>
            <w:noWrap/>
            <w:vAlign w:val="center"/>
          </w:tcPr>
          <w:p w14:paraId="7030110C" w14:textId="77777777" w:rsidR="00EB094C" w:rsidRPr="00E32183" w:rsidRDefault="00933807" w:rsidP="003A24C9">
            <w:pPr>
              <w:jc w:val="both"/>
            </w:pPr>
            <w:hyperlink r:id="rId68" w:history="1">
              <w:r w:rsidR="00EB094C" w:rsidRPr="00BE2085">
                <w:rPr>
                  <w:rStyle w:val="Hyperlink"/>
                </w:rPr>
                <w:t>Catapres® (clonidine) 100microgram tablets – Updated</w:t>
              </w:r>
            </w:hyperlink>
          </w:p>
        </w:tc>
      </w:tr>
      <w:tr w:rsidR="00EB094C" w:rsidRPr="00D912FB" w14:paraId="534DAA83" w14:textId="77777777" w:rsidTr="003A24C9">
        <w:trPr>
          <w:trHeight w:val="300"/>
        </w:trPr>
        <w:tc>
          <w:tcPr>
            <w:tcW w:w="1410" w:type="dxa"/>
            <w:shd w:val="clear" w:color="auto" w:fill="auto"/>
            <w:noWrap/>
            <w:vAlign w:val="center"/>
          </w:tcPr>
          <w:p w14:paraId="5E663110"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07/10/21</w:t>
            </w:r>
          </w:p>
        </w:tc>
        <w:tc>
          <w:tcPr>
            <w:tcW w:w="9203" w:type="dxa"/>
            <w:shd w:val="clear" w:color="auto" w:fill="auto"/>
            <w:noWrap/>
            <w:vAlign w:val="center"/>
          </w:tcPr>
          <w:p w14:paraId="11751259" w14:textId="77777777" w:rsidR="00EB094C" w:rsidRPr="00E32183" w:rsidRDefault="00933807" w:rsidP="003A24C9">
            <w:pPr>
              <w:jc w:val="both"/>
            </w:pPr>
            <w:hyperlink r:id="rId69" w:history="1">
              <w:proofErr w:type="spellStart"/>
              <w:r w:rsidR="00EB094C" w:rsidRPr="008A5BAC">
                <w:rPr>
                  <w:rStyle w:val="Hyperlink"/>
                </w:rPr>
                <w:t>Mesalazine</w:t>
              </w:r>
              <w:proofErr w:type="spellEnd"/>
              <w:r w:rsidR="00EB094C" w:rsidRPr="008A5BAC">
                <w:rPr>
                  <w:rStyle w:val="Hyperlink"/>
                </w:rPr>
                <w:t xml:space="preserve"> (</w:t>
              </w:r>
              <w:proofErr w:type="spellStart"/>
              <w:r w:rsidR="00EB094C" w:rsidRPr="008A5BAC">
                <w:rPr>
                  <w:rStyle w:val="Hyperlink"/>
                </w:rPr>
                <w:t>Asacol</w:t>
              </w:r>
              <w:proofErr w:type="spellEnd"/>
              <w:r w:rsidR="00EB094C" w:rsidRPr="008A5BAC">
                <w:rPr>
                  <w:rStyle w:val="Hyperlink"/>
                </w:rPr>
                <w:t>) 800mg MR gastro-resistant tablets</w:t>
              </w:r>
            </w:hyperlink>
          </w:p>
        </w:tc>
      </w:tr>
      <w:tr w:rsidR="00EB094C" w:rsidRPr="00D912FB" w14:paraId="011AC416" w14:textId="77777777" w:rsidTr="003A24C9">
        <w:trPr>
          <w:trHeight w:val="315"/>
        </w:trPr>
        <w:tc>
          <w:tcPr>
            <w:tcW w:w="1410" w:type="dxa"/>
            <w:shd w:val="clear" w:color="auto" w:fill="auto"/>
            <w:noWrap/>
            <w:vAlign w:val="center"/>
          </w:tcPr>
          <w:p w14:paraId="659336AF" w14:textId="77777777" w:rsidR="00EB094C" w:rsidRPr="004540B9" w:rsidRDefault="00EB094C" w:rsidP="003A24C9">
            <w:pPr>
              <w:jc w:val="both"/>
              <w:rPr>
                <w:rFonts w:eastAsiaTheme="minorEastAsia"/>
                <w:color w:val="000000" w:themeColor="text1"/>
                <w:sz w:val="20"/>
                <w:szCs w:val="20"/>
              </w:rPr>
            </w:pPr>
            <w:r>
              <w:rPr>
                <w:rFonts w:eastAsiaTheme="minorEastAsia"/>
                <w:color w:val="000000" w:themeColor="text1"/>
                <w:sz w:val="20"/>
                <w:szCs w:val="20"/>
              </w:rPr>
              <w:t>08/10/21</w:t>
            </w:r>
          </w:p>
        </w:tc>
        <w:tc>
          <w:tcPr>
            <w:tcW w:w="9203" w:type="dxa"/>
            <w:shd w:val="clear" w:color="auto" w:fill="auto"/>
            <w:noWrap/>
            <w:vAlign w:val="center"/>
          </w:tcPr>
          <w:p w14:paraId="5BA5C245" w14:textId="77777777" w:rsidR="00EB094C" w:rsidRPr="00E32183" w:rsidRDefault="00933807" w:rsidP="003A24C9">
            <w:pPr>
              <w:jc w:val="both"/>
            </w:pPr>
            <w:hyperlink r:id="rId70" w:history="1">
              <w:proofErr w:type="spellStart"/>
              <w:r w:rsidR="00EB094C" w:rsidRPr="00710DC1">
                <w:rPr>
                  <w:rStyle w:val="Hyperlink"/>
                </w:rPr>
                <w:t>Nalcrom</w:t>
              </w:r>
              <w:proofErr w:type="spellEnd"/>
              <w:r w:rsidR="00EB094C" w:rsidRPr="00710DC1">
                <w:rPr>
                  <w:rStyle w:val="Hyperlink"/>
                </w:rPr>
                <w:t xml:space="preserve"> (sodium cromoglicate) 100mg capsules – Updated</w:t>
              </w:r>
            </w:hyperlink>
          </w:p>
        </w:tc>
      </w:tr>
      <w:tr w:rsidR="00EB094C" w:rsidRPr="00D912FB" w14:paraId="429921E0" w14:textId="77777777" w:rsidTr="003A24C9">
        <w:trPr>
          <w:trHeight w:val="315"/>
        </w:trPr>
        <w:tc>
          <w:tcPr>
            <w:tcW w:w="1410" w:type="dxa"/>
            <w:shd w:val="clear" w:color="auto" w:fill="auto"/>
            <w:noWrap/>
            <w:vAlign w:val="center"/>
          </w:tcPr>
          <w:p w14:paraId="7AE12C7F" w14:textId="77777777" w:rsidR="00EB094C" w:rsidRPr="004540B9" w:rsidRDefault="00EB094C" w:rsidP="003A24C9">
            <w:pPr>
              <w:jc w:val="both"/>
              <w:rPr>
                <w:rFonts w:eastAsiaTheme="minorEastAsia"/>
                <w:color w:val="000000"/>
                <w:sz w:val="20"/>
                <w:szCs w:val="20"/>
              </w:rPr>
            </w:pPr>
            <w:r>
              <w:rPr>
                <w:rFonts w:eastAsiaTheme="minorEastAsia"/>
                <w:color w:val="000000"/>
                <w:sz w:val="20"/>
                <w:szCs w:val="20"/>
              </w:rPr>
              <w:t>28/10/21</w:t>
            </w:r>
          </w:p>
        </w:tc>
        <w:tc>
          <w:tcPr>
            <w:tcW w:w="9203" w:type="dxa"/>
            <w:shd w:val="clear" w:color="auto" w:fill="auto"/>
            <w:noWrap/>
            <w:vAlign w:val="center"/>
          </w:tcPr>
          <w:p w14:paraId="2B75004C" w14:textId="77777777" w:rsidR="00EB094C" w:rsidRPr="00E32183" w:rsidRDefault="00933807" w:rsidP="003A24C9">
            <w:pPr>
              <w:jc w:val="both"/>
            </w:pPr>
            <w:hyperlink r:id="rId71" w:history="1">
              <w:r w:rsidR="00EB094C" w:rsidRPr="00710DC1">
                <w:rPr>
                  <w:rStyle w:val="Hyperlink"/>
                </w:rPr>
                <w:t>Desmopressin (</w:t>
              </w:r>
              <w:proofErr w:type="spellStart"/>
              <w:r w:rsidR="00EB094C" w:rsidRPr="00710DC1">
                <w:rPr>
                  <w:rStyle w:val="Hyperlink"/>
                </w:rPr>
                <w:t>Octim</w:t>
              </w:r>
              <w:proofErr w:type="spellEnd"/>
              <w:r w:rsidR="00EB094C" w:rsidRPr="00710DC1">
                <w:rPr>
                  <w:rStyle w:val="Hyperlink"/>
                </w:rPr>
                <w:t>) 150mcg per actuation nasal spray (Ferring Pharmaceuticals) – Updated</w:t>
              </w:r>
            </w:hyperlink>
          </w:p>
        </w:tc>
      </w:tr>
      <w:tr w:rsidR="00EB094C" w:rsidRPr="00D912FB" w14:paraId="2742FC3B" w14:textId="77777777" w:rsidTr="003A24C9">
        <w:trPr>
          <w:trHeight w:val="315"/>
        </w:trPr>
        <w:tc>
          <w:tcPr>
            <w:tcW w:w="1410" w:type="dxa"/>
            <w:shd w:val="clear" w:color="auto" w:fill="auto"/>
            <w:noWrap/>
            <w:vAlign w:val="center"/>
          </w:tcPr>
          <w:p w14:paraId="07B5660B" w14:textId="77777777" w:rsidR="00EB094C" w:rsidRPr="004540B9" w:rsidRDefault="00EB094C" w:rsidP="003A24C9">
            <w:pPr>
              <w:jc w:val="both"/>
              <w:rPr>
                <w:rFonts w:eastAsiaTheme="minorEastAsia"/>
                <w:color w:val="000000"/>
                <w:sz w:val="20"/>
                <w:szCs w:val="20"/>
              </w:rPr>
            </w:pPr>
            <w:r>
              <w:rPr>
                <w:rFonts w:eastAsiaTheme="minorEastAsia"/>
                <w:color w:val="000000"/>
                <w:sz w:val="20"/>
                <w:szCs w:val="20"/>
              </w:rPr>
              <w:t>28/10/21</w:t>
            </w:r>
          </w:p>
        </w:tc>
        <w:tc>
          <w:tcPr>
            <w:tcW w:w="9203" w:type="dxa"/>
            <w:shd w:val="clear" w:color="auto" w:fill="auto"/>
            <w:noWrap/>
            <w:vAlign w:val="center"/>
          </w:tcPr>
          <w:p w14:paraId="55187B67" w14:textId="77777777" w:rsidR="00EB094C" w:rsidRPr="00E32183" w:rsidRDefault="00933807" w:rsidP="003A24C9">
            <w:pPr>
              <w:jc w:val="both"/>
            </w:pPr>
            <w:hyperlink r:id="rId72" w:history="1">
              <w:proofErr w:type="spellStart"/>
              <w:r w:rsidR="00EB094C" w:rsidRPr="00A608F9">
                <w:rPr>
                  <w:rStyle w:val="Hyperlink"/>
                </w:rPr>
                <w:t>Gentisone</w:t>
              </w:r>
              <w:proofErr w:type="spellEnd"/>
              <w:r w:rsidR="00EB094C" w:rsidRPr="00A608F9">
                <w:rPr>
                  <w:rStyle w:val="Hyperlink"/>
                </w:rPr>
                <w:t xml:space="preserve"> HC® (Gentamicin 0.3% w/v and Hydrocortisone acetate 1% w/v) Ear Drops – Updated</w:t>
              </w:r>
            </w:hyperlink>
          </w:p>
        </w:tc>
      </w:tr>
      <w:tr w:rsidR="00EB094C" w:rsidRPr="00D912FB" w14:paraId="51A23FA3" w14:textId="77777777" w:rsidTr="003A24C9">
        <w:trPr>
          <w:trHeight w:val="315"/>
        </w:trPr>
        <w:tc>
          <w:tcPr>
            <w:tcW w:w="1410" w:type="dxa"/>
            <w:shd w:val="clear" w:color="auto" w:fill="auto"/>
            <w:noWrap/>
            <w:vAlign w:val="center"/>
          </w:tcPr>
          <w:p w14:paraId="4FD326CB" w14:textId="77777777" w:rsidR="00EB094C" w:rsidRPr="004540B9" w:rsidRDefault="00EB094C" w:rsidP="003A24C9">
            <w:pPr>
              <w:jc w:val="both"/>
              <w:rPr>
                <w:rFonts w:eastAsiaTheme="minorEastAsia"/>
                <w:color w:val="000000"/>
                <w:sz w:val="20"/>
                <w:szCs w:val="20"/>
              </w:rPr>
            </w:pPr>
            <w:r>
              <w:rPr>
                <w:rFonts w:eastAsiaTheme="minorEastAsia"/>
                <w:color w:val="000000"/>
                <w:sz w:val="20"/>
                <w:szCs w:val="20"/>
              </w:rPr>
              <w:t>28/10/21</w:t>
            </w:r>
          </w:p>
        </w:tc>
        <w:tc>
          <w:tcPr>
            <w:tcW w:w="9203" w:type="dxa"/>
            <w:shd w:val="clear" w:color="auto" w:fill="auto"/>
            <w:noWrap/>
            <w:vAlign w:val="center"/>
          </w:tcPr>
          <w:p w14:paraId="72841EE6" w14:textId="77777777" w:rsidR="00EB094C" w:rsidRPr="00E32183" w:rsidRDefault="00933807" w:rsidP="003A24C9">
            <w:pPr>
              <w:jc w:val="both"/>
            </w:pPr>
            <w:hyperlink r:id="rId73" w:history="1">
              <w:r w:rsidR="00EB094C" w:rsidRPr="00FD3D44">
                <w:rPr>
                  <w:rStyle w:val="Hyperlink"/>
                </w:rPr>
                <w:t>Latanoprost 50microgram/ml / timolol 5mg/ml (</w:t>
              </w:r>
              <w:proofErr w:type="spellStart"/>
              <w:r w:rsidR="00EB094C" w:rsidRPr="00FD3D44">
                <w:rPr>
                  <w:rStyle w:val="Hyperlink"/>
                </w:rPr>
                <w:t>Fixapost</w:t>
              </w:r>
              <w:proofErr w:type="spellEnd"/>
              <w:r w:rsidR="00EB094C" w:rsidRPr="00FD3D44">
                <w:rPr>
                  <w:rStyle w:val="Hyperlink"/>
                </w:rPr>
                <w:t>) 0.2ml unit dose preservative free eye drops</w:t>
              </w:r>
            </w:hyperlink>
          </w:p>
        </w:tc>
      </w:tr>
      <w:tr w:rsidR="00EB094C" w:rsidRPr="00D912FB" w14:paraId="66EF18C4" w14:textId="77777777" w:rsidTr="003A24C9">
        <w:trPr>
          <w:trHeight w:val="315"/>
        </w:trPr>
        <w:tc>
          <w:tcPr>
            <w:tcW w:w="1410" w:type="dxa"/>
            <w:shd w:val="clear" w:color="auto" w:fill="auto"/>
            <w:noWrap/>
            <w:vAlign w:val="center"/>
          </w:tcPr>
          <w:p w14:paraId="58702136" w14:textId="77777777" w:rsidR="00EB094C" w:rsidRPr="004540B9" w:rsidRDefault="00EB094C" w:rsidP="003A24C9">
            <w:pPr>
              <w:jc w:val="both"/>
              <w:rPr>
                <w:color w:val="000000"/>
                <w:sz w:val="20"/>
                <w:szCs w:val="20"/>
              </w:rPr>
            </w:pPr>
            <w:r>
              <w:rPr>
                <w:rFonts w:eastAsiaTheme="minorEastAsia"/>
                <w:color w:val="000000"/>
                <w:sz w:val="20"/>
                <w:szCs w:val="20"/>
              </w:rPr>
              <w:t>28/10/21</w:t>
            </w:r>
          </w:p>
        </w:tc>
        <w:tc>
          <w:tcPr>
            <w:tcW w:w="9203" w:type="dxa"/>
            <w:shd w:val="clear" w:color="auto" w:fill="auto"/>
            <w:noWrap/>
            <w:vAlign w:val="center"/>
          </w:tcPr>
          <w:p w14:paraId="60B6FC04" w14:textId="77777777" w:rsidR="00EB094C" w:rsidRPr="00E32183" w:rsidRDefault="00933807" w:rsidP="003A24C9">
            <w:pPr>
              <w:jc w:val="both"/>
            </w:pPr>
            <w:hyperlink r:id="rId74" w:history="1">
              <w:r w:rsidR="00EB094C" w:rsidRPr="00FB5C75">
                <w:rPr>
                  <w:rStyle w:val="Hyperlink"/>
                </w:rPr>
                <w:t>DDAVP (Desmopressin) 0.01% w/v (100 micrograms/ml) intranasal solution – Updated</w:t>
              </w:r>
            </w:hyperlink>
          </w:p>
        </w:tc>
      </w:tr>
      <w:tr w:rsidR="00EB094C" w:rsidRPr="00D912FB" w14:paraId="60765514" w14:textId="77777777" w:rsidTr="003A24C9">
        <w:trPr>
          <w:trHeight w:val="315"/>
        </w:trPr>
        <w:tc>
          <w:tcPr>
            <w:tcW w:w="1410" w:type="dxa"/>
            <w:shd w:val="clear" w:color="auto" w:fill="auto"/>
            <w:noWrap/>
            <w:vAlign w:val="center"/>
          </w:tcPr>
          <w:p w14:paraId="7D9605F2" w14:textId="77777777" w:rsidR="00EB094C" w:rsidRPr="004540B9" w:rsidRDefault="00EB094C" w:rsidP="003A24C9">
            <w:pPr>
              <w:jc w:val="both"/>
              <w:rPr>
                <w:color w:val="000000"/>
                <w:sz w:val="20"/>
                <w:szCs w:val="20"/>
              </w:rPr>
            </w:pPr>
            <w:r>
              <w:rPr>
                <w:color w:val="000000"/>
                <w:sz w:val="20"/>
                <w:szCs w:val="20"/>
              </w:rPr>
              <w:t>29/10/21</w:t>
            </w:r>
          </w:p>
        </w:tc>
        <w:tc>
          <w:tcPr>
            <w:tcW w:w="9203" w:type="dxa"/>
            <w:shd w:val="clear" w:color="auto" w:fill="auto"/>
            <w:noWrap/>
            <w:vAlign w:val="center"/>
          </w:tcPr>
          <w:p w14:paraId="7F6F0095" w14:textId="77777777" w:rsidR="00EB094C" w:rsidRPr="00E32183" w:rsidRDefault="00933807" w:rsidP="003A24C9">
            <w:pPr>
              <w:jc w:val="both"/>
            </w:pPr>
            <w:hyperlink r:id="rId75" w:history="1">
              <w:proofErr w:type="spellStart"/>
              <w:r w:rsidR="00EB094C" w:rsidRPr="00FB5C75">
                <w:rPr>
                  <w:rStyle w:val="Hyperlink"/>
                </w:rPr>
                <w:t>Champix</w:t>
              </w:r>
              <w:proofErr w:type="spellEnd"/>
              <w:r w:rsidR="00EB094C" w:rsidRPr="00FB5C75">
                <w:rPr>
                  <w:rStyle w:val="Hyperlink"/>
                </w:rPr>
                <w:t xml:space="preserve"> (Varenicline) 0.5mg and 1mg tablets – Pfizer – Updated</w:t>
              </w:r>
            </w:hyperlink>
          </w:p>
        </w:tc>
      </w:tr>
      <w:tr w:rsidR="00EB094C" w:rsidRPr="00D912FB" w14:paraId="37AFD52E" w14:textId="77777777" w:rsidTr="003A24C9">
        <w:trPr>
          <w:trHeight w:val="315"/>
        </w:trPr>
        <w:tc>
          <w:tcPr>
            <w:tcW w:w="1410" w:type="dxa"/>
            <w:shd w:val="clear" w:color="auto" w:fill="auto"/>
            <w:noWrap/>
            <w:vAlign w:val="center"/>
          </w:tcPr>
          <w:p w14:paraId="36AAD155" w14:textId="77777777" w:rsidR="00EB094C" w:rsidRPr="004540B9" w:rsidRDefault="00EB094C" w:rsidP="003A24C9">
            <w:pPr>
              <w:jc w:val="both"/>
              <w:rPr>
                <w:color w:val="000000"/>
                <w:sz w:val="20"/>
                <w:szCs w:val="20"/>
              </w:rPr>
            </w:pPr>
            <w:r>
              <w:rPr>
                <w:color w:val="000000"/>
                <w:sz w:val="20"/>
                <w:szCs w:val="20"/>
              </w:rPr>
              <w:t>01/11/21</w:t>
            </w:r>
          </w:p>
        </w:tc>
        <w:tc>
          <w:tcPr>
            <w:tcW w:w="9203" w:type="dxa"/>
            <w:shd w:val="clear" w:color="auto" w:fill="auto"/>
            <w:noWrap/>
            <w:vAlign w:val="center"/>
          </w:tcPr>
          <w:p w14:paraId="522D8763" w14:textId="77777777" w:rsidR="00EB094C" w:rsidRPr="00E32183" w:rsidRDefault="00933807" w:rsidP="003A24C9">
            <w:pPr>
              <w:jc w:val="both"/>
            </w:pPr>
            <w:hyperlink r:id="rId76" w:history="1">
              <w:r w:rsidR="00EB094C" w:rsidRPr="002D499D">
                <w:rPr>
                  <w:rStyle w:val="Hyperlink"/>
                </w:rPr>
                <w:t>Acebutolol (</w:t>
              </w:r>
              <w:proofErr w:type="spellStart"/>
              <w:r w:rsidR="00EB094C" w:rsidRPr="002D499D">
                <w:rPr>
                  <w:rStyle w:val="Hyperlink"/>
                </w:rPr>
                <w:t>Sectral</w:t>
              </w:r>
              <w:proofErr w:type="spellEnd"/>
              <w:r w:rsidR="00EB094C" w:rsidRPr="002D499D">
                <w:rPr>
                  <w:rStyle w:val="Hyperlink"/>
                </w:rPr>
                <w:t>) 100mg capsules</w:t>
              </w:r>
            </w:hyperlink>
          </w:p>
        </w:tc>
      </w:tr>
      <w:tr w:rsidR="00EB094C" w:rsidRPr="00D912FB" w14:paraId="5F451912" w14:textId="77777777" w:rsidTr="003A24C9">
        <w:trPr>
          <w:trHeight w:val="315"/>
        </w:trPr>
        <w:tc>
          <w:tcPr>
            <w:tcW w:w="1410" w:type="dxa"/>
            <w:shd w:val="clear" w:color="auto" w:fill="auto"/>
            <w:noWrap/>
            <w:vAlign w:val="center"/>
          </w:tcPr>
          <w:p w14:paraId="6F9214FC" w14:textId="77777777" w:rsidR="00EB094C" w:rsidRPr="004540B9" w:rsidRDefault="00EB094C" w:rsidP="003A24C9">
            <w:pPr>
              <w:jc w:val="both"/>
              <w:rPr>
                <w:color w:val="000000"/>
                <w:sz w:val="20"/>
                <w:szCs w:val="20"/>
              </w:rPr>
            </w:pPr>
            <w:r>
              <w:rPr>
                <w:color w:val="000000"/>
                <w:sz w:val="20"/>
                <w:szCs w:val="20"/>
              </w:rPr>
              <w:lastRenderedPageBreak/>
              <w:t>08/11/21</w:t>
            </w:r>
          </w:p>
        </w:tc>
        <w:tc>
          <w:tcPr>
            <w:tcW w:w="9203" w:type="dxa"/>
            <w:shd w:val="clear" w:color="auto" w:fill="auto"/>
            <w:noWrap/>
            <w:vAlign w:val="center"/>
          </w:tcPr>
          <w:p w14:paraId="523BE821" w14:textId="77777777" w:rsidR="00EB094C" w:rsidRPr="00E32183" w:rsidRDefault="00933807" w:rsidP="003A24C9">
            <w:pPr>
              <w:jc w:val="both"/>
            </w:pPr>
            <w:hyperlink r:id="rId77" w:history="1">
              <w:r w:rsidR="00EB094C" w:rsidRPr="00A84263">
                <w:rPr>
                  <w:rStyle w:val="Hyperlink"/>
                </w:rPr>
                <w:t>DDAVP (Desmopressin) 0.01% w/v (100 micrograms/ml) intranasal solution – Updated</w:t>
              </w:r>
            </w:hyperlink>
          </w:p>
        </w:tc>
      </w:tr>
      <w:tr w:rsidR="00EB094C" w:rsidRPr="00D912FB" w14:paraId="589E2D02" w14:textId="77777777" w:rsidTr="003A24C9">
        <w:trPr>
          <w:trHeight w:val="315"/>
        </w:trPr>
        <w:tc>
          <w:tcPr>
            <w:tcW w:w="1410" w:type="dxa"/>
            <w:shd w:val="clear" w:color="auto" w:fill="auto"/>
            <w:noWrap/>
            <w:vAlign w:val="center"/>
          </w:tcPr>
          <w:p w14:paraId="78DFB4A2" w14:textId="77777777" w:rsidR="00EB094C" w:rsidRPr="004540B9" w:rsidRDefault="00EB094C" w:rsidP="003A24C9">
            <w:pPr>
              <w:jc w:val="both"/>
              <w:rPr>
                <w:color w:val="000000"/>
                <w:sz w:val="20"/>
                <w:szCs w:val="20"/>
              </w:rPr>
            </w:pPr>
            <w:r>
              <w:rPr>
                <w:color w:val="000000"/>
                <w:sz w:val="20"/>
                <w:szCs w:val="20"/>
              </w:rPr>
              <w:t>08/11/21</w:t>
            </w:r>
          </w:p>
        </w:tc>
        <w:tc>
          <w:tcPr>
            <w:tcW w:w="9203" w:type="dxa"/>
            <w:shd w:val="clear" w:color="auto" w:fill="auto"/>
            <w:noWrap/>
            <w:vAlign w:val="center"/>
          </w:tcPr>
          <w:p w14:paraId="392196AD" w14:textId="77777777" w:rsidR="00EB094C" w:rsidRPr="00E32183" w:rsidRDefault="00933807" w:rsidP="003A24C9">
            <w:pPr>
              <w:jc w:val="both"/>
            </w:pPr>
            <w:hyperlink r:id="rId78" w:history="1">
              <w:r w:rsidR="00EB094C" w:rsidRPr="00D6689A">
                <w:rPr>
                  <w:rStyle w:val="Hyperlink"/>
                </w:rPr>
                <w:t>Desmopressin (</w:t>
              </w:r>
              <w:proofErr w:type="spellStart"/>
              <w:r w:rsidR="00EB094C" w:rsidRPr="00D6689A">
                <w:rPr>
                  <w:rStyle w:val="Hyperlink"/>
                </w:rPr>
                <w:t>Octim</w:t>
              </w:r>
              <w:proofErr w:type="spellEnd"/>
              <w:r w:rsidR="00EB094C" w:rsidRPr="00D6689A">
                <w:rPr>
                  <w:rStyle w:val="Hyperlink"/>
                </w:rPr>
                <w:t>) 150mcg per actuation nasal spray (Ferring Pharmaceuticals) – Updated</w:t>
              </w:r>
            </w:hyperlink>
          </w:p>
        </w:tc>
      </w:tr>
      <w:tr w:rsidR="00EB094C" w:rsidRPr="00D912FB" w14:paraId="01CB12F8" w14:textId="77777777" w:rsidTr="003A24C9">
        <w:trPr>
          <w:trHeight w:val="315"/>
        </w:trPr>
        <w:tc>
          <w:tcPr>
            <w:tcW w:w="1410" w:type="dxa"/>
            <w:shd w:val="clear" w:color="auto" w:fill="auto"/>
            <w:noWrap/>
            <w:vAlign w:val="center"/>
          </w:tcPr>
          <w:p w14:paraId="47318E7A" w14:textId="77777777" w:rsidR="00EB094C" w:rsidRPr="004540B9" w:rsidRDefault="00EB094C" w:rsidP="003A24C9">
            <w:pPr>
              <w:jc w:val="both"/>
              <w:rPr>
                <w:color w:val="000000"/>
                <w:sz w:val="20"/>
                <w:szCs w:val="20"/>
              </w:rPr>
            </w:pPr>
            <w:r>
              <w:rPr>
                <w:color w:val="000000"/>
                <w:sz w:val="20"/>
                <w:szCs w:val="20"/>
              </w:rPr>
              <w:t>08/11/21</w:t>
            </w:r>
          </w:p>
        </w:tc>
        <w:tc>
          <w:tcPr>
            <w:tcW w:w="9203" w:type="dxa"/>
            <w:shd w:val="clear" w:color="auto" w:fill="auto"/>
            <w:noWrap/>
            <w:vAlign w:val="center"/>
          </w:tcPr>
          <w:p w14:paraId="5333B59C" w14:textId="77777777" w:rsidR="00EB094C" w:rsidRPr="00E32183" w:rsidRDefault="00933807" w:rsidP="003A24C9">
            <w:pPr>
              <w:jc w:val="both"/>
            </w:pPr>
            <w:hyperlink r:id="rId79" w:history="1">
              <w:r w:rsidR="00EB094C" w:rsidRPr="00E27F80">
                <w:rPr>
                  <w:rStyle w:val="Hyperlink"/>
                </w:rPr>
                <w:t>Clexane® (enoxaparin) pre-filled syringes – Updated</w:t>
              </w:r>
            </w:hyperlink>
          </w:p>
        </w:tc>
      </w:tr>
      <w:tr w:rsidR="00EB094C" w:rsidRPr="00D912FB" w14:paraId="6CE9A3A0" w14:textId="77777777" w:rsidTr="003A24C9">
        <w:trPr>
          <w:trHeight w:val="315"/>
        </w:trPr>
        <w:tc>
          <w:tcPr>
            <w:tcW w:w="1410" w:type="dxa"/>
            <w:shd w:val="clear" w:color="auto" w:fill="auto"/>
            <w:noWrap/>
            <w:vAlign w:val="center"/>
          </w:tcPr>
          <w:p w14:paraId="66A359C8" w14:textId="77777777" w:rsidR="00EB094C" w:rsidRPr="004540B9" w:rsidRDefault="00EB094C" w:rsidP="003A24C9">
            <w:pPr>
              <w:jc w:val="both"/>
              <w:rPr>
                <w:color w:val="000000"/>
                <w:sz w:val="20"/>
                <w:szCs w:val="20"/>
              </w:rPr>
            </w:pPr>
            <w:r>
              <w:rPr>
                <w:color w:val="000000"/>
                <w:sz w:val="20"/>
                <w:szCs w:val="20"/>
              </w:rPr>
              <w:t>08/11/21</w:t>
            </w:r>
          </w:p>
        </w:tc>
        <w:tc>
          <w:tcPr>
            <w:tcW w:w="9203" w:type="dxa"/>
            <w:shd w:val="clear" w:color="auto" w:fill="auto"/>
            <w:noWrap/>
            <w:vAlign w:val="center"/>
          </w:tcPr>
          <w:p w14:paraId="23B83583" w14:textId="77777777" w:rsidR="00EB094C" w:rsidRPr="00E32183" w:rsidRDefault="00933807" w:rsidP="003A24C9">
            <w:pPr>
              <w:jc w:val="both"/>
            </w:pPr>
            <w:hyperlink r:id="rId80" w:history="1">
              <w:r w:rsidR="00EB094C" w:rsidRPr="006A512A">
                <w:rPr>
                  <w:rStyle w:val="Hyperlink"/>
                </w:rPr>
                <w:t>Xylocaine® 1% and 2% (lidocaine) with adrenaline 100micrograms/20ml (1:200,000) solution for injection vials</w:t>
              </w:r>
            </w:hyperlink>
          </w:p>
        </w:tc>
      </w:tr>
    </w:tbl>
    <w:p w14:paraId="5A372470" w14:textId="77777777" w:rsidR="00EB094C" w:rsidRDefault="00EB094C" w:rsidP="00EB094C">
      <w:pPr>
        <w:pStyle w:val="NoSpacing"/>
        <w:jc w:val="both"/>
        <w:rPr>
          <w:rFonts w:ascii="Calibri Light" w:eastAsia="Calibri Light" w:hAnsi="Calibri Light" w:cs="Calibri Light"/>
          <w:b/>
          <w:color w:val="44546A" w:themeColor="text2"/>
        </w:rPr>
      </w:pPr>
    </w:p>
    <w:p w14:paraId="107DCB82" w14:textId="77777777" w:rsidR="00EB094C" w:rsidRPr="008B0778" w:rsidRDefault="00EB094C" w:rsidP="00EB094C">
      <w:pPr>
        <w:pStyle w:val="NoSpacing"/>
        <w:jc w:val="both"/>
        <w:rPr>
          <w:rFonts w:ascii="Calibri Light" w:eastAsia="Calibri Light" w:hAnsi="Calibri Light" w:cs="Calibri Light"/>
          <w:b/>
          <w:color w:val="44546A" w:themeColor="text2"/>
        </w:rPr>
      </w:pPr>
    </w:p>
    <w:p w14:paraId="44F50681" w14:textId="77777777" w:rsidR="00EB094C" w:rsidRDefault="00EB094C" w:rsidP="00EB094C">
      <w:pPr>
        <w:pStyle w:val="Heading4"/>
        <w:rPr>
          <w:rFonts w:ascii="Calibri Light" w:hAnsi="Calibri Light" w:cs="Calibri Light"/>
          <w:i w:val="0"/>
          <w:iCs w:val="0"/>
          <w:sz w:val="32"/>
          <w:szCs w:val="32"/>
        </w:rPr>
      </w:pPr>
      <w:bookmarkStart w:id="21" w:name="_Webinar_on_changes"/>
      <w:bookmarkEnd w:id="21"/>
      <w:r w:rsidRPr="00133F04">
        <w:rPr>
          <w:rFonts w:ascii="Calibri Light" w:hAnsi="Calibri Light" w:cs="Calibri Light"/>
          <w:i w:val="0"/>
          <w:iCs w:val="0"/>
          <w:sz w:val="32"/>
          <w:szCs w:val="32"/>
        </w:rPr>
        <w:t>Webinar on changes to advance payments and submission requirements</w:t>
      </w:r>
    </w:p>
    <w:p w14:paraId="07075942" w14:textId="77777777" w:rsidR="00EB094C" w:rsidRDefault="00EB094C" w:rsidP="00EB094C">
      <w:pPr>
        <w:pStyle w:val="NoSpacing"/>
      </w:pPr>
    </w:p>
    <w:p w14:paraId="3FF7FD03" w14:textId="77777777" w:rsidR="00EB094C" w:rsidRPr="00E04742" w:rsidRDefault="00EB094C" w:rsidP="00EB094C">
      <w:pPr>
        <w:pStyle w:val="NoSpacing"/>
        <w:jc w:val="both"/>
        <w:rPr>
          <w:color w:val="000000" w:themeColor="text1"/>
        </w:rPr>
      </w:pPr>
      <w:r w:rsidRPr="5B712038">
        <w:rPr>
          <w:color w:val="000000" w:themeColor="text1"/>
        </w:rPr>
        <w:t>The Dispensing &amp; Supply team hosted a webinar on 5 October 2021 about the upcoming changes to advance payments and FP34C submission requirements is now available on-demand.</w:t>
      </w:r>
    </w:p>
    <w:p w14:paraId="27B2333C" w14:textId="77777777" w:rsidR="00EB094C" w:rsidRPr="00E04742" w:rsidRDefault="00EB094C" w:rsidP="00EB094C">
      <w:pPr>
        <w:pStyle w:val="NoSpacing"/>
        <w:jc w:val="both"/>
        <w:rPr>
          <w:color w:val="000000" w:themeColor="text1"/>
        </w:rPr>
      </w:pPr>
    </w:p>
    <w:p w14:paraId="7A6441C9" w14:textId="77777777" w:rsidR="00EB094C" w:rsidRPr="00E04742" w:rsidRDefault="00EB094C" w:rsidP="00EB094C">
      <w:pPr>
        <w:pStyle w:val="NoSpacing"/>
        <w:jc w:val="both"/>
        <w:rPr>
          <w:color w:val="000000" w:themeColor="text1"/>
        </w:rPr>
      </w:pPr>
      <w:r w:rsidRPr="00E04742">
        <w:rPr>
          <w:color w:val="000000" w:themeColor="text1"/>
        </w:rPr>
        <w:t>Over 90% of attendees said they would recommend the webinar to others, with almost two-thirds (63%) saying that they found it very useful.</w:t>
      </w:r>
    </w:p>
    <w:p w14:paraId="733CB6AD" w14:textId="77777777" w:rsidR="00EB094C" w:rsidRPr="00E04742" w:rsidRDefault="00EB094C" w:rsidP="00EB094C">
      <w:pPr>
        <w:pStyle w:val="NoSpacing"/>
        <w:rPr>
          <w:color w:val="000000" w:themeColor="text1"/>
        </w:rPr>
      </w:pPr>
    </w:p>
    <w:p w14:paraId="7B38F205" w14:textId="77777777" w:rsidR="00EB094C" w:rsidRPr="00E04742" w:rsidRDefault="00933807" w:rsidP="00EB094C">
      <w:pPr>
        <w:pStyle w:val="NoSpacing"/>
        <w:rPr>
          <w:color w:val="000000" w:themeColor="text1"/>
        </w:rPr>
      </w:pPr>
      <w:hyperlink r:id="rId81">
        <w:r w:rsidR="00EB094C" w:rsidRPr="0DE9A70C">
          <w:rPr>
            <w:rStyle w:val="Hyperlink"/>
          </w:rPr>
          <w:t>Click here to view an on-demand version of the webinar</w:t>
        </w:r>
      </w:hyperlink>
    </w:p>
    <w:p w14:paraId="52A9AEAA" w14:textId="77777777" w:rsidR="00EB094C" w:rsidRDefault="00933807" w:rsidP="00EB094C">
      <w:pPr>
        <w:pStyle w:val="NoSpacing"/>
      </w:pPr>
      <w:hyperlink r:id="rId82">
        <w:r w:rsidR="00EB094C" w:rsidRPr="0DE9A70C">
          <w:rPr>
            <w:rStyle w:val="Hyperlink"/>
          </w:rPr>
          <w:t>Click here for a link to the slide-pack</w:t>
        </w:r>
        <w:r w:rsidR="00EB094C">
          <w:br/>
        </w:r>
        <w:r w:rsidR="00EB094C">
          <w:br/>
        </w:r>
      </w:hyperlink>
    </w:p>
    <w:p w14:paraId="529E8B8B" w14:textId="77777777" w:rsidR="00EB094C" w:rsidRDefault="00EB094C" w:rsidP="00EB094C">
      <w:pPr>
        <w:pStyle w:val="Heading4"/>
        <w:rPr>
          <w:rFonts w:ascii="Calibri Light" w:hAnsi="Calibri Light" w:cs="Calibri Light"/>
          <w:i w:val="0"/>
          <w:iCs w:val="0"/>
          <w:sz w:val="32"/>
          <w:szCs w:val="32"/>
        </w:rPr>
      </w:pPr>
      <w:bookmarkStart w:id="22" w:name="factsheets"/>
      <w:r w:rsidRPr="7AD4B0F4">
        <w:rPr>
          <w:rFonts w:ascii="Calibri Light" w:hAnsi="Calibri Light" w:cs="Calibri Light"/>
          <w:i w:val="0"/>
          <w:iCs w:val="0"/>
          <w:sz w:val="32"/>
          <w:szCs w:val="32"/>
        </w:rPr>
        <w:t>Recent dispensing and supply factsheets</w:t>
      </w:r>
    </w:p>
    <w:bookmarkEnd w:id="22"/>
    <w:p w14:paraId="275C40E5" w14:textId="77777777" w:rsidR="00EB094C" w:rsidRPr="00D303D2" w:rsidRDefault="00EB094C" w:rsidP="00EB094C">
      <w:pPr>
        <w:spacing w:after="200"/>
        <w:jc w:val="both"/>
      </w:pPr>
      <w:r>
        <w:br/>
        <w:t>Below are the factsheets the team has produced in the last 12 months to give value added guidance to pharmacy contractors and teams.</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240"/>
      </w:tblGrid>
      <w:tr w:rsidR="00EB094C" w:rsidRPr="00D568C5" w14:paraId="61151333" w14:textId="77777777" w:rsidTr="003A24C9">
        <w:trPr>
          <w:trHeight w:val="315"/>
          <w:tblHeader/>
        </w:trPr>
        <w:tc>
          <w:tcPr>
            <w:tcW w:w="1180" w:type="dxa"/>
            <w:shd w:val="clear" w:color="auto" w:fill="65922E"/>
            <w:noWrap/>
            <w:vAlign w:val="center"/>
            <w:hideMark/>
          </w:tcPr>
          <w:p w14:paraId="19324C2A" w14:textId="77777777" w:rsidR="00EB094C" w:rsidRPr="002E5EA5" w:rsidRDefault="00EB094C" w:rsidP="003A24C9">
            <w:pPr>
              <w:jc w:val="both"/>
              <w:rPr>
                <w:rFonts w:eastAsia="Times New Roman"/>
                <w:b/>
                <w:color w:val="FFFFFF"/>
                <w:sz w:val="20"/>
                <w:szCs w:val="20"/>
                <w:lang w:eastAsia="en-GB"/>
              </w:rPr>
            </w:pPr>
            <w:r w:rsidRPr="28713B3F">
              <w:rPr>
                <w:rFonts w:eastAsia="Times New Roman"/>
                <w:b/>
                <w:color w:val="FFFFFF" w:themeColor="background1"/>
                <w:sz w:val="20"/>
                <w:szCs w:val="20"/>
                <w:lang w:eastAsia="en-GB"/>
              </w:rPr>
              <w:t>CPN Month</w:t>
            </w:r>
          </w:p>
        </w:tc>
        <w:tc>
          <w:tcPr>
            <w:tcW w:w="8240" w:type="dxa"/>
            <w:shd w:val="clear" w:color="auto" w:fill="65922E"/>
            <w:noWrap/>
            <w:vAlign w:val="center"/>
            <w:hideMark/>
          </w:tcPr>
          <w:p w14:paraId="39A098DC" w14:textId="77777777" w:rsidR="00EB094C" w:rsidRPr="002E5EA5" w:rsidRDefault="00EB094C" w:rsidP="003A24C9">
            <w:pPr>
              <w:jc w:val="both"/>
              <w:rPr>
                <w:rFonts w:eastAsia="Times New Roman"/>
                <w:b/>
                <w:color w:val="FFFFFF"/>
                <w:sz w:val="20"/>
                <w:szCs w:val="20"/>
                <w:lang w:eastAsia="en-GB"/>
              </w:rPr>
            </w:pPr>
            <w:r w:rsidRPr="28713B3F">
              <w:rPr>
                <w:rFonts w:eastAsia="Times New Roman"/>
                <w:b/>
                <w:color w:val="FFFFFF" w:themeColor="background1"/>
                <w:sz w:val="20"/>
                <w:szCs w:val="20"/>
                <w:lang w:eastAsia="en-GB"/>
              </w:rPr>
              <w:t>Factsheet title</w:t>
            </w:r>
          </w:p>
        </w:tc>
      </w:tr>
      <w:tr w:rsidR="00EB094C" w:rsidRPr="00275A98" w14:paraId="7A7F3DF5" w14:textId="77777777" w:rsidTr="003A24C9">
        <w:trPr>
          <w:trHeight w:val="315"/>
        </w:trPr>
        <w:tc>
          <w:tcPr>
            <w:tcW w:w="1180" w:type="dxa"/>
            <w:shd w:val="clear" w:color="auto" w:fill="auto"/>
            <w:noWrap/>
            <w:vAlign w:val="center"/>
          </w:tcPr>
          <w:p w14:paraId="008E7F39" w14:textId="77777777" w:rsidR="00EB094C" w:rsidRPr="00275A98" w:rsidRDefault="00EB094C" w:rsidP="003A24C9">
            <w:pPr>
              <w:jc w:val="both"/>
              <w:rPr>
                <w:rFonts w:eastAsia="Times New Roman"/>
                <w:color w:val="000000" w:themeColor="text1"/>
                <w:sz w:val="20"/>
                <w:szCs w:val="20"/>
                <w:lang w:eastAsia="en-GB"/>
              </w:rPr>
            </w:pPr>
            <w:r>
              <w:rPr>
                <w:rFonts w:eastAsia="Times New Roman"/>
                <w:color w:val="000000" w:themeColor="text1"/>
                <w:sz w:val="20"/>
                <w:szCs w:val="20"/>
                <w:lang w:eastAsia="en-GB"/>
              </w:rPr>
              <w:t>Oct-21</w:t>
            </w:r>
          </w:p>
        </w:tc>
        <w:tc>
          <w:tcPr>
            <w:tcW w:w="8240" w:type="dxa"/>
            <w:shd w:val="clear" w:color="auto" w:fill="auto"/>
            <w:noWrap/>
            <w:vAlign w:val="center"/>
          </w:tcPr>
          <w:p w14:paraId="75B34C33" w14:textId="77777777" w:rsidR="00EB094C" w:rsidRPr="00A3261D" w:rsidRDefault="00933807" w:rsidP="003A24C9">
            <w:pPr>
              <w:jc w:val="both"/>
              <w:rPr>
                <w:rFonts w:eastAsia="Times New Roman"/>
                <w:color w:val="000000" w:themeColor="text1"/>
                <w:sz w:val="20"/>
                <w:szCs w:val="20"/>
                <w:lang w:eastAsia="en-GB"/>
              </w:rPr>
            </w:pPr>
            <w:hyperlink r:id="rId83" w:history="1">
              <w:r w:rsidR="00EB094C" w:rsidRPr="004B0096">
                <w:rPr>
                  <w:rStyle w:val="Hyperlink"/>
                  <w:rFonts w:eastAsia="Times New Roman"/>
                  <w:sz w:val="20"/>
                  <w:szCs w:val="20"/>
                  <w:lang w:eastAsia="en-GB"/>
                </w:rPr>
                <w:t>Guidance on the use of red separators for end of month submission</w:t>
              </w:r>
            </w:hyperlink>
          </w:p>
        </w:tc>
      </w:tr>
      <w:tr w:rsidR="00EB094C" w:rsidRPr="00275A98" w14:paraId="1FB392DC" w14:textId="77777777" w:rsidTr="003A24C9">
        <w:trPr>
          <w:trHeight w:val="315"/>
        </w:trPr>
        <w:tc>
          <w:tcPr>
            <w:tcW w:w="1180" w:type="dxa"/>
            <w:shd w:val="clear" w:color="auto" w:fill="auto"/>
            <w:noWrap/>
            <w:vAlign w:val="center"/>
          </w:tcPr>
          <w:p w14:paraId="7E78C7ED" w14:textId="77777777" w:rsidR="00EB094C" w:rsidRPr="00275A98" w:rsidRDefault="00EB094C" w:rsidP="003A24C9">
            <w:pPr>
              <w:jc w:val="both"/>
              <w:rPr>
                <w:rFonts w:eastAsia="Times New Roman"/>
                <w:color w:val="000000" w:themeColor="text1"/>
                <w:sz w:val="20"/>
                <w:szCs w:val="20"/>
                <w:lang w:eastAsia="en-GB"/>
              </w:rPr>
            </w:pPr>
            <w:r>
              <w:rPr>
                <w:rFonts w:eastAsia="Times New Roman"/>
                <w:color w:val="000000" w:themeColor="text1"/>
                <w:sz w:val="20"/>
                <w:szCs w:val="20"/>
                <w:lang w:eastAsia="en-GB"/>
              </w:rPr>
              <w:t>Oct-21</w:t>
            </w:r>
          </w:p>
        </w:tc>
        <w:tc>
          <w:tcPr>
            <w:tcW w:w="8240" w:type="dxa"/>
            <w:shd w:val="clear" w:color="auto" w:fill="auto"/>
            <w:noWrap/>
            <w:vAlign w:val="center"/>
          </w:tcPr>
          <w:p w14:paraId="7A9ACCE6" w14:textId="77777777" w:rsidR="00EB094C" w:rsidRPr="00A3261D" w:rsidRDefault="00933807" w:rsidP="003A24C9">
            <w:pPr>
              <w:jc w:val="both"/>
              <w:rPr>
                <w:rFonts w:eastAsia="Times New Roman"/>
                <w:color w:val="000000" w:themeColor="text1"/>
                <w:sz w:val="20"/>
                <w:szCs w:val="20"/>
                <w:lang w:eastAsia="en-GB"/>
              </w:rPr>
            </w:pPr>
            <w:hyperlink r:id="rId84" w:history="1">
              <w:r w:rsidR="00EB094C" w:rsidRPr="003541DA">
                <w:rPr>
                  <w:rStyle w:val="Hyperlink"/>
                  <w:sz w:val="20"/>
                  <w:szCs w:val="20"/>
                </w:rPr>
                <w:t>Changes to the paper FP34C submission document (from October 2021)</w:t>
              </w:r>
            </w:hyperlink>
          </w:p>
        </w:tc>
      </w:tr>
      <w:tr w:rsidR="00EB094C" w:rsidRPr="00275A98" w14:paraId="67B755D8" w14:textId="77777777" w:rsidTr="003A24C9">
        <w:trPr>
          <w:trHeight w:val="315"/>
        </w:trPr>
        <w:tc>
          <w:tcPr>
            <w:tcW w:w="1180" w:type="dxa"/>
            <w:shd w:val="clear" w:color="auto" w:fill="auto"/>
            <w:noWrap/>
            <w:vAlign w:val="center"/>
          </w:tcPr>
          <w:p w14:paraId="4715CCC6" w14:textId="77777777" w:rsidR="00EB094C" w:rsidRPr="00275A98" w:rsidRDefault="00EB094C" w:rsidP="003A24C9">
            <w:pPr>
              <w:jc w:val="both"/>
              <w:rPr>
                <w:rFonts w:eastAsia="Times New Roman"/>
                <w:color w:val="000000" w:themeColor="text1"/>
                <w:sz w:val="20"/>
                <w:szCs w:val="20"/>
                <w:lang w:eastAsia="en-GB"/>
              </w:rPr>
            </w:pPr>
            <w:r>
              <w:rPr>
                <w:rFonts w:eastAsia="Times New Roman"/>
                <w:color w:val="000000" w:themeColor="text1"/>
                <w:sz w:val="20"/>
                <w:szCs w:val="20"/>
                <w:lang w:eastAsia="en-GB"/>
              </w:rPr>
              <w:t>Oct-21</w:t>
            </w:r>
          </w:p>
        </w:tc>
        <w:tc>
          <w:tcPr>
            <w:tcW w:w="8240" w:type="dxa"/>
            <w:shd w:val="clear" w:color="auto" w:fill="auto"/>
            <w:noWrap/>
            <w:vAlign w:val="center"/>
          </w:tcPr>
          <w:p w14:paraId="2A5DB361" w14:textId="77777777" w:rsidR="00EB094C" w:rsidRPr="00120BBB" w:rsidRDefault="00933807" w:rsidP="003A24C9">
            <w:pPr>
              <w:jc w:val="both"/>
              <w:rPr>
                <w:rFonts w:eastAsia="Times New Roman"/>
                <w:color w:val="000000" w:themeColor="text1"/>
                <w:sz w:val="20"/>
                <w:szCs w:val="20"/>
                <w:lang w:eastAsia="en-GB"/>
              </w:rPr>
            </w:pPr>
            <w:hyperlink r:id="rId85" w:history="1">
              <w:r w:rsidR="00EB094C" w:rsidRPr="00093E8B">
                <w:rPr>
                  <w:rStyle w:val="Hyperlink"/>
                  <w:sz w:val="20"/>
                  <w:szCs w:val="20"/>
                </w:rPr>
                <w:t>Guidance on changes to prescription sorting and submission requirements</w:t>
              </w:r>
            </w:hyperlink>
          </w:p>
        </w:tc>
      </w:tr>
      <w:tr w:rsidR="00EB094C" w:rsidRPr="00275A98" w14:paraId="0BA15753" w14:textId="77777777" w:rsidTr="003A24C9">
        <w:trPr>
          <w:trHeight w:val="315"/>
        </w:trPr>
        <w:tc>
          <w:tcPr>
            <w:tcW w:w="1180" w:type="dxa"/>
            <w:shd w:val="clear" w:color="auto" w:fill="auto"/>
            <w:noWrap/>
            <w:vAlign w:val="center"/>
          </w:tcPr>
          <w:p w14:paraId="7F6535DA" w14:textId="77777777" w:rsidR="00EB094C" w:rsidRDefault="00EB094C" w:rsidP="003A24C9">
            <w:pPr>
              <w:jc w:val="both"/>
              <w:rPr>
                <w:rFonts w:eastAsia="Times New Roman"/>
                <w:color w:val="000000" w:themeColor="text1"/>
                <w:sz w:val="20"/>
                <w:szCs w:val="20"/>
                <w:lang w:eastAsia="en-GB"/>
              </w:rPr>
            </w:pPr>
            <w:r>
              <w:rPr>
                <w:rFonts w:eastAsia="Times New Roman"/>
                <w:color w:val="000000" w:themeColor="text1"/>
                <w:sz w:val="20"/>
                <w:szCs w:val="20"/>
                <w:lang w:eastAsia="en-GB"/>
              </w:rPr>
              <w:t>July-21</w:t>
            </w:r>
          </w:p>
        </w:tc>
        <w:tc>
          <w:tcPr>
            <w:tcW w:w="8240" w:type="dxa"/>
            <w:shd w:val="clear" w:color="auto" w:fill="auto"/>
            <w:noWrap/>
            <w:vAlign w:val="center"/>
          </w:tcPr>
          <w:p w14:paraId="68CFEC19" w14:textId="77777777" w:rsidR="00EB094C" w:rsidRDefault="00933807" w:rsidP="003A24C9">
            <w:pPr>
              <w:jc w:val="both"/>
            </w:pPr>
            <w:hyperlink r:id="rId86" w:tgtFrame="_blank" w:history="1">
              <w:r w:rsidR="00EB094C" w:rsidRPr="00A3261D">
                <w:rPr>
                  <w:rStyle w:val="Hyperlink"/>
                  <w:rFonts w:eastAsia="Times New Roman"/>
                  <w:sz w:val="20"/>
                  <w:szCs w:val="20"/>
                  <w:lang w:eastAsia="en-GB"/>
                </w:rPr>
                <w:t>FOC items factsheet</w:t>
              </w:r>
            </w:hyperlink>
            <w:r w:rsidR="00EB094C" w:rsidRPr="00A3261D">
              <w:rPr>
                <w:rFonts w:eastAsia="Times New Roman"/>
                <w:color w:val="000000" w:themeColor="text1"/>
                <w:sz w:val="20"/>
                <w:szCs w:val="20"/>
                <w:lang w:eastAsia="en-GB"/>
              </w:rPr>
              <w:t> </w:t>
            </w:r>
          </w:p>
        </w:tc>
      </w:tr>
      <w:tr w:rsidR="00EB094C" w:rsidRPr="00275A98" w14:paraId="12BA4AB3" w14:textId="77777777" w:rsidTr="003A24C9">
        <w:trPr>
          <w:trHeight w:val="315"/>
        </w:trPr>
        <w:tc>
          <w:tcPr>
            <w:tcW w:w="1180" w:type="dxa"/>
            <w:shd w:val="clear" w:color="auto" w:fill="auto"/>
            <w:noWrap/>
            <w:vAlign w:val="center"/>
          </w:tcPr>
          <w:p w14:paraId="479FAF45" w14:textId="77777777" w:rsidR="00EB094C" w:rsidRDefault="00EB094C" w:rsidP="003A24C9">
            <w:pPr>
              <w:jc w:val="both"/>
              <w:rPr>
                <w:rFonts w:eastAsia="Times New Roman"/>
                <w:color w:val="000000" w:themeColor="text1"/>
                <w:sz w:val="20"/>
                <w:szCs w:val="20"/>
                <w:lang w:eastAsia="en-GB"/>
              </w:rPr>
            </w:pPr>
            <w:r>
              <w:rPr>
                <w:rFonts w:eastAsia="Times New Roman"/>
                <w:color w:val="000000" w:themeColor="text1"/>
                <w:sz w:val="20"/>
                <w:szCs w:val="20"/>
                <w:lang w:eastAsia="en-GB"/>
              </w:rPr>
              <w:t>May-21</w:t>
            </w:r>
          </w:p>
        </w:tc>
        <w:tc>
          <w:tcPr>
            <w:tcW w:w="8240" w:type="dxa"/>
            <w:shd w:val="clear" w:color="auto" w:fill="auto"/>
            <w:noWrap/>
            <w:vAlign w:val="center"/>
          </w:tcPr>
          <w:p w14:paraId="5413B2AC" w14:textId="77777777" w:rsidR="00EB094C" w:rsidRDefault="00933807" w:rsidP="003A24C9">
            <w:pPr>
              <w:jc w:val="both"/>
              <w:rPr>
                <w:rFonts w:eastAsia="Times New Roman"/>
                <w:color w:val="000000" w:themeColor="text1"/>
                <w:sz w:val="20"/>
                <w:szCs w:val="20"/>
                <w:lang w:eastAsia="en-GB"/>
              </w:rPr>
            </w:pPr>
            <w:hyperlink r:id="rId87" w:history="1">
              <w:r w:rsidR="00EB094C" w:rsidRPr="00693844">
                <w:rPr>
                  <w:rStyle w:val="Hyperlink"/>
                  <w:rFonts w:eastAsia="Times New Roman"/>
                  <w:sz w:val="20"/>
                  <w:szCs w:val="20"/>
                  <w:lang w:eastAsia="en-GB"/>
                </w:rPr>
                <w:t>Understanding Prescription Returns</w:t>
              </w:r>
            </w:hyperlink>
          </w:p>
        </w:tc>
      </w:tr>
      <w:tr w:rsidR="00EB094C" w:rsidRPr="00275A98" w14:paraId="74C8183B" w14:textId="77777777" w:rsidTr="003A24C9">
        <w:trPr>
          <w:trHeight w:val="315"/>
        </w:trPr>
        <w:tc>
          <w:tcPr>
            <w:tcW w:w="1180" w:type="dxa"/>
            <w:shd w:val="clear" w:color="auto" w:fill="auto"/>
            <w:noWrap/>
            <w:vAlign w:val="center"/>
          </w:tcPr>
          <w:p w14:paraId="0FD0832E" w14:textId="77777777" w:rsidR="00EB094C" w:rsidRPr="28713B3F" w:rsidRDefault="00EB094C" w:rsidP="003A24C9">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Apr-21</w:t>
            </w:r>
          </w:p>
        </w:tc>
        <w:tc>
          <w:tcPr>
            <w:tcW w:w="8240" w:type="dxa"/>
            <w:shd w:val="clear" w:color="auto" w:fill="auto"/>
            <w:noWrap/>
            <w:vAlign w:val="center"/>
          </w:tcPr>
          <w:p w14:paraId="4D45407F" w14:textId="77777777" w:rsidR="00EB094C" w:rsidRDefault="00933807" w:rsidP="003A24C9">
            <w:pPr>
              <w:jc w:val="both"/>
            </w:pPr>
            <w:hyperlink r:id="rId88" w:history="1">
              <w:r w:rsidR="00EB094C" w:rsidRPr="005323CF">
                <w:rPr>
                  <w:rStyle w:val="Hyperlink"/>
                  <w:rFonts w:eastAsia="Times New Roman"/>
                  <w:sz w:val="20"/>
                  <w:szCs w:val="20"/>
                  <w:lang w:eastAsia="en-GB"/>
                </w:rPr>
                <w:t>Multi-Charge Items</w:t>
              </w:r>
            </w:hyperlink>
            <w:r w:rsidR="00EB094C">
              <w:rPr>
                <w:rFonts w:eastAsia="Times New Roman"/>
                <w:color w:val="000000" w:themeColor="text1"/>
                <w:sz w:val="20"/>
                <w:szCs w:val="20"/>
                <w:lang w:eastAsia="en-GB"/>
              </w:rPr>
              <w:t xml:space="preserve"> and </w:t>
            </w:r>
            <w:hyperlink r:id="rId89" w:history="1">
              <w:r w:rsidR="00EB094C" w:rsidRPr="002A674B">
                <w:rPr>
                  <w:rStyle w:val="Hyperlink"/>
                  <w:rFonts w:eastAsia="Times New Roman"/>
                  <w:sz w:val="20"/>
                  <w:szCs w:val="20"/>
                  <w:lang w:eastAsia="en-GB"/>
                </w:rPr>
                <w:t>How to access your Prescription Item Reports</w:t>
              </w:r>
            </w:hyperlink>
          </w:p>
        </w:tc>
      </w:tr>
      <w:tr w:rsidR="00EB094C" w:rsidRPr="00275A98" w14:paraId="04EE7B21" w14:textId="77777777" w:rsidTr="003A24C9">
        <w:trPr>
          <w:trHeight w:val="315"/>
        </w:trPr>
        <w:tc>
          <w:tcPr>
            <w:tcW w:w="1180" w:type="dxa"/>
            <w:shd w:val="clear" w:color="auto" w:fill="auto"/>
            <w:noWrap/>
            <w:vAlign w:val="center"/>
          </w:tcPr>
          <w:p w14:paraId="3B56964E" w14:textId="77777777" w:rsidR="00EB094C" w:rsidRPr="00275A98" w:rsidRDefault="00EB094C" w:rsidP="003A24C9">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Mar-21</w:t>
            </w:r>
          </w:p>
        </w:tc>
        <w:tc>
          <w:tcPr>
            <w:tcW w:w="8240" w:type="dxa"/>
            <w:shd w:val="clear" w:color="auto" w:fill="auto"/>
            <w:noWrap/>
            <w:vAlign w:val="center"/>
          </w:tcPr>
          <w:p w14:paraId="03D10661" w14:textId="77777777" w:rsidR="00EB094C" w:rsidRPr="00275A98" w:rsidRDefault="00933807" w:rsidP="003A24C9">
            <w:pPr>
              <w:jc w:val="both"/>
              <w:rPr>
                <w:rFonts w:eastAsia="Times New Roman"/>
                <w:color w:val="000000" w:themeColor="text1"/>
                <w:sz w:val="20"/>
                <w:szCs w:val="20"/>
                <w:lang w:eastAsia="en-GB"/>
              </w:rPr>
            </w:pPr>
            <w:hyperlink r:id="rId90" w:history="1">
              <w:r w:rsidR="00EB094C" w:rsidRPr="6B8E8425">
                <w:rPr>
                  <w:rStyle w:val="Hyperlink"/>
                  <w:rFonts w:eastAsia="Times New Roman"/>
                  <w:sz w:val="20"/>
                  <w:szCs w:val="20"/>
                  <w:lang w:eastAsia="en-GB"/>
                </w:rPr>
                <w:t>Expensive Items</w:t>
              </w:r>
            </w:hyperlink>
          </w:p>
        </w:tc>
      </w:tr>
      <w:tr w:rsidR="00EB094C" w:rsidRPr="00275A98" w14:paraId="0D51E595" w14:textId="77777777" w:rsidTr="003A24C9">
        <w:trPr>
          <w:trHeight w:val="315"/>
        </w:trPr>
        <w:tc>
          <w:tcPr>
            <w:tcW w:w="1180" w:type="dxa"/>
            <w:shd w:val="clear" w:color="auto" w:fill="auto"/>
            <w:noWrap/>
            <w:vAlign w:val="center"/>
          </w:tcPr>
          <w:p w14:paraId="4BF643D4" w14:textId="77777777" w:rsidR="00EB094C" w:rsidRPr="00275A98" w:rsidRDefault="00EB094C" w:rsidP="003A24C9">
            <w:pPr>
              <w:jc w:val="both"/>
              <w:rPr>
                <w:rFonts w:eastAsia="Times New Roman"/>
                <w:color w:val="000000" w:themeColor="text1"/>
                <w:sz w:val="20"/>
                <w:szCs w:val="20"/>
                <w:lang w:eastAsia="en-GB"/>
              </w:rPr>
            </w:pPr>
            <w:r w:rsidRPr="28713B3F">
              <w:rPr>
                <w:rFonts w:eastAsia="Times New Roman"/>
                <w:color w:val="000000" w:themeColor="text1"/>
                <w:sz w:val="20"/>
                <w:szCs w:val="20"/>
                <w:lang w:eastAsia="en-GB"/>
              </w:rPr>
              <w:t>Feb-21</w:t>
            </w:r>
          </w:p>
        </w:tc>
        <w:tc>
          <w:tcPr>
            <w:tcW w:w="8240" w:type="dxa"/>
            <w:shd w:val="clear" w:color="auto" w:fill="auto"/>
            <w:noWrap/>
            <w:vAlign w:val="center"/>
          </w:tcPr>
          <w:p w14:paraId="4195079D" w14:textId="77777777" w:rsidR="00EB094C" w:rsidRPr="00275A98" w:rsidRDefault="00933807" w:rsidP="003A24C9">
            <w:pPr>
              <w:jc w:val="both"/>
              <w:rPr>
                <w:rFonts w:eastAsia="Times New Roman"/>
                <w:color w:val="000000" w:themeColor="text1"/>
                <w:sz w:val="20"/>
                <w:szCs w:val="20"/>
                <w:lang w:eastAsia="en-GB"/>
              </w:rPr>
            </w:pPr>
            <w:hyperlink r:id="rId91" w:history="1">
              <w:r w:rsidR="00EB094C" w:rsidRPr="28713B3F">
                <w:rPr>
                  <w:rStyle w:val="Hyperlink"/>
                  <w:rFonts w:eastAsia="Times New Roman"/>
                  <w:sz w:val="20"/>
                  <w:szCs w:val="20"/>
                  <w:lang w:eastAsia="en-GB"/>
                </w:rPr>
                <w:t>Dispensing prescriptions for Controlled Drugs</w:t>
              </w:r>
            </w:hyperlink>
          </w:p>
        </w:tc>
      </w:tr>
      <w:tr w:rsidR="00EB094C" w:rsidRPr="00D568C5" w14:paraId="6DA385F1" w14:textId="77777777" w:rsidTr="003A24C9">
        <w:trPr>
          <w:trHeight w:val="315"/>
        </w:trPr>
        <w:tc>
          <w:tcPr>
            <w:tcW w:w="1180" w:type="dxa"/>
            <w:shd w:val="clear" w:color="auto" w:fill="auto"/>
            <w:noWrap/>
            <w:vAlign w:val="center"/>
          </w:tcPr>
          <w:p w14:paraId="19E14CEA" w14:textId="77777777" w:rsidR="00EB094C" w:rsidRPr="0C77C136" w:rsidRDefault="00EB094C" w:rsidP="003A24C9">
            <w:pPr>
              <w:jc w:val="both"/>
              <w:rPr>
                <w:rFonts w:eastAsiaTheme="minorEastAsia"/>
                <w:color w:val="000000" w:themeColor="text1"/>
                <w:sz w:val="20"/>
                <w:szCs w:val="20"/>
                <w:lang w:eastAsia="en-GB"/>
              </w:rPr>
            </w:pPr>
            <w:r>
              <w:rPr>
                <w:rFonts w:eastAsiaTheme="minorEastAsia"/>
                <w:color w:val="000000" w:themeColor="text1"/>
                <w:sz w:val="20"/>
                <w:szCs w:val="20"/>
                <w:lang w:eastAsia="en-GB"/>
              </w:rPr>
              <w:t>Jan-</w:t>
            </w:r>
            <w:r w:rsidRPr="10A60352">
              <w:rPr>
                <w:rFonts w:eastAsiaTheme="minorEastAsia"/>
                <w:color w:val="000000" w:themeColor="text1"/>
                <w:sz w:val="20"/>
                <w:szCs w:val="20"/>
                <w:lang w:eastAsia="en-GB"/>
              </w:rPr>
              <w:t>21</w:t>
            </w:r>
          </w:p>
        </w:tc>
        <w:tc>
          <w:tcPr>
            <w:tcW w:w="8240" w:type="dxa"/>
            <w:shd w:val="clear" w:color="auto" w:fill="auto"/>
            <w:noWrap/>
            <w:vAlign w:val="center"/>
          </w:tcPr>
          <w:p w14:paraId="735060EE" w14:textId="77777777" w:rsidR="00EB094C" w:rsidRPr="00C90797" w:rsidRDefault="00933807" w:rsidP="003A24C9">
            <w:pPr>
              <w:jc w:val="both"/>
              <w:rPr>
                <w:rStyle w:val="normaltextrun"/>
                <w:color w:val="000000"/>
                <w:sz w:val="20"/>
                <w:szCs w:val="20"/>
                <w:shd w:val="clear" w:color="auto" w:fill="FFFFFF"/>
              </w:rPr>
            </w:pPr>
            <w:hyperlink r:id="rId92" w:history="1">
              <w:r w:rsidR="00EB094C" w:rsidRPr="00BA140E">
                <w:rPr>
                  <w:rStyle w:val="Hyperlink"/>
                  <w:sz w:val="20"/>
                  <w:szCs w:val="20"/>
                  <w:shd w:val="clear" w:color="auto" w:fill="FFFFFF"/>
                </w:rPr>
                <w:t>Disallowed items</w:t>
              </w:r>
            </w:hyperlink>
          </w:p>
        </w:tc>
      </w:tr>
      <w:tr w:rsidR="00EB094C" w:rsidRPr="00D568C5" w14:paraId="310CE405" w14:textId="77777777" w:rsidTr="003A24C9">
        <w:trPr>
          <w:trHeight w:val="315"/>
        </w:trPr>
        <w:tc>
          <w:tcPr>
            <w:tcW w:w="1180" w:type="dxa"/>
            <w:shd w:val="clear" w:color="auto" w:fill="auto"/>
            <w:noWrap/>
            <w:vAlign w:val="center"/>
          </w:tcPr>
          <w:p w14:paraId="35565594" w14:textId="77777777" w:rsidR="00EB094C" w:rsidRPr="0C77C136" w:rsidRDefault="00EB094C" w:rsidP="003A24C9">
            <w:pPr>
              <w:jc w:val="both"/>
              <w:rPr>
                <w:rFonts w:eastAsiaTheme="minorEastAsia"/>
                <w:color w:val="000000" w:themeColor="text1"/>
                <w:sz w:val="20"/>
                <w:szCs w:val="20"/>
                <w:lang w:eastAsia="en-GB"/>
              </w:rPr>
            </w:pPr>
            <w:r>
              <w:rPr>
                <w:rFonts w:eastAsiaTheme="minorEastAsia"/>
                <w:color w:val="000000" w:themeColor="text1"/>
                <w:sz w:val="20"/>
                <w:szCs w:val="20"/>
                <w:lang w:eastAsia="en-GB"/>
              </w:rPr>
              <w:t>Dec-20</w:t>
            </w:r>
          </w:p>
        </w:tc>
        <w:tc>
          <w:tcPr>
            <w:tcW w:w="8240" w:type="dxa"/>
            <w:shd w:val="clear" w:color="auto" w:fill="auto"/>
            <w:noWrap/>
            <w:vAlign w:val="center"/>
          </w:tcPr>
          <w:p w14:paraId="4C1DDF50" w14:textId="77777777" w:rsidR="00EB094C" w:rsidRPr="00C90797" w:rsidRDefault="00933807" w:rsidP="003A24C9">
            <w:pPr>
              <w:jc w:val="both"/>
              <w:rPr>
                <w:rStyle w:val="normaltextrun"/>
                <w:color w:val="000000"/>
                <w:sz w:val="20"/>
                <w:szCs w:val="20"/>
                <w:shd w:val="clear" w:color="auto" w:fill="FFFFFF"/>
              </w:rPr>
            </w:pPr>
            <w:hyperlink r:id="rId93" w:history="1">
              <w:r w:rsidR="00EB094C" w:rsidRPr="00416462">
                <w:rPr>
                  <w:rStyle w:val="Hyperlink"/>
                  <w:sz w:val="20"/>
                  <w:szCs w:val="20"/>
                  <w:shd w:val="clear" w:color="auto" w:fill="FFFFFF"/>
                </w:rPr>
                <w:t>Is this item allowed</w:t>
              </w:r>
            </w:hyperlink>
          </w:p>
        </w:tc>
      </w:tr>
      <w:tr w:rsidR="00EB094C" w:rsidRPr="00D568C5" w14:paraId="004D407D" w14:textId="77777777" w:rsidTr="003A24C9">
        <w:trPr>
          <w:trHeight w:val="315"/>
        </w:trPr>
        <w:tc>
          <w:tcPr>
            <w:tcW w:w="1180" w:type="dxa"/>
            <w:shd w:val="clear" w:color="auto" w:fill="auto"/>
            <w:noWrap/>
            <w:vAlign w:val="center"/>
          </w:tcPr>
          <w:p w14:paraId="56945321" w14:textId="77777777" w:rsidR="00EB094C" w:rsidRPr="00D568C5" w:rsidRDefault="00EB094C" w:rsidP="003A24C9">
            <w:pPr>
              <w:jc w:val="both"/>
              <w:rPr>
                <w:rFonts w:eastAsiaTheme="minorEastAsia"/>
                <w:color w:val="000000"/>
                <w:sz w:val="20"/>
                <w:szCs w:val="20"/>
                <w:lang w:eastAsia="en-GB"/>
              </w:rPr>
            </w:pPr>
            <w:r w:rsidRPr="0C77C136">
              <w:rPr>
                <w:rFonts w:eastAsiaTheme="minorEastAsia"/>
                <w:color w:val="000000" w:themeColor="text1"/>
                <w:sz w:val="20"/>
                <w:szCs w:val="20"/>
                <w:lang w:eastAsia="en-GB"/>
              </w:rPr>
              <w:t>Nov-20</w:t>
            </w:r>
          </w:p>
        </w:tc>
        <w:tc>
          <w:tcPr>
            <w:tcW w:w="8240" w:type="dxa"/>
            <w:shd w:val="clear" w:color="auto" w:fill="auto"/>
            <w:noWrap/>
            <w:vAlign w:val="center"/>
          </w:tcPr>
          <w:p w14:paraId="1346057D" w14:textId="77777777" w:rsidR="00EB094C" w:rsidRPr="00D568C5" w:rsidRDefault="00933807" w:rsidP="003A24C9">
            <w:pPr>
              <w:jc w:val="both"/>
              <w:rPr>
                <w:rFonts w:eastAsiaTheme="minorEastAsia"/>
                <w:color w:val="000000" w:themeColor="text1"/>
                <w:sz w:val="20"/>
                <w:szCs w:val="20"/>
                <w:lang w:eastAsia="en-GB"/>
              </w:rPr>
            </w:pPr>
            <w:hyperlink r:id="rId94" w:history="1">
              <w:r w:rsidR="00EB094C" w:rsidRPr="00E855C1">
                <w:rPr>
                  <w:rStyle w:val="Hyperlink"/>
                  <w:sz w:val="20"/>
                  <w:szCs w:val="20"/>
                  <w:shd w:val="clear" w:color="auto" w:fill="FFFFFF"/>
                </w:rPr>
                <w:t>Dispensing and submission guidance following the suspension of patient signatures on prescriptions</w:t>
              </w:r>
            </w:hyperlink>
          </w:p>
        </w:tc>
      </w:tr>
    </w:tbl>
    <w:p w14:paraId="2EAFB81A" w14:textId="77777777" w:rsidR="00EB094C" w:rsidRPr="00907E6A" w:rsidRDefault="00EB094C" w:rsidP="00EB094C">
      <w:pPr>
        <w:jc w:val="both"/>
        <w:rPr>
          <w:b/>
        </w:rPr>
      </w:pPr>
    </w:p>
    <w:p w14:paraId="6CCDD760" w14:textId="3954A2D9" w:rsidR="00EB094C" w:rsidRDefault="00EB094C">
      <w:pPr>
        <w:rPr>
          <w:rFonts w:ascii="Calibri" w:eastAsia="Times New Roman" w:hAnsi="Calibri" w:cs="Calibri"/>
          <w:color w:val="5B518F"/>
          <w:lang w:eastAsia="en-GB"/>
        </w:rPr>
      </w:pPr>
      <w:r>
        <w:rPr>
          <w:rFonts w:ascii="Calibri" w:eastAsia="Times New Roman" w:hAnsi="Calibri" w:cs="Calibri"/>
          <w:color w:val="5B518F"/>
          <w:lang w:eastAsia="en-GB"/>
        </w:rPr>
        <w:br w:type="page"/>
      </w:r>
    </w:p>
    <w:p w14:paraId="7EF82C14" w14:textId="58804116" w:rsidR="00EB094C" w:rsidRDefault="00EB094C" w:rsidP="00EB094C">
      <w:pPr>
        <w:jc w:val="right"/>
        <w:rPr>
          <w:rFonts w:ascii="Calibri" w:eastAsia="Times New Roman" w:hAnsi="Calibri" w:cs="Calibri"/>
          <w:color w:val="5B518F"/>
          <w:lang w:eastAsia="en-GB"/>
        </w:rPr>
      </w:pPr>
      <w:r>
        <w:rPr>
          <w:rFonts w:ascii="Calibri" w:eastAsia="Times New Roman" w:hAnsi="Calibri" w:cs="Calibri"/>
          <w:color w:val="5B518F"/>
          <w:lang w:eastAsia="en-GB"/>
        </w:rPr>
        <w:lastRenderedPageBreak/>
        <w:t>Appendix FCS 13/11/21</w:t>
      </w:r>
    </w:p>
    <w:p w14:paraId="02343D8E" w14:textId="77777777" w:rsidR="00EB094C" w:rsidRDefault="00EB094C" w:rsidP="00EB094C">
      <w:pPr>
        <w:ind w:left="5940" w:right="689"/>
        <w:jc w:val="right"/>
        <w:rPr>
          <w:b/>
          <w:bCs/>
          <w:color w:val="5B518E"/>
        </w:rPr>
      </w:pPr>
    </w:p>
    <w:tbl>
      <w:tblPr>
        <w:tblW w:w="8595"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855"/>
        <w:gridCol w:w="4740"/>
      </w:tblGrid>
      <w:tr w:rsidR="00EB094C" w:rsidRPr="00907E6A" w14:paraId="2131DA32" w14:textId="77777777" w:rsidTr="003A24C9">
        <w:trPr>
          <w:trHeight w:val="805"/>
        </w:trPr>
        <w:tc>
          <w:tcPr>
            <w:tcW w:w="3855" w:type="dxa"/>
          </w:tcPr>
          <w:p w14:paraId="292A160D" w14:textId="77777777" w:rsidR="00EB094C" w:rsidRPr="00907E6A" w:rsidRDefault="00EB094C" w:rsidP="003A24C9">
            <w:pPr>
              <w:pStyle w:val="TableParagraph"/>
              <w:spacing w:before="11"/>
              <w:jc w:val="both"/>
              <w:rPr>
                <w:b/>
              </w:rPr>
            </w:pPr>
          </w:p>
          <w:p w14:paraId="4E9CC3AC" w14:textId="77777777" w:rsidR="00EB094C" w:rsidRPr="00907E6A" w:rsidRDefault="00EB094C" w:rsidP="003A24C9">
            <w:pPr>
              <w:pStyle w:val="TableParagraph"/>
              <w:ind w:left="107"/>
              <w:jc w:val="both"/>
            </w:pPr>
            <w:r w:rsidRPr="00907E6A">
              <w:t>Subject</w:t>
            </w:r>
          </w:p>
        </w:tc>
        <w:tc>
          <w:tcPr>
            <w:tcW w:w="4740" w:type="dxa"/>
          </w:tcPr>
          <w:p w14:paraId="6F0B6AE2" w14:textId="77777777" w:rsidR="00EB094C" w:rsidRPr="00907E6A" w:rsidRDefault="00EB094C" w:rsidP="003A24C9">
            <w:pPr>
              <w:pStyle w:val="TableParagraph"/>
              <w:spacing w:before="11"/>
              <w:jc w:val="both"/>
              <w:rPr>
                <w:b/>
              </w:rPr>
            </w:pPr>
          </w:p>
          <w:p w14:paraId="2410524B" w14:textId="77777777" w:rsidR="00EB094C" w:rsidRPr="00907E6A" w:rsidRDefault="00EB094C" w:rsidP="003A24C9">
            <w:pPr>
              <w:pStyle w:val="TableParagraph"/>
              <w:ind w:left="107"/>
              <w:jc w:val="both"/>
            </w:pPr>
            <w:r>
              <w:t>Services dashboards</w:t>
            </w:r>
          </w:p>
        </w:tc>
      </w:tr>
      <w:tr w:rsidR="00EB094C" w:rsidRPr="00907E6A" w14:paraId="480972FB" w14:textId="77777777" w:rsidTr="003A24C9">
        <w:trPr>
          <w:trHeight w:val="806"/>
        </w:trPr>
        <w:tc>
          <w:tcPr>
            <w:tcW w:w="3855" w:type="dxa"/>
          </w:tcPr>
          <w:p w14:paraId="108C6691" w14:textId="77777777" w:rsidR="00EB094C" w:rsidRPr="00907E6A" w:rsidRDefault="00EB094C" w:rsidP="003A24C9">
            <w:pPr>
              <w:pStyle w:val="TableParagraph"/>
              <w:spacing w:before="11"/>
              <w:jc w:val="both"/>
              <w:rPr>
                <w:b/>
              </w:rPr>
            </w:pPr>
          </w:p>
          <w:p w14:paraId="75477734" w14:textId="77777777" w:rsidR="00EB094C" w:rsidRPr="00907E6A" w:rsidRDefault="00EB094C" w:rsidP="003A24C9">
            <w:pPr>
              <w:pStyle w:val="TableParagraph"/>
              <w:ind w:left="107"/>
              <w:jc w:val="both"/>
            </w:pPr>
            <w:r w:rsidRPr="00907E6A">
              <w:t>Date of meeting</w:t>
            </w:r>
          </w:p>
        </w:tc>
        <w:tc>
          <w:tcPr>
            <w:tcW w:w="4740" w:type="dxa"/>
          </w:tcPr>
          <w:p w14:paraId="51B4FE60" w14:textId="77777777" w:rsidR="00EB094C" w:rsidRPr="00907E6A" w:rsidRDefault="00EB094C" w:rsidP="003A24C9">
            <w:pPr>
              <w:pStyle w:val="TableParagraph"/>
              <w:spacing w:before="11"/>
              <w:jc w:val="both"/>
              <w:rPr>
                <w:b/>
              </w:rPr>
            </w:pPr>
          </w:p>
          <w:p w14:paraId="278F85B7" w14:textId="77777777" w:rsidR="00EB094C" w:rsidRPr="00907E6A" w:rsidRDefault="00EB094C" w:rsidP="003A24C9">
            <w:pPr>
              <w:pStyle w:val="TableParagraph"/>
              <w:ind w:left="107"/>
              <w:jc w:val="both"/>
            </w:pPr>
            <w:r>
              <w:t>November 2021</w:t>
            </w:r>
          </w:p>
        </w:tc>
      </w:tr>
      <w:tr w:rsidR="00EB094C" w:rsidRPr="00907E6A" w14:paraId="1B5C824C" w14:textId="77777777" w:rsidTr="003A24C9">
        <w:trPr>
          <w:trHeight w:val="805"/>
        </w:trPr>
        <w:tc>
          <w:tcPr>
            <w:tcW w:w="3855" w:type="dxa"/>
          </w:tcPr>
          <w:p w14:paraId="2D8CD52F" w14:textId="77777777" w:rsidR="00EB094C" w:rsidRPr="00907E6A" w:rsidRDefault="00EB094C" w:rsidP="003A24C9">
            <w:pPr>
              <w:pStyle w:val="TableParagraph"/>
              <w:spacing w:before="11"/>
              <w:jc w:val="both"/>
              <w:rPr>
                <w:b/>
              </w:rPr>
            </w:pPr>
          </w:p>
          <w:p w14:paraId="0EDB494A" w14:textId="77777777" w:rsidR="00EB094C" w:rsidRPr="00907E6A" w:rsidRDefault="00EB094C" w:rsidP="003A24C9">
            <w:pPr>
              <w:pStyle w:val="TableParagraph"/>
              <w:ind w:left="107"/>
              <w:jc w:val="both"/>
            </w:pPr>
            <w:r w:rsidRPr="00907E6A">
              <w:t>Committee/Subcommittee</w:t>
            </w:r>
          </w:p>
        </w:tc>
        <w:tc>
          <w:tcPr>
            <w:tcW w:w="4740" w:type="dxa"/>
          </w:tcPr>
          <w:p w14:paraId="0D974DDD" w14:textId="77777777" w:rsidR="00EB094C" w:rsidRPr="00907E6A" w:rsidRDefault="00EB094C" w:rsidP="003A24C9">
            <w:pPr>
              <w:pStyle w:val="TableParagraph"/>
              <w:spacing w:before="11"/>
              <w:jc w:val="both"/>
              <w:rPr>
                <w:b/>
              </w:rPr>
            </w:pPr>
          </w:p>
          <w:p w14:paraId="0092D0AF" w14:textId="77777777" w:rsidR="00EB094C" w:rsidRPr="00907E6A" w:rsidRDefault="00EB094C" w:rsidP="003A24C9">
            <w:pPr>
              <w:pStyle w:val="TableParagraph"/>
              <w:ind w:left="107"/>
              <w:jc w:val="both"/>
            </w:pPr>
            <w:proofErr w:type="spellStart"/>
            <w:r w:rsidRPr="00907E6A">
              <w:t>FunCon</w:t>
            </w:r>
            <w:proofErr w:type="spellEnd"/>
          </w:p>
        </w:tc>
      </w:tr>
      <w:tr w:rsidR="00EB094C" w:rsidRPr="00907E6A" w14:paraId="2702DD90" w14:textId="77777777" w:rsidTr="003A24C9">
        <w:trPr>
          <w:trHeight w:val="806"/>
        </w:trPr>
        <w:tc>
          <w:tcPr>
            <w:tcW w:w="3855" w:type="dxa"/>
          </w:tcPr>
          <w:p w14:paraId="46FF6458" w14:textId="77777777" w:rsidR="00EB094C" w:rsidRPr="00907E6A" w:rsidRDefault="00EB094C" w:rsidP="003A24C9">
            <w:pPr>
              <w:pStyle w:val="TableParagraph"/>
              <w:spacing w:before="12"/>
              <w:jc w:val="both"/>
              <w:rPr>
                <w:b/>
              </w:rPr>
            </w:pPr>
          </w:p>
          <w:p w14:paraId="4EB954EE" w14:textId="77777777" w:rsidR="00EB094C" w:rsidRPr="00907E6A" w:rsidRDefault="00EB094C" w:rsidP="003A24C9">
            <w:pPr>
              <w:pStyle w:val="TableParagraph"/>
              <w:ind w:left="107"/>
              <w:jc w:val="both"/>
            </w:pPr>
            <w:r w:rsidRPr="00907E6A">
              <w:t>Status</w:t>
            </w:r>
          </w:p>
        </w:tc>
        <w:tc>
          <w:tcPr>
            <w:tcW w:w="4740" w:type="dxa"/>
          </w:tcPr>
          <w:p w14:paraId="36FBFF3C" w14:textId="77777777" w:rsidR="00EB094C" w:rsidRPr="00907E6A" w:rsidRDefault="00EB094C" w:rsidP="003A24C9">
            <w:pPr>
              <w:pStyle w:val="TableParagraph"/>
              <w:spacing w:before="12"/>
              <w:jc w:val="both"/>
              <w:rPr>
                <w:b/>
              </w:rPr>
            </w:pPr>
          </w:p>
          <w:p w14:paraId="7C7B734A" w14:textId="77777777" w:rsidR="00EB094C" w:rsidRPr="00907E6A" w:rsidRDefault="00EB094C" w:rsidP="003A24C9">
            <w:pPr>
              <w:pStyle w:val="TableParagraph"/>
              <w:ind w:left="107"/>
              <w:jc w:val="both"/>
            </w:pPr>
            <w:r>
              <w:t>C</w:t>
            </w:r>
            <w:r w:rsidRPr="00907E6A">
              <w:t>onfidential</w:t>
            </w:r>
          </w:p>
        </w:tc>
      </w:tr>
      <w:tr w:rsidR="00EB094C" w:rsidRPr="00907E6A" w14:paraId="5B695750" w14:textId="77777777" w:rsidTr="003A24C9">
        <w:trPr>
          <w:trHeight w:val="805"/>
        </w:trPr>
        <w:tc>
          <w:tcPr>
            <w:tcW w:w="3855" w:type="dxa"/>
          </w:tcPr>
          <w:p w14:paraId="33FAA492" w14:textId="77777777" w:rsidR="00EB094C" w:rsidRPr="00907E6A" w:rsidRDefault="00EB094C" w:rsidP="003A24C9">
            <w:pPr>
              <w:pStyle w:val="TableParagraph"/>
              <w:spacing w:before="11"/>
              <w:jc w:val="both"/>
              <w:rPr>
                <w:b/>
              </w:rPr>
            </w:pPr>
          </w:p>
          <w:p w14:paraId="318844EA" w14:textId="77777777" w:rsidR="00EB094C" w:rsidRPr="00907E6A" w:rsidRDefault="00EB094C" w:rsidP="003A24C9">
            <w:pPr>
              <w:pStyle w:val="TableParagraph"/>
              <w:ind w:left="107"/>
              <w:jc w:val="both"/>
            </w:pPr>
            <w:r w:rsidRPr="00907E6A">
              <w:t>Overview</w:t>
            </w:r>
          </w:p>
        </w:tc>
        <w:tc>
          <w:tcPr>
            <w:tcW w:w="4740" w:type="dxa"/>
          </w:tcPr>
          <w:p w14:paraId="53C8909C" w14:textId="77777777" w:rsidR="00EB094C" w:rsidRPr="00907E6A" w:rsidRDefault="00EB094C" w:rsidP="003A24C9">
            <w:pPr>
              <w:pStyle w:val="TableParagraph"/>
              <w:spacing w:before="11"/>
              <w:jc w:val="both"/>
              <w:rPr>
                <w:b/>
              </w:rPr>
            </w:pPr>
          </w:p>
          <w:p w14:paraId="50609513" w14:textId="77777777" w:rsidR="00EB094C" w:rsidRDefault="00EB094C" w:rsidP="003A24C9">
            <w:pPr>
              <w:pStyle w:val="TableParagraph"/>
              <w:ind w:left="107"/>
            </w:pPr>
            <w:r>
              <w:t>Details of services dashboards published by PSNC</w:t>
            </w:r>
          </w:p>
          <w:p w14:paraId="2443E307" w14:textId="77777777" w:rsidR="00EB094C" w:rsidRPr="00907E6A" w:rsidRDefault="00EB094C" w:rsidP="003A24C9">
            <w:pPr>
              <w:pStyle w:val="TableParagraph"/>
              <w:ind w:left="107"/>
            </w:pPr>
          </w:p>
        </w:tc>
      </w:tr>
      <w:tr w:rsidR="00EB094C" w:rsidRPr="00907E6A" w14:paraId="50BC3575" w14:textId="77777777" w:rsidTr="003A24C9">
        <w:trPr>
          <w:trHeight w:val="806"/>
        </w:trPr>
        <w:tc>
          <w:tcPr>
            <w:tcW w:w="3855" w:type="dxa"/>
          </w:tcPr>
          <w:p w14:paraId="734774BF" w14:textId="77777777" w:rsidR="00EB094C" w:rsidRPr="00907E6A" w:rsidRDefault="00EB094C" w:rsidP="003A24C9">
            <w:pPr>
              <w:pStyle w:val="TableParagraph"/>
              <w:spacing w:before="11"/>
              <w:jc w:val="both"/>
              <w:rPr>
                <w:b/>
              </w:rPr>
            </w:pPr>
          </w:p>
          <w:p w14:paraId="1756B7AE" w14:textId="77777777" w:rsidR="00EB094C" w:rsidRPr="00907E6A" w:rsidRDefault="00EB094C" w:rsidP="003A24C9">
            <w:pPr>
              <w:pStyle w:val="TableParagraph"/>
              <w:ind w:left="107"/>
              <w:jc w:val="both"/>
            </w:pPr>
            <w:r w:rsidRPr="00907E6A">
              <w:t>Proposed action(s)</w:t>
            </w:r>
          </w:p>
        </w:tc>
        <w:tc>
          <w:tcPr>
            <w:tcW w:w="4740" w:type="dxa"/>
          </w:tcPr>
          <w:p w14:paraId="74D13E16" w14:textId="77777777" w:rsidR="00EB094C" w:rsidRPr="00907E6A" w:rsidRDefault="00EB094C" w:rsidP="003A24C9">
            <w:pPr>
              <w:pStyle w:val="TableParagraph"/>
              <w:spacing w:before="11"/>
              <w:jc w:val="both"/>
              <w:rPr>
                <w:b/>
              </w:rPr>
            </w:pPr>
          </w:p>
          <w:p w14:paraId="1A47D4D2" w14:textId="77777777" w:rsidR="00EB094C" w:rsidRPr="00907E6A" w:rsidRDefault="00EB094C" w:rsidP="003A24C9">
            <w:pPr>
              <w:pStyle w:val="TableParagraph"/>
              <w:ind w:left="107"/>
              <w:jc w:val="both"/>
            </w:pPr>
            <w:r>
              <w:t>No action required</w:t>
            </w:r>
          </w:p>
        </w:tc>
      </w:tr>
      <w:tr w:rsidR="00EB094C" w:rsidRPr="00907E6A" w14:paraId="083BFA6D" w14:textId="77777777" w:rsidTr="003A24C9">
        <w:trPr>
          <w:trHeight w:val="806"/>
        </w:trPr>
        <w:tc>
          <w:tcPr>
            <w:tcW w:w="3855" w:type="dxa"/>
          </w:tcPr>
          <w:p w14:paraId="5F5BBA0B" w14:textId="77777777" w:rsidR="00EB094C" w:rsidRPr="00907E6A" w:rsidRDefault="00EB094C" w:rsidP="003A24C9">
            <w:pPr>
              <w:pStyle w:val="TableParagraph"/>
              <w:spacing w:before="11"/>
              <w:jc w:val="both"/>
              <w:rPr>
                <w:b/>
              </w:rPr>
            </w:pPr>
          </w:p>
          <w:p w14:paraId="5CFD3174" w14:textId="77777777" w:rsidR="00EB094C" w:rsidRPr="00907E6A" w:rsidRDefault="00EB094C" w:rsidP="003A24C9">
            <w:pPr>
              <w:pStyle w:val="TableParagraph"/>
              <w:ind w:left="107"/>
              <w:jc w:val="both"/>
            </w:pPr>
            <w:r w:rsidRPr="00907E6A">
              <w:t>Author(s) of the paper</w:t>
            </w:r>
          </w:p>
        </w:tc>
        <w:tc>
          <w:tcPr>
            <w:tcW w:w="4740" w:type="dxa"/>
          </w:tcPr>
          <w:p w14:paraId="785F19D6" w14:textId="77777777" w:rsidR="00EB094C" w:rsidRPr="00907E6A" w:rsidRDefault="00EB094C" w:rsidP="003A24C9">
            <w:pPr>
              <w:pStyle w:val="TableParagraph"/>
              <w:spacing w:before="11"/>
              <w:jc w:val="both"/>
              <w:rPr>
                <w:b/>
              </w:rPr>
            </w:pPr>
          </w:p>
          <w:p w14:paraId="736F19C1" w14:textId="77777777" w:rsidR="00EB094C" w:rsidRPr="00907E6A" w:rsidRDefault="00EB094C" w:rsidP="003A24C9">
            <w:pPr>
              <w:pStyle w:val="TableParagraph"/>
              <w:ind w:left="107"/>
              <w:jc w:val="both"/>
            </w:pPr>
            <w:r w:rsidRPr="00907E6A">
              <w:t>PSNC Pharmacy Funding Team</w:t>
            </w:r>
          </w:p>
        </w:tc>
      </w:tr>
    </w:tbl>
    <w:p w14:paraId="0002DE13" w14:textId="77777777" w:rsidR="00EB094C" w:rsidRDefault="00EB094C" w:rsidP="00EB094C">
      <w:pPr>
        <w:spacing w:before="15"/>
        <w:ind w:right="-22"/>
        <w:jc w:val="center"/>
        <w:rPr>
          <w:rFonts w:ascii="Calibri Light" w:hAnsi="Calibri Light" w:cs="Calibri Light"/>
          <w:color w:val="44546A" w:themeColor="text2"/>
          <w:sz w:val="32"/>
          <w:szCs w:val="32"/>
        </w:rPr>
      </w:pPr>
    </w:p>
    <w:p w14:paraId="090E3468" w14:textId="77777777" w:rsidR="00EB094C" w:rsidRDefault="00EB094C" w:rsidP="00EB094C">
      <w:pPr>
        <w:spacing w:before="15"/>
        <w:ind w:right="-22"/>
        <w:jc w:val="center"/>
        <w:rPr>
          <w:rFonts w:ascii="Calibri Light" w:hAnsi="Calibri Light" w:cs="Calibri Light"/>
          <w:color w:val="44546A" w:themeColor="text2"/>
          <w:sz w:val="32"/>
          <w:szCs w:val="32"/>
        </w:rPr>
      </w:pPr>
    </w:p>
    <w:p w14:paraId="00FD216D" w14:textId="77777777" w:rsidR="00EB094C" w:rsidRDefault="00EB094C" w:rsidP="00EB094C">
      <w:pPr>
        <w:rPr>
          <w:rFonts w:ascii="Calibri Light" w:hAnsi="Calibri Light" w:cs="Calibri Light"/>
          <w:color w:val="44546A" w:themeColor="text2"/>
          <w:sz w:val="32"/>
          <w:szCs w:val="32"/>
        </w:rPr>
      </w:pPr>
      <w:r>
        <w:rPr>
          <w:rFonts w:ascii="Calibri Light" w:hAnsi="Calibri Light" w:cs="Calibri Light"/>
          <w:color w:val="44546A" w:themeColor="text2"/>
          <w:sz w:val="32"/>
          <w:szCs w:val="32"/>
        </w:rPr>
        <w:br w:type="page"/>
      </w:r>
    </w:p>
    <w:p w14:paraId="09F7F0EB" w14:textId="77777777" w:rsidR="00EB094C" w:rsidRDefault="00EB094C" w:rsidP="00EB094C">
      <w:pPr>
        <w:pStyle w:val="Heading1"/>
        <w:ind w:hanging="2945"/>
        <w:jc w:val="left"/>
      </w:pPr>
      <w:r>
        <w:lastRenderedPageBreak/>
        <w:t>Executive summary</w:t>
      </w:r>
    </w:p>
    <w:p w14:paraId="07E22919" w14:textId="77777777" w:rsidR="00EB094C" w:rsidRDefault="00EB094C" w:rsidP="00E30D53">
      <w:pPr>
        <w:pStyle w:val="ListParagraph"/>
        <w:widowControl w:val="0"/>
        <w:numPr>
          <w:ilvl w:val="0"/>
          <w:numId w:val="11"/>
        </w:numPr>
        <w:autoSpaceDE w:val="0"/>
        <w:autoSpaceDN w:val="0"/>
        <w:spacing w:after="0" w:line="240" w:lineRule="auto"/>
        <w:contextualSpacing w:val="0"/>
      </w:pPr>
      <w:r>
        <w:t xml:space="preserve">PSNC has begun publishing quarterly dashboards showing clinical service activity undertaken by English pharmacy contractors. </w:t>
      </w:r>
    </w:p>
    <w:p w14:paraId="0A4F576C" w14:textId="77777777" w:rsidR="00EB094C" w:rsidRDefault="00EB094C" w:rsidP="00E30D53">
      <w:pPr>
        <w:pStyle w:val="ListParagraph"/>
        <w:widowControl w:val="0"/>
        <w:numPr>
          <w:ilvl w:val="0"/>
          <w:numId w:val="11"/>
        </w:numPr>
        <w:autoSpaceDE w:val="0"/>
        <w:autoSpaceDN w:val="0"/>
        <w:spacing w:after="0" w:line="240" w:lineRule="auto"/>
        <w:contextualSpacing w:val="0"/>
      </w:pPr>
      <w:r>
        <w:t>The first dashboards published cover 21/22 Q1 April – July. Further quarterly dashboards will be published every 3 months or so once a full quarter’s data is available.</w:t>
      </w:r>
    </w:p>
    <w:p w14:paraId="20D976DE" w14:textId="77777777" w:rsidR="00EB094C" w:rsidRDefault="00EB094C" w:rsidP="00E30D53">
      <w:pPr>
        <w:pStyle w:val="ListParagraph"/>
        <w:widowControl w:val="0"/>
        <w:numPr>
          <w:ilvl w:val="0"/>
          <w:numId w:val="11"/>
        </w:numPr>
        <w:autoSpaceDE w:val="0"/>
        <w:autoSpaceDN w:val="0"/>
        <w:spacing w:after="0" w:line="240" w:lineRule="auto"/>
        <w:contextualSpacing w:val="0"/>
      </w:pPr>
      <w:r>
        <w:t>The dashboards will replace the LPC level NMS and MUR summary statistics that were previously published by PSNC</w:t>
      </w:r>
    </w:p>
    <w:p w14:paraId="51B1D89B" w14:textId="77777777" w:rsidR="00EB094C" w:rsidRDefault="00EB094C" w:rsidP="00E30D53">
      <w:pPr>
        <w:pStyle w:val="ListParagraph"/>
        <w:widowControl w:val="0"/>
        <w:numPr>
          <w:ilvl w:val="0"/>
          <w:numId w:val="11"/>
        </w:numPr>
        <w:autoSpaceDE w:val="0"/>
        <w:autoSpaceDN w:val="0"/>
        <w:spacing w:after="0" w:line="240" w:lineRule="auto"/>
        <w:contextualSpacing w:val="0"/>
      </w:pPr>
      <w:r>
        <w:t>Statistics are published at 3 levels: national, LPC and individual pharmacy</w:t>
      </w:r>
    </w:p>
    <w:p w14:paraId="2ECF9301" w14:textId="77777777" w:rsidR="00EB094C" w:rsidRDefault="00EB094C" w:rsidP="00E30D53">
      <w:pPr>
        <w:pStyle w:val="ListParagraph"/>
        <w:widowControl w:val="0"/>
        <w:numPr>
          <w:ilvl w:val="0"/>
          <w:numId w:val="11"/>
        </w:numPr>
        <w:autoSpaceDE w:val="0"/>
        <w:autoSpaceDN w:val="0"/>
        <w:spacing w:after="0" w:line="240" w:lineRule="auto"/>
        <w:contextualSpacing w:val="0"/>
      </w:pPr>
      <w:r>
        <w:t>All information included in the dashboards is publicly available and published by the NHS on the NHS BSA website</w:t>
      </w:r>
    </w:p>
    <w:p w14:paraId="6C4763AE" w14:textId="77777777" w:rsidR="00EB094C" w:rsidRDefault="00EB094C" w:rsidP="00E30D53">
      <w:pPr>
        <w:pStyle w:val="ListParagraph"/>
        <w:widowControl w:val="0"/>
        <w:numPr>
          <w:ilvl w:val="0"/>
          <w:numId w:val="11"/>
        </w:numPr>
        <w:autoSpaceDE w:val="0"/>
        <w:autoSpaceDN w:val="0"/>
        <w:spacing w:after="0" w:line="240" w:lineRule="auto"/>
        <w:contextualSpacing w:val="0"/>
      </w:pPr>
      <w:r>
        <w:t>The aim of the dashboards is to present the NHS information in a helpful way</w:t>
      </w:r>
    </w:p>
    <w:p w14:paraId="09C7EDA5" w14:textId="77777777" w:rsidR="00EB094C" w:rsidRDefault="00EB094C" w:rsidP="00EB094C"/>
    <w:p w14:paraId="55F487EA" w14:textId="77777777" w:rsidR="00EB094C" w:rsidRDefault="00EB094C" w:rsidP="00EB094C">
      <w:pPr>
        <w:pStyle w:val="Heading1"/>
        <w:ind w:hanging="2945"/>
        <w:jc w:val="left"/>
      </w:pPr>
      <w:r>
        <w:t>What is included</w:t>
      </w:r>
    </w:p>
    <w:p w14:paraId="210F05F5" w14:textId="77777777" w:rsidR="00EB094C" w:rsidRDefault="00EB094C" w:rsidP="00E30D53">
      <w:pPr>
        <w:pStyle w:val="ListParagraph"/>
        <w:widowControl w:val="0"/>
        <w:numPr>
          <w:ilvl w:val="0"/>
          <w:numId w:val="11"/>
        </w:numPr>
        <w:autoSpaceDE w:val="0"/>
        <w:autoSpaceDN w:val="0"/>
        <w:spacing w:after="0" w:line="240" w:lineRule="auto"/>
        <w:contextualSpacing w:val="0"/>
      </w:pPr>
      <w:r>
        <w:t>The dashboards include activity data on the following services</w:t>
      </w:r>
    </w:p>
    <w:p w14:paraId="58645BB3"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NMS</w:t>
      </w:r>
    </w:p>
    <w:p w14:paraId="1D1EB7BF"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AURs</w:t>
      </w:r>
    </w:p>
    <w:p w14:paraId="3E7BEC6F"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Stoma customisation</w:t>
      </w:r>
    </w:p>
    <w:p w14:paraId="332A3431"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Covid deliveries</w:t>
      </w:r>
    </w:p>
    <w:p w14:paraId="75211BC8"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CPCS</w:t>
      </w:r>
    </w:p>
    <w:p w14:paraId="1233BBA6"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Hep C tests</w:t>
      </w:r>
    </w:p>
    <w:p w14:paraId="65B289AC"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LFD distribution</w:t>
      </w:r>
    </w:p>
    <w:p w14:paraId="0D58786F" w14:textId="77777777" w:rsidR="00EB094C" w:rsidRPr="00383741" w:rsidRDefault="00EB094C" w:rsidP="00E30D53">
      <w:pPr>
        <w:pStyle w:val="ListParagraph"/>
        <w:widowControl w:val="0"/>
        <w:numPr>
          <w:ilvl w:val="0"/>
          <w:numId w:val="12"/>
        </w:numPr>
        <w:autoSpaceDE w:val="0"/>
        <w:autoSpaceDN w:val="0"/>
        <w:spacing w:after="0" w:line="240" w:lineRule="auto"/>
        <w:contextualSpacing w:val="0"/>
      </w:pPr>
      <w:r w:rsidRPr="00383741">
        <w:t>DMS</w:t>
      </w:r>
    </w:p>
    <w:p w14:paraId="1610F1D9" w14:textId="77777777" w:rsidR="00EB094C" w:rsidRDefault="00EB094C" w:rsidP="00EB094C"/>
    <w:p w14:paraId="231ADC2A" w14:textId="77777777" w:rsidR="00EB094C" w:rsidRDefault="00EB094C" w:rsidP="00E30D53">
      <w:pPr>
        <w:pStyle w:val="ListParagraph"/>
        <w:widowControl w:val="0"/>
        <w:numPr>
          <w:ilvl w:val="0"/>
          <w:numId w:val="11"/>
        </w:numPr>
        <w:autoSpaceDE w:val="0"/>
        <w:autoSpaceDN w:val="0"/>
        <w:spacing w:after="0" w:line="240" w:lineRule="auto"/>
        <w:contextualSpacing w:val="0"/>
      </w:pPr>
      <w:r>
        <w:t xml:space="preserve">All data comes from statistics published by the NHS BSA. However, the NHS BSA generally publish data in plain tables with thousands of rows of data, which do not allow for quick or easy assessment or comparisons. </w:t>
      </w:r>
    </w:p>
    <w:p w14:paraId="587CF1ED" w14:textId="77777777" w:rsidR="00EB094C" w:rsidRDefault="00EB094C" w:rsidP="00EB094C"/>
    <w:p w14:paraId="4C59F38E" w14:textId="77777777" w:rsidR="00EB094C" w:rsidRDefault="00EB094C" w:rsidP="00E30D53">
      <w:pPr>
        <w:pStyle w:val="ListParagraph"/>
        <w:widowControl w:val="0"/>
        <w:numPr>
          <w:ilvl w:val="0"/>
          <w:numId w:val="11"/>
        </w:numPr>
        <w:autoSpaceDE w:val="0"/>
        <w:autoSpaceDN w:val="0"/>
        <w:spacing w:after="0" w:line="240" w:lineRule="auto"/>
        <w:contextualSpacing w:val="0"/>
      </w:pPr>
      <w:r>
        <w:t>We wanted to use the NHS datasets to build dashboards which would visualise the data in a helpful way and allow users to identify quickly points of interest from the data.</w:t>
      </w:r>
    </w:p>
    <w:p w14:paraId="31E15BFD" w14:textId="77777777" w:rsidR="00EB094C" w:rsidRDefault="00EB094C" w:rsidP="00EB094C"/>
    <w:p w14:paraId="2D92C4BD" w14:textId="77777777" w:rsidR="00EB094C" w:rsidRDefault="00EB094C" w:rsidP="00E30D53">
      <w:pPr>
        <w:pStyle w:val="ListParagraph"/>
        <w:widowControl w:val="0"/>
        <w:numPr>
          <w:ilvl w:val="0"/>
          <w:numId w:val="11"/>
        </w:numPr>
        <w:autoSpaceDE w:val="0"/>
        <w:autoSpaceDN w:val="0"/>
        <w:spacing w:after="0" w:line="240" w:lineRule="auto"/>
        <w:contextualSpacing w:val="0"/>
      </w:pPr>
      <w:r>
        <w:t>Some screen shots from the 3 levels (national, LPC, pharmacy) are shown below to give an idea of the kind of data presented.</w:t>
      </w:r>
    </w:p>
    <w:p w14:paraId="7292599A" w14:textId="77777777" w:rsidR="00EB094C" w:rsidRDefault="00EB094C" w:rsidP="00EB094C"/>
    <w:p w14:paraId="73846C11" w14:textId="77777777" w:rsidR="00EB094C" w:rsidRDefault="00EB094C" w:rsidP="00EB094C">
      <w:pPr>
        <w:rPr>
          <w:rFonts w:asciiTheme="majorHAnsi" w:eastAsiaTheme="majorEastAsia" w:hAnsiTheme="majorHAnsi" w:cstheme="majorBidi"/>
          <w:color w:val="2F5496" w:themeColor="accent1" w:themeShade="BF"/>
          <w:sz w:val="26"/>
          <w:szCs w:val="26"/>
        </w:rPr>
      </w:pPr>
      <w:r>
        <w:br w:type="page"/>
      </w:r>
    </w:p>
    <w:p w14:paraId="3A32C395" w14:textId="77777777" w:rsidR="00EB094C" w:rsidRDefault="00EB094C" w:rsidP="00EB094C">
      <w:pPr>
        <w:pStyle w:val="Heading2"/>
      </w:pPr>
      <w:r>
        <w:lastRenderedPageBreak/>
        <w:t xml:space="preserve">National dashboard </w:t>
      </w:r>
    </w:p>
    <w:p w14:paraId="596AE4E7" w14:textId="77777777" w:rsidR="00EB094C" w:rsidRDefault="00EB094C" w:rsidP="00EB094C">
      <w:r w:rsidRPr="00437CBC">
        <w:rPr>
          <w:noProof/>
        </w:rPr>
        <w:drawing>
          <wp:inline distT="0" distB="0" distL="0" distR="0" wp14:anchorId="00761275" wp14:editId="4CAEC47B">
            <wp:extent cx="5731510" cy="2963545"/>
            <wp:effectExtent l="0" t="0" r="2540" b="825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5"/>
                    <a:stretch>
                      <a:fillRect/>
                    </a:stretch>
                  </pic:blipFill>
                  <pic:spPr>
                    <a:xfrm>
                      <a:off x="0" y="0"/>
                      <a:ext cx="5731510" cy="2963545"/>
                    </a:xfrm>
                    <a:prstGeom prst="rect">
                      <a:avLst/>
                    </a:prstGeom>
                  </pic:spPr>
                </pic:pic>
              </a:graphicData>
            </a:graphic>
          </wp:inline>
        </w:drawing>
      </w:r>
    </w:p>
    <w:p w14:paraId="74DC4A68" w14:textId="77777777" w:rsidR="00EB094C" w:rsidRDefault="00EB094C" w:rsidP="00EB094C"/>
    <w:p w14:paraId="421F657A" w14:textId="77777777" w:rsidR="00EB094C" w:rsidRDefault="00EB094C" w:rsidP="00EB094C">
      <w:r w:rsidRPr="00437CBC">
        <w:rPr>
          <w:noProof/>
        </w:rPr>
        <w:drawing>
          <wp:inline distT="0" distB="0" distL="0" distR="0" wp14:anchorId="67B48271" wp14:editId="12FD139A">
            <wp:extent cx="5731510" cy="5100320"/>
            <wp:effectExtent l="0" t="0" r="2540" b="508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96"/>
                    <a:stretch>
                      <a:fillRect/>
                    </a:stretch>
                  </pic:blipFill>
                  <pic:spPr>
                    <a:xfrm>
                      <a:off x="0" y="0"/>
                      <a:ext cx="5731510" cy="5100320"/>
                    </a:xfrm>
                    <a:prstGeom prst="rect">
                      <a:avLst/>
                    </a:prstGeom>
                  </pic:spPr>
                </pic:pic>
              </a:graphicData>
            </a:graphic>
          </wp:inline>
        </w:drawing>
      </w:r>
    </w:p>
    <w:p w14:paraId="0732A2BE" w14:textId="77777777" w:rsidR="00EB094C" w:rsidRDefault="00EB094C" w:rsidP="00EB094C">
      <w:pPr>
        <w:pStyle w:val="Heading2"/>
      </w:pPr>
      <w:r>
        <w:lastRenderedPageBreak/>
        <w:t>LPC dashboard</w:t>
      </w:r>
    </w:p>
    <w:p w14:paraId="7D9BDB49" w14:textId="77777777" w:rsidR="00EB094C" w:rsidRDefault="00EB094C" w:rsidP="00EB094C">
      <w:r w:rsidRPr="00437CBC">
        <w:rPr>
          <w:noProof/>
        </w:rPr>
        <w:drawing>
          <wp:inline distT="0" distB="0" distL="0" distR="0" wp14:anchorId="11E5B9AA" wp14:editId="35106382">
            <wp:extent cx="5731510" cy="2242185"/>
            <wp:effectExtent l="0" t="0" r="2540" b="571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97"/>
                    <a:stretch>
                      <a:fillRect/>
                    </a:stretch>
                  </pic:blipFill>
                  <pic:spPr>
                    <a:xfrm>
                      <a:off x="0" y="0"/>
                      <a:ext cx="5731510" cy="2242185"/>
                    </a:xfrm>
                    <a:prstGeom prst="rect">
                      <a:avLst/>
                    </a:prstGeom>
                  </pic:spPr>
                </pic:pic>
              </a:graphicData>
            </a:graphic>
          </wp:inline>
        </w:drawing>
      </w:r>
    </w:p>
    <w:p w14:paraId="5F388B69" w14:textId="77777777" w:rsidR="00EB094C" w:rsidRDefault="00EB094C" w:rsidP="00EB094C"/>
    <w:p w14:paraId="174919C8" w14:textId="77777777" w:rsidR="00EB094C" w:rsidRDefault="00EB094C" w:rsidP="00EB094C">
      <w:r w:rsidRPr="00437CBC">
        <w:rPr>
          <w:noProof/>
        </w:rPr>
        <w:drawing>
          <wp:inline distT="0" distB="0" distL="0" distR="0" wp14:anchorId="50C64745" wp14:editId="61A9021F">
            <wp:extent cx="5731510" cy="2385695"/>
            <wp:effectExtent l="0" t="0" r="254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98"/>
                    <a:stretch>
                      <a:fillRect/>
                    </a:stretch>
                  </pic:blipFill>
                  <pic:spPr>
                    <a:xfrm>
                      <a:off x="0" y="0"/>
                      <a:ext cx="5731510" cy="2385695"/>
                    </a:xfrm>
                    <a:prstGeom prst="rect">
                      <a:avLst/>
                    </a:prstGeom>
                  </pic:spPr>
                </pic:pic>
              </a:graphicData>
            </a:graphic>
          </wp:inline>
        </w:drawing>
      </w:r>
    </w:p>
    <w:p w14:paraId="6A6ED0F1" w14:textId="77777777" w:rsidR="00EB094C" w:rsidRDefault="00EB094C" w:rsidP="00EB094C"/>
    <w:p w14:paraId="38528BBD" w14:textId="77777777" w:rsidR="00EB094C" w:rsidRDefault="00EB094C" w:rsidP="00EB094C">
      <w:r w:rsidRPr="00437CBC">
        <w:rPr>
          <w:noProof/>
        </w:rPr>
        <w:lastRenderedPageBreak/>
        <w:drawing>
          <wp:inline distT="0" distB="0" distL="0" distR="0" wp14:anchorId="2BC35A38" wp14:editId="0068F2F6">
            <wp:extent cx="5731510" cy="5085715"/>
            <wp:effectExtent l="0" t="0" r="2540" b="635"/>
            <wp:docPr id="10" name="Picture 1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unburst chart&#10;&#10;Description automatically generated"/>
                    <pic:cNvPicPr/>
                  </pic:nvPicPr>
                  <pic:blipFill>
                    <a:blip r:embed="rId99"/>
                    <a:stretch>
                      <a:fillRect/>
                    </a:stretch>
                  </pic:blipFill>
                  <pic:spPr>
                    <a:xfrm>
                      <a:off x="0" y="0"/>
                      <a:ext cx="5731510" cy="5085715"/>
                    </a:xfrm>
                    <a:prstGeom prst="rect">
                      <a:avLst/>
                    </a:prstGeom>
                  </pic:spPr>
                </pic:pic>
              </a:graphicData>
            </a:graphic>
          </wp:inline>
        </w:drawing>
      </w:r>
    </w:p>
    <w:p w14:paraId="51C79180" w14:textId="77777777" w:rsidR="00EB094C" w:rsidRDefault="00EB094C" w:rsidP="00EB094C"/>
    <w:p w14:paraId="7025AC0C" w14:textId="77777777" w:rsidR="00EB094C" w:rsidRDefault="00EB094C" w:rsidP="00EB094C"/>
    <w:p w14:paraId="70462C50" w14:textId="77777777" w:rsidR="00EB094C" w:rsidRDefault="00EB094C" w:rsidP="00EB094C">
      <w:r>
        <w:br w:type="page"/>
      </w:r>
    </w:p>
    <w:p w14:paraId="4F1EDEE4" w14:textId="15576508" w:rsidR="00EB094C" w:rsidRDefault="00EB094C" w:rsidP="00EB094C">
      <w:pPr>
        <w:pStyle w:val="Heading2"/>
      </w:pPr>
      <w:r>
        <w:lastRenderedPageBreak/>
        <w:t>Pharmacy dashboard</w:t>
      </w:r>
    </w:p>
    <w:p w14:paraId="54CB8DDD" w14:textId="77777777" w:rsidR="00F54FBC" w:rsidRDefault="00F54FBC" w:rsidP="00EB094C">
      <w:pPr>
        <w:pStyle w:val="Heading2"/>
      </w:pPr>
    </w:p>
    <w:p w14:paraId="6E59A4F8" w14:textId="77777777" w:rsidR="00EB094C" w:rsidRDefault="00EB094C" w:rsidP="00EB094C">
      <w:r w:rsidRPr="00437CBC">
        <w:rPr>
          <w:noProof/>
        </w:rPr>
        <w:drawing>
          <wp:inline distT="0" distB="0" distL="0" distR="0" wp14:anchorId="553D67F6" wp14:editId="2FCA22BC">
            <wp:extent cx="5731510" cy="2669540"/>
            <wp:effectExtent l="0" t="0" r="2540" b="0"/>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pic:nvPicPr>
                  <pic:blipFill>
                    <a:blip r:embed="rId100"/>
                    <a:stretch>
                      <a:fillRect/>
                    </a:stretch>
                  </pic:blipFill>
                  <pic:spPr>
                    <a:xfrm>
                      <a:off x="0" y="0"/>
                      <a:ext cx="5731510" cy="2669540"/>
                    </a:xfrm>
                    <a:prstGeom prst="rect">
                      <a:avLst/>
                    </a:prstGeom>
                  </pic:spPr>
                </pic:pic>
              </a:graphicData>
            </a:graphic>
          </wp:inline>
        </w:drawing>
      </w:r>
    </w:p>
    <w:p w14:paraId="001ABDA0" w14:textId="77777777" w:rsidR="00EB094C" w:rsidRDefault="00EB094C" w:rsidP="00EB094C"/>
    <w:p w14:paraId="1CE95C99" w14:textId="77777777" w:rsidR="00EB094C" w:rsidRDefault="00EB094C" w:rsidP="00EB094C">
      <w:r w:rsidRPr="00437CBC">
        <w:rPr>
          <w:noProof/>
        </w:rPr>
        <w:drawing>
          <wp:inline distT="0" distB="0" distL="0" distR="0" wp14:anchorId="78A34A67" wp14:editId="2B6A55E5">
            <wp:extent cx="5731510" cy="2520950"/>
            <wp:effectExtent l="0" t="0" r="254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01"/>
                    <a:stretch>
                      <a:fillRect/>
                    </a:stretch>
                  </pic:blipFill>
                  <pic:spPr>
                    <a:xfrm>
                      <a:off x="0" y="0"/>
                      <a:ext cx="5731510" cy="2520950"/>
                    </a:xfrm>
                    <a:prstGeom prst="rect">
                      <a:avLst/>
                    </a:prstGeom>
                  </pic:spPr>
                </pic:pic>
              </a:graphicData>
            </a:graphic>
          </wp:inline>
        </w:drawing>
      </w:r>
    </w:p>
    <w:p w14:paraId="3F921946" w14:textId="77777777" w:rsidR="00EB094C" w:rsidRDefault="00EB094C" w:rsidP="00EB094C"/>
    <w:p w14:paraId="62E0636D" w14:textId="77777777" w:rsidR="00EB094C" w:rsidRDefault="00EB094C" w:rsidP="00EB094C">
      <w:r w:rsidRPr="00437CBC">
        <w:rPr>
          <w:noProof/>
        </w:rPr>
        <w:lastRenderedPageBreak/>
        <w:drawing>
          <wp:inline distT="0" distB="0" distL="0" distR="0" wp14:anchorId="296DEB10" wp14:editId="78DF997A">
            <wp:extent cx="5731510" cy="3501390"/>
            <wp:effectExtent l="0" t="0" r="2540" b="381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02"/>
                    <a:stretch>
                      <a:fillRect/>
                    </a:stretch>
                  </pic:blipFill>
                  <pic:spPr>
                    <a:xfrm>
                      <a:off x="0" y="0"/>
                      <a:ext cx="5731510" cy="3501390"/>
                    </a:xfrm>
                    <a:prstGeom prst="rect">
                      <a:avLst/>
                    </a:prstGeom>
                  </pic:spPr>
                </pic:pic>
              </a:graphicData>
            </a:graphic>
          </wp:inline>
        </w:drawing>
      </w:r>
    </w:p>
    <w:p w14:paraId="555333FF" w14:textId="77777777" w:rsidR="00EB094C" w:rsidRDefault="00EB094C" w:rsidP="00EB094C"/>
    <w:p w14:paraId="73FEB0F3" w14:textId="77777777" w:rsidR="00EB094C" w:rsidRDefault="00EB094C" w:rsidP="00EB094C">
      <w:r w:rsidRPr="00437CBC">
        <w:rPr>
          <w:noProof/>
        </w:rPr>
        <w:drawing>
          <wp:inline distT="0" distB="0" distL="0" distR="0" wp14:anchorId="350FE744" wp14:editId="3E27DE9D">
            <wp:extent cx="5731510" cy="2454275"/>
            <wp:effectExtent l="0" t="0" r="2540" b="3175"/>
            <wp:docPr id="16" name="Picture 1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ubble chart&#10;&#10;Description automatically generated"/>
                    <pic:cNvPicPr/>
                  </pic:nvPicPr>
                  <pic:blipFill>
                    <a:blip r:embed="rId103"/>
                    <a:stretch>
                      <a:fillRect/>
                    </a:stretch>
                  </pic:blipFill>
                  <pic:spPr>
                    <a:xfrm>
                      <a:off x="0" y="0"/>
                      <a:ext cx="5731510" cy="2454275"/>
                    </a:xfrm>
                    <a:prstGeom prst="rect">
                      <a:avLst/>
                    </a:prstGeom>
                  </pic:spPr>
                </pic:pic>
              </a:graphicData>
            </a:graphic>
          </wp:inline>
        </w:drawing>
      </w:r>
    </w:p>
    <w:p w14:paraId="0CD74906" w14:textId="77777777" w:rsidR="00EB094C" w:rsidRDefault="00EB094C" w:rsidP="00EB094C"/>
    <w:p w14:paraId="3A1930A4" w14:textId="77777777" w:rsidR="00EB094C" w:rsidRDefault="00EB094C" w:rsidP="00EB094C"/>
    <w:p w14:paraId="736BC5A9" w14:textId="77777777" w:rsidR="00EB094C" w:rsidRDefault="00EB094C" w:rsidP="00EB094C">
      <w:pPr>
        <w:pStyle w:val="Heading1"/>
        <w:ind w:hanging="2803"/>
        <w:jc w:val="left"/>
      </w:pPr>
      <w:r>
        <w:t>Limitations of the services dashboards</w:t>
      </w:r>
    </w:p>
    <w:p w14:paraId="088AEC8B" w14:textId="77777777" w:rsidR="00EB094C" w:rsidRDefault="00EB094C" w:rsidP="00E30D53">
      <w:pPr>
        <w:pStyle w:val="ListParagraph"/>
        <w:widowControl w:val="0"/>
        <w:numPr>
          <w:ilvl w:val="0"/>
          <w:numId w:val="11"/>
        </w:numPr>
        <w:autoSpaceDE w:val="0"/>
        <w:autoSpaceDN w:val="0"/>
        <w:spacing w:after="0" w:line="240" w:lineRule="auto"/>
        <w:contextualSpacing w:val="0"/>
      </w:pPr>
      <w:r>
        <w:t xml:space="preserve">The dashboards are built using datasets published by NHS BSA, and any inaccuracies or inconsistencies present in the original data will be included in the dashboards. </w:t>
      </w:r>
    </w:p>
    <w:p w14:paraId="54A1459F" w14:textId="77777777" w:rsidR="00EB094C" w:rsidRDefault="00EB094C" w:rsidP="00EB094C"/>
    <w:p w14:paraId="49F8B649" w14:textId="77777777" w:rsidR="00EB094C" w:rsidRDefault="00EB094C" w:rsidP="00E30D53">
      <w:pPr>
        <w:pStyle w:val="ListParagraph"/>
        <w:widowControl w:val="0"/>
        <w:numPr>
          <w:ilvl w:val="0"/>
          <w:numId w:val="11"/>
        </w:numPr>
        <w:autoSpaceDE w:val="0"/>
        <w:autoSpaceDN w:val="0"/>
        <w:spacing w:after="0" w:line="240" w:lineRule="auto"/>
        <w:contextualSpacing w:val="0"/>
      </w:pPr>
      <w:r>
        <w:t xml:space="preserve">The NHS often publishes similar data in multiple places and formats, and these sources do not always align completely. As such, the figures presented in the dashboards may not always agree with other sources of data for the same statistics. </w:t>
      </w:r>
    </w:p>
    <w:p w14:paraId="6575D9F8" w14:textId="77777777" w:rsidR="00EB094C" w:rsidRDefault="00EB094C" w:rsidP="00EB094C"/>
    <w:p w14:paraId="7537FBEC" w14:textId="77777777" w:rsidR="00EB094C" w:rsidRDefault="00EB094C" w:rsidP="00E30D53">
      <w:pPr>
        <w:pStyle w:val="ListParagraph"/>
        <w:widowControl w:val="0"/>
        <w:numPr>
          <w:ilvl w:val="0"/>
          <w:numId w:val="11"/>
        </w:numPr>
        <w:autoSpaceDE w:val="0"/>
        <w:autoSpaceDN w:val="0"/>
        <w:spacing w:after="0" w:line="240" w:lineRule="auto"/>
        <w:contextualSpacing w:val="0"/>
      </w:pPr>
      <w:r>
        <w:t xml:space="preserve">There is a specific complication with DMS data published by NHS BSA. NHS BSA are reporting the </w:t>
      </w:r>
      <w:r>
        <w:lastRenderedPageBreak/>
        <w:t xml:space="preserve">number of complete stages for each pharmacy per month, and the number of ‘complete’ and ‘incomplete’ DMS per month. For example, an ‘incomplete’ DMS could be one where a pharmacy claimed payment for stage 1 and stage 2, but not stage 3. Because there isn’t a simple count of DMS provided like there is for other services, we </w:t>
      </w:r>
      <w:proofErr w:type="gramStart"/>
      <w:r>
        <w:t>have to</w:t>
      </w:r>
      <w:proofErr w:type="gramEnd"/>
      <w:r>
        <w:t xml:space="preserve"> choose what is the best way to report the service. For reporting in the dashboards, we decided to sum up the number of ‘complete’ and ‘incomplete’ DMS according to the NHS data for each month, however we know this could actually end up overstating how many DMS are done in the long run since a single DMS could show up across multiple months as ‘incomplete’ </w:t>
      </w:r>
      <w:proofErr w:type="gramStart"/>
      <w:r>
        <w:t>e.g.</w:t>
      </w:r>
      <w:proofErr w:type="gramEnd"/>
      <w:r>
        <w:t xml:space="preserve"> if a pharmacy claims stage 1 and 2 in October, and stage 3 in November.</w:t>
      </w:r>
    </w:p>
    <w:p w14:paraId="7FC87E19" w14:textId="77777777" w:rsidR="00EB094C" w:rsidRDefault="00EB094C" w:rsidP="00EB094C"/>
    <w:p w14:paraId="499A7E8A" w14:textId="77777777" w:rsidR="00EB094C" w:rsidRDefault="00EB094C" w:rsidP="00E30D53">
      <w:pPr>
        <w:pStyle w:val="ListParagraph"/>
        <w:widowControl w:val="0"/>
        <w:numPr>
          <w:ilvl w:val="0"/>
          <w:numId w:val="11"/>
        </w:numPr>
        <w:autoSpaceDE w:val="0"/>
        <w:autoSpaceDN w:val="0"/>
        <w:spacing w:after="0" w:line="240" w:lineRule="auto"/>
        <w:contextualSpacing w:val="0"/>
      </w:pPr>
      <w:r>
        <w:t>We have included caveats within the dashboards to state that there may be inaccuracies within the figures presented, and that the data is presented for illustrative and informational purposes only. We do not assume liability for any external party's use of the data presented in the dashboards, or in the original data published by NHS Digital and NHS Business Service Authority.</w:t>
      </w:r>
    </w:p>
    <w:p w14:paraId="46F55EE8" w14:textId="77777777" w:rsidR="00EB094C" w:rsidRDefault="00EB094C" w:rsidP="00EB094C"/>
    <w:p w14:paraId="4E46BDE7" w14:textId="77777777" w:rsidR="00EB094C" w:rsidRDefault="00EB094C" w:rsidP="00EB094C">
      <w:pPr>
        <w:pStyle w:val="Heading1"/>
        <w:ind w:hanging="2803"/>
        <w:jc w:val="left"/>
      </w:pPr>
      <w:r>
        <w:t>Feedback on dashboards</w:t>
      </w:r>
    </w:p>
    <w:p w14:paraId="0AF015AC" w14:textId="77777777" w:rsidR="00EB094C" w:rsidRDefault="00EB094C" w:rsidP="00E30D53">
      <w:pPr>
        <w:pStyle w:val="ListParagraph"/>
        <w:widowControl w:val="0"/>
        <w:numPr>
          <w:ilvl w:val="0"/>
          <w:numId w:val="11"/>
        </w:numPr>
        <w:autoSpaceDE w:val="0"/>
        <w:autoSpaceDN w:val="0"/>
        <w:spacing w:after="0" w:line="240" w:lineRule="auto"/>
        <w:contextualSpacing w:val="0"/>
      </w:pPr>
      <w:r>
        <w:t>Because the dashboards are replacing data that was specifically published at LPC level (NMS and MUR summary statistics), we have written to the LPC Gaggle group to inform them about the publication of the new dashboards and to indicate that we will be looking for feedback from LPCs at an upcoming PLOT meeting (date TBD).</w:t>
      </w:r>
    </w:p>
    <w:p w14:paraId="377C174A" w14:textId="77777777" w:rsidR="00EB094C" w:rsidRDefault="00EB094C" w:rsidP="00EB094C"/>
    <w:p w14:paraId="2E964761" w14:textId="25B2FA51" w:rsidR="00EB094C" w:rsidRDefault="00EB094C" w:rsidP="00E30D53">
      <w:pPr>
        <w:pStyle w:val="ListParagraph"/>
        <w:widowControl w:val="0"/>
        <w:numPr>
          <w:ilvl w:val="0"/>
          <w:numId w:val="11"/>
        </w:numPr>
        <w:autoSpaceDE w:val="0"/>
        <w:autoSpaceDN w:val="0"/>
        <w:spacing w:after="0" w:line="240" w:lineRule="auto"/>
        <w:contextualSpacing w:val="0"/>
      </w:pPr>
      <w:r>
        <w:t>Any individuals or companies are also welcome to feedback to us on the dashboards once they have had a chance to consider them. We have already received several points of feedback which we will be looking to incorporate into the next publication.</w:t>
      </w:r>
    </w:p>
    <w:p w14:paraId="5E39C5D3" w14:textId="77777777" w:rsidR="00EB094C" w:rsidRDefault="00EB094C">
      <w:r>
        <w:br w:type="page"/>
      </w:r>
    </w:p>
    <w:p w14:paraId="5E7766E3" w14:textId="3F6B8B85" w:rsidR="00EB094C" w:rsidRDefault="00EB094C" w:rsidP="00EB094C">
      <w:pPr>
        <w:jc w:val="right"/>
        <w:rPr>
          <w:rFonts w:ascii="Calibri" w:eastAsia="Times New Roman" w:hAnsi="Calibri" w:cs="Calibri"/>
          <w:color w:val="5B518F"/>
          <w:lang w:eastAsia="en-GB"/>
        </w:rPr>
      </w:pPr>
      <w:r w:rsidRPr="00EB094C">
        <w:rPr>
          <w:rFonts w:ascii="Calibri" w:eastAsia="Times New Roman" w:hAnsi="Calibri" w:cs="Calibri"/>
          <w:color w:val="5B518F"/>
          <w:lang w:eastAsia="en-GB"/>
        </w:rPr>
        <w:lastRenderedPageBreak/>
        <w:t>Appendix FCS 14/11/21</w:t>
      </w:r>
    </w:p>
    <w:p w14:paraId="7D6E9041" w14:textId="77777777" w:rsidR="00EB094C" w:rsidRDefault="00EB094C" w:rsidP="00EB094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EB094C" w:rsidRPr="00907E6A" w14:paraId="460A4ECB" w14:textId="77777777" w:rsidTr="003A24C9">
        <w:trPr>
          <w:trHeight w:val="805"/>
          <w:jc w:val="center"/>
        </w:trPr>
        <w:tc>
          <w:tcPr>
            <w:tcW w:w="4508" w:type="dxa"/>
          </w:tcPr>
          <w:p w14:paraId="15A10DAB" w14:textId="77777777" w:rsidR="00EB094C" w:rsidRPr="00907E6A" w:rsidRDefault="00EB094C" w:rsidP="003A24C9">
            <w:pPr>
              <w:pStyle w:val="TableParagraph"/>
              <w:spacing w:before="11"/>
              <w:jc w:val="both"/>
              <w:rPr>
                <w:b/>
              </w:rPr>
            </w:pPr>
          </w:p>
          <w:p w14:paraId="5E961CEE" w14:textId="77777777" w:rsidR="00EB094C" w:rsidRPr="00907E6A" w:rsidRDefault="00EB094C" w:rsidP="003A24C9">
            <w:pPr>
              <w:pStyle w:val="TableParagraph"/>
              <w:ind w:left="107"/>
              <w:jc w:val="both"/>
            </w:pPr>
            <w:r w:rsidRPr="00907E6A">
              <w:t>Subject</w:t>
            </w:r>
          </w:p>
        </w:tc>
        <w:tc>
          <w:tcPr>
            <w:tcW w:w="4510" w:type="dxa"/>
          </w:tcPr>
          <w:p w14:paraId="3FE0BF10" w14:textId="77777777" w:rsidR="00EB094C" w:rsidRPr="00907E6A" w:rsidRDefault="00EB094C" w:rsidP="003A24C9">
            <w:pPr>
              <w:pStyle w:val="TableParagraph"/>
              <w:spacing w:before="11"/>
              <w:jc w:val="both"/>
              <w:rPr>
                <w:b/>
              </w:rPr>
            </w:pPr>
          </w:p>
          <w:p w14:paraId="2C0E922B" w14:textId="77777777" w:rsidR="00EB094C" w:rsidRPr="00907E6A" w:rsidRDefault="00EB094C" w:rsidP="003A24C9">
            <w:pPr>
              <w:pStyle w:val="TableParagraph"/>
              <w:ind w:left="107"/>
              <w:jc w:val="both"/>
            </w:pPr>
            <w:r w:rsidRPr="00907E6A">
              <w:t>Statistics</w:t>
            </w:r>
          </w:p>
        </w:tc>
      </w:tr>
      <w:tr w:rsidR="00EB094C" w:rsidRPr="00907E6A" w14:paraId="2C567893" w14:textId="77777777" w:rsidTr="003A24C9">
        <w:trPr>
          <w:trHeight w:val="806"/>
          <w:jc w:val="center"/>
        </w:trPr>
        <w:tc>
          <w:tcPr>
            <w:tcW w:w="4508" w:type="dxa"/>
          </w:tcPr>
          <w:p w14:paraId="147D8D0D" w14:textId="77777777" w:rsidR="00EB094C" w:rsidRPr="00907E6A" w:rsidRDefault="00EB094C" w:rsidP="003A24C9">
            <w:pPr>
              <w:pStyle w:val="TableParagraph"/>
              <w:spacing w:before="11"/>
              <w:jc w:val="both"/>
              <w:rPr>
                <w:b/>
              </w:rPr>
            </w:pPr>
          </w:p>
          <w:p w14:paraId="2F98F441" w14:textId="77777777" w:rsidR="00EB094C" w:rsidRPr="00907E6A" w:rsidRDefault="00EB094C" w:rsidP="003A24C9">
            <w:pPr>
              <w:pStyle w:val="TableParagraph"/>
              <w:ind w:left="107"/>
              <w:jc w:val="both"/>
            </w:pPr>
            <w:r w:rsidRPr="00907E6A">
              <w:t>Date of meeting</w:t>
            </w:r>
          </w:p>
        </w:tc>
        <w:tc>
          <w:tcPr>
            <w:tcW w:w="4510" w:type="dxa"/>
          </w:tcPr>
          <w:p w14:paraId="19DF34DC" w14:textId="77777777" w:rsidR="00EB094C" w:rsidRPr="00907E6A" w:rsidRDefault="00EB094C" w:rsidP="003A24C9">
            <w:pPr>
              <w:pStyle w:val="TableParagraph"/>
              <w:spacing w:before="11"/>
              <w:jc w:val="both"/>
              <w:rPr>
                <w:b/>
              </w:rPr>
            </w:pPr>
          </w:p>
          <w:p w14:paraId="22FBAE32" w14:textId="77777777" w:rsidR="00EB094C" w:rsidRPr="00907E6A" w:rsidRDefault="00EB094C" w:rsidP="003A24C9">
            <w:pPr>
              <w:pStyle w:val="TableParagraph"/>
              <w:ind w:left="107"/>
              <w:jc w:val="both"/>
            </w:pPr>
            <w:r>
              <w:t>November 2021</w:t>
            </w:r>
          </w:p>
        </w:tc>
      </w:tr>
      <w:tr w:rsidR="00EB094C" w:rsidRPr="00907E6A" w14:paraId="5D3568B0" w14:textId="77777777" w:rsidTr="003A24C9">
        <w:trPr>
          <w:trHeight w:val="805"/>
          <w:jc w:val="center"/>
        </w:trPr>
        <w:tc>
          <w:tcPr>
            <w:tcW w:w="4508" w:type="dxa"/>
          </w:tcPr>
          <w:p w14:paraId="0C5C7307" w14:textId="77777777" w:rsidR="00EB094C" w:rsidRPr="00907E6A" w:rsidRDefault="00EB094C" w:rsidP="003A24C9">
            <w:pPr>
              <w:pStyle w:val="TableParagraph"/>
              <w:spacing w:before="11"/>
              <w:jc w:val="both"/>
              <w:rPr>
                <w:b/>
              </w:rPr>
            </w:pPr>
          </w:p>
          <w:p w14:paraId="51B57BEE" w14:textId="77777777" w:rsidR="00EB094C" w:rsidRPr="00907E6A" w:rsidRDefault="00EB094C" w:rsidP="003A24C9">
            <w:pPr>
              <w:pStyle w:val="TableParagraph"/>
              <w:ind w:left="107"/>
              <w:jc w:val="both"/>
            </w:pPr>
            <w:r w:rsidRPr="00907E6A">
              <w:t>Committee/Subcommittee</w:t>
            </w:r>
          </w:p>
        </w:tc>
        <w:tc>
          <w:tcPr>
            <w:tcW w:w="4510" w:type="dxa"/>
          </w:tcPr>
          <w:p w14:paraId="3A602FA1" w14:textId="77777777" w:rsidR="00EB094C" w:rsidRPr="00907E6A" w:rsidRDefault="00EB094C" w:rsidP="003A24C9">
            <w:pPr>
              <w:pStyle w:val="TableParagraph"/>
              <w:spacing w:before="11"/>
              <w:jc w:val="both"/>
              <w:rPr>
                <w:b/>
              </w:rPr>
            </w:pPr>
          </w:p>
          <w:p w14:paraId="171008FC" w14:textId="77777777" w:rsidR="00EB094C" w:rsidRPr="00907E6A" w:rsidRDefault="00EB094C" w:rsidP="003A24C9">
            <w:pPr>
              <w:pStyle w:val="TableParagraph"/>
              <w:ind w:left="107"/>
              <w:jc w:val="both"/>
            </w:pPr>
            <w:proofErr w:type="spellStart"/>
            <w:r w:rsidRPr="00907E6A">
              <w:t>FunCon</w:t>
            </w:r>
            <w:proofErr w:type="spellEnd"/>
          </w:p>
        </w:tc>
      </w:tr>
      <w:tr w:rsidR="00EB094C" w:rsidRPr="00907E6A" w14:paraId="712917FD" w14:textId="77777777" w:rsidTr="003A24C9">
        <w:trPr>
          <w:trHeight w:val="806"/>
          <w:jc w:val="center"/>
        </w:trPr>
        <w:tc>
          <w:tcPr>
            <w:tcW w:w="4508" w:type="dxa"/>
          </w:tcPr>
          <w:p w14:paraId="64FE0A2B" w14:textId="77777777" w:rsidR="00EB094C" w:rsidRPr="00907E6A" w:rsidRDefault="00EB094C" w:rsidP="003A24C9">
            <w:pPr>
              <w:pStyle w:val="TableParagraph"/>
              <w:spacing w:before="12"/>
              <w:jc w:val="both"/>
              <w:rPr>
                <w:b/>
              </w:rPr>
            </w:pPr>
          </w:p>
          <w:p w14:paraId="00D8F27C" w14:textId="77777777" w:rsidR="00EB094C" w:rsidRPr="00907E6A" w:rsidRDefault="00EB094C" w:rsidP="003A24C9">
            <w:pPr>
              <w:pStyle w:val="TableParagraph"/>
              <w:ind w:left="107"/>
              <w:jc w:val="both"/>
            </w:pPr>
            <w:r w:rsidRPr="00907E6A">
              <w:t>Status</w:t>
            </w:r>
          </w:p>
        </w:tc>
        <w:tc>
          <w:tcPr>
            <w:tcW w:w="4510" w:type="dxa"/>
          </w:tcPr>
          <w:p w14:paraId="1DDB30E0" w14:textId="77777777" w:rsidR="00EB094C" w:rsidRPr="00907E6A" w:rsidRDefault="00EB094C" w:rsidP="003A24C9">
            <w:pPr>
              <w:pStyle w:val="TableParagraph"/>
              <w:spacing w:before="12"/>
              <w:jc w:val="both"/>
              <w:rPr>
                <w:b/>
              </w:rPr>
            </w:pPr>
          </w:p>
          <w:p w14:paraId="7CEED332" w14:textId="77777777" w:rsidR="00EB094C" w:rsidRPr="00907E6A" w:rsidRDefault="00EB094C" w:rsidP="003A24C9">
            <w:pPr>
              <w:pStyle w:val="TableParagraph"/>
              <w:ind w:left="107"/>
              <w:jc w:val="both"/>
            </w:pPr>
            <w:r w:rsidRPr="00907E6A">
              <w:t>Not confidential</w:t>
            </w:r>
          </w:p>
        </w:tc>
      </w:tr>
      <w:tr w:rsidR="00EB094C" w:rsidRPr="00907E6A" w14:paraId="2DB88190" w14:textId="77777777" w:rsidTr="003A24C9">
        <w:trPr>
          <w:trHeight w:val="805"/>
          <w:jc w:val="center"/>
        </w:trPr>
        <w:tc>
          <w:tcPr>
            <w:tcW w:w="4508" w:type="dxa"/>
          </w:tcPr>
          <w:p w14:paraId="508A4004" w14:textId="77777777" w:rsidR="00EB094C" w:rsidRPr="00907E6A" w:rsidRDefault="00EB094C" w:rsidP="003A24C9">
            <w:pPr>
              <w:pStyle w:val="TableParagraph"/>
              <w:spacing w:before="11"/>
              <w:jc w:val="both"/>
              <w:rPr>
                <w:b/>
              </w:rPr>
            </w:pPr>
          </w:p>
          <w:p w14:paraId="62C6C413" w14:textId="77777777" w:rsidR="00EB094C" w:rsidRPr="00907E6A" w:rsidRDefault="00EB094C" w:rsidP="003A24C9">
            <w:pPr>
              <w:pStyle w:val="TableParagraph"/>
              <w:ind w:left="107"/>
              <w:jc w:val="both"/>
            </w:pPr>
            <w:r w:rsidRPr="00907E6A">
              <w:t>Overview</w:t>
            </w:r>
          </w:p>
        </w:tc>
        <w:tc>
          <w:tcPr>
            <w:tcW w:w="4510" w:type="dxa"/>
          </w:tcPr>
          <w:p w14:paraId="7E5CF8F2" w14:textId="77777777" w:rsidR="00EB094C" w:rsidRPr="00907E6A" w:rsidRDefault="00EB094C" w:rsidP="003A24C9">
            <w:pPr>
              <w:pStyle w:val="TableParagraph"/>
              <w:spacing w:before="11"/>
              <w:jc w:val="both"/>
              <w:rPr>
                <w:b/>
              </w:rPr>
            </w:pPr>
          </w:p>
          <w:p w14:paraId="4FC75945" w14:textId="77777777" w:rsidR="00EB094C" w:rsidRPr="00907E6A" w:rsidRDefault="00EB094C" w:rsidP="003A24C9">
            <w:pPr>
              <w:pStyle w:val="TableParagraph"/>
              <w:ind w:left="107"/>
              <w:jc w:val="both"/>
            </w:pPr>
            <w:r w:rsidRPr="00907E6A">
              <w:t>Latest statistics for information</w:t>
            </w:r>
          </w:p>
        </w:tc>
      </w:tr>
      <w:tr w:rsidR="00EB094C" w:rsidRPr="00907E6A" w14:paraId="380B2437" w14:textId="77777777" w:rsidTr="003A24C9">
        <w:trPr>
          <w:trHeight w:val="806"/>
          <w:jc w:val="center"/>
        </w:trPr>
        <w:tc>
          <w:tcPr>
            <w:tcW w:w="4508" w:type="dxa"/>
          </w:tcPr>
          <w:p w14:paraId="1A4F2E75" w14:textId="77777777" w:rsidR="00EB094C" w:rsidRPr="00907E6A" w:rsidRDefault="00EB094C" w:rsidP="003A24C9">
            <w:pPr>
              <w:pStyle w:val="TableParagraph"/>
              <w:spacing w:before="11"/>
              <w:jc w:val="both"/>
              <w:rPr>
                <w:b/>
              </w:rPr>
            </w:pPr>
          </w:p>
          <w:p w14:paraId="6AB5FA5F" w14:textId="77777777" w:rsidR="00EB094C" w:rsidRPr="00907E6A" w:rsidRDefault="00EB094C" w:rsidP="003A24C9">
            <w:pPr>
              <w:pStyle w:val="TableParagraph"/>
              <w:ind w:left="107"/>
              <w:jc w:val="both"/>
            </w:pPr>
            <w:r w:rsidRPr="00907E6A">
              <w:t>Proposed action(s)</w:t>
            </w:r>
          </w:p>
        </w:tc>
        <w:tc>
          <w:tcPr>
            <w:tcW w:w="4510" w:type="dxa"/>
          </w:tcPr>
          <w:p w14:paraId="6252ED5F" w14:textId="77777777" w:rsidR="00EB094C" w:rsidRPr="00907E6A" w:rsidRDefault="00EB094C" w:rsidP="003A24C9">
            <w:pPr>
              <w:pStyle w:val="TableParagraph"/>
              <w:spacing w:before="11"/>
              <w:jc w:val="both"/>
              <w:rPr>
                <w:b/>
              </w:rPr>
            </w:pPr>
          </w:p>
          <w:p w14:paraId="22692DB4" w14:textId="77777777" w:rsidR="00EB094C" w:rsidRPr="00907E6A" w:rsidRDefault="00EB094C" w:rsidP="003A24C9">
            <w:pPr>
              <w:pStyle w:val="TableParagraph"/>
              <w:ind w:left="107"/>
              <w:jc w:val="both"/>
            </w:pPr>
            <w:r w:rsidRPr="00907E6A">
              <w:t>No action required</w:t>
            </w:r>
          </w:p>
        </w:tc>
      </w:tr>
      <w:tr w:rsidR="00EB094C" w:rsidRPr="00907E6A" w14:paraId="3C8B44A3" w14:textId="77777777" w:rsidTr="003A24C9">
        <w:trPr>
          <w:trHeight w:val="806"/>
          <w:jc w:val="center"/>
        </w:trPr>
        <w:tc>
          <w:tcPr>
            <w:tcW w:w="4508" w:type="dxa"/>
          </w:tcPr>
          <w:p w14:paraId="1E7912F2" w14:textId="77777777" w:rsidR="00EB094C" w:rsidRPr="00907E6A" w:rsidRDefault="00EB094C" w:rsidP="003A24C9">
            <w:pPr>
              <w:pStyle w:val="TableParagraph"/>
              <w:spacing w:before="11"/>
              <w:jc w:val="both"/>
              <w:rPr>
                <w:b/>
              </w:rPr>
            </w:pPr>
          </w:p>
          <w:p w14:paraId="25D893E6" w14:textId="77777777" w:rsidR="00EB094C" w:rsidRPr="00907E6A" w:rsidRDefault="00EB094C" w:rsidP="003A24C9">
            <w:pPr>
              <w:pStyle w:val="TableParagraph"/>
              <w:ind w:left="107"/>
              <w:jc w:val="both"/>
            </w:pPr>
            <w:r w:rsidRPr="00907E6A">
              <w:t>Author(s) of the paper</w:t>
            </w:r>
          </w:p>
        </w:tc>
        <w:tc>
          <w:tcPr>
            <w:tcW w:w="4510" w:type="dxa"/>
          </w:tcPr>
          <w:p w14:paraId="00AEAB10" w14:textId="77777777" w:rsidR="00EB094C" w:rsidRPr="00907E6A" w:rsidRDefault="00EB094C" w:rsidP="003A24C9">
            <w:pPr>
              <w:pStyle w:val="TableParagraph"/>
              <w:spacing w:before="11"/>
              <w:jc w:val="both"/>
              <w:rPr>
                <w:b/>
              </w:rPr>
            </w:pPr>
          </w:p>
          <w:p w14:paraId="47E52362" w14:textId="77777777" w:rsidR="00EB094C" w:rsidRPr="00907E6A" w:rsidRDefault="00EB094C" w:rsidP="003A24C9">
            <w:pPr>
              <w:pStyle w:val="TableParagraph"/>
              <w:ind w:left="107"/>
              <w:jc w:val="both"/>
            </w:pPr>
            <w:r w:rsidRPr="00907E6A">
              <w:t>PSNC Pharmacy Funding Team</w:t>
            </w:r>
          </w:p>
        </w:tc>
      </w:tr>
    </w:tbl>
    <w:p w14:paraId="45D504F2" w14:textId="77777777" w:rsidR="00EB094C" w:rsidRDefault="00EB094C" w:rsidP="00EB094C"/>
    <w:p w14:paraId="182B88B1" w14:textId="77777777" w:rsidR="00EB094C" w:rsidRDefault="00EB094C" w:rsidP="00EB094C"/>
    <w:p w14:paraId="59279A6F" w14:textId="77777777" w:rsidR="00EB094C" w:rsidRDefault="00EB094C" w:rsidP="00EB094C"/>
    <w:p w14:paraId="5F5C6DA3" w14:textId="77777777" w:rsidR="00EB094C" w:rsidRDefault="00EB094C" w:rsidP="00EB094C"/>
    <w:p w14:paraId="77E6F3D5" w14:textId="77777777" w:rsidR="00EB094C" w:rsidRDefault="00EB094C" w:rsidP="00EB094C"/>
    <w:p w14:paraId="7225289D" w14:textId="77777777" w:rsidR="00EB094C" w:rsidRDefault="00EB094C" w:rsidP="00EB094C"/>
    <w:p w14:paraId="16940127" w14:textId="77777777" w:rsidR="00EB094C" w:rsidRDefault="00EB094C" w:rsidP="00EB094C"/>
    <w:p w14:paraId="46FD0138" w14:textId="77777777" w:rsidR="00EB094C" w:rsidRDefault="00EB094C" w:rsidP="00EB094C"/>
    <w:p w14:paraId="7324A931" w14:textId="77777777" w:rsidR="00EB094C" w:rsidRDefault="00EB094C" w:rsidP="00EB094C"/>
    <w:p w14:paraId="607BB38F" w14:textId="77777777" w:rsidR="00EB094C" w:rsidRDefault="00EB094C" w:rsidP="00EB094C"/>
    <w:p w14:paraId="04A47169" w14:textId="77777777" w:rsidR="00EB094C" w:rsidRDefault="00EB094C" w:rsidP="00EB094C"/>
    <w:p w14:paraId="339F714F" w14:textId="77777777" w:rsidR="00EB094C" w:rsidRDefault="00EB094C" w:rsidP="00EB094C"/>
    <w:p w14:paraId="06CAA4F7" w14:textId="77777777" w:rsidR="00EB094C" w:rsidRDefault="00EB094C" w:rsidP="00EB094C"/>
    <w:p w14:paraId="2727533A" w14:textId="77777777" w:rsidR="00EB094C" w:rsidRDefault="00EB094C" w:rsidP="00EB094C"/>
    <w:p w14:paraId="2AB09417" w14:textId="77777777" w:rsidR="00EB094C" w:rsidRDefault="00EB094C" w:rsidP="00EB094C"/>
    <w:p w14:paraId="533AAF5F" w14:textId="77777777" w:rsidR="00EB094C" w:rsidRDefault="00EB094C" w:rsidP="00EB094C"/>
    <w:p w14:paraId="25050C74" w14:textId="5E85EF50" w:rsidR="00EB094C" w:rsidRDefault="00EB094C" w:rsidP="00EB094C">
      <w:pPr>
        <w:rPr>
          <w:b/>
          <w:bCs/>
          <w:color w:val="5B518E"/>
          <w:sz w:val="28"/>
          <w:szCs w:val="28"/>
        </w:rPr>
      </w:pPr>
      <w:r w:rsidRPr="006C0DB9">
        <w:rPr>
          <w:b/>
          <w:bCs/>
          <w:color w:val="5B518E"/>
          <w:sz w:val="28"/>
          <w:szCs w:val="28"/>
        </w:rPr>
        <w:lastRenderedPageBreak/>
        <w:t>Statistics</w:t>
      </w:r>
    </w:p>
    <w:p w14:paraId="4DBB780F" w14:textId="77777777" w:rsidR="00EB094C" w:rsidRDefault="00EB094C" w:rsidP="00EB094C">
      <w:pPr>
        <w:pStyle w:val="Heading2"/>
      </w:pPr>
    </w:p>
    <w:p w14:paraId="2BF9C0F3" w14:textId="77777777" w:rsidR="00EB094C" w:rsidRDefault="00EB094C" w:rsidP="00EB094C">
      <w:pPr>
        <w:pStyle w:val="Heading2"/>
      </w:pPr>
      <w:r>
        <w:t>Dispensing</w:t>
      </w:r>
    </w:p>
    <w:p w14:paraId="276BFA87" w14:textId="77777777" w:rsidR="00EB094C" w:rsidRPr="00736A97" w:rsidRDefault="00EB094C" w:rsidP="00EB094C"/>
    <w:p w14:paraId="7476D51F" w14:textId="77777777" w:rsidR="00EB094C" w:rsidRDefault="00EB094C" w:rsidP="00EB094C">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58240" behindDoc="0" locked="0" layoutInCell="1" allowOverlap="1" wp14:anchorId="7FD5ADD7" wp14:editId="437B13A1">
                <wp:simplePos x="0" y="0"/>
                <wp:positionH relativeFrom="column">
                  <wp:posOffset>4305300</wp:posOffset>
                </wp:positionH>
                <wp:positionV relativeFrom="paragraph">
                  <wp:posOffset>22860</wp:posOffset>
                </wp:positionV>
                <wp:extent cx="1666875" cy="2772000"/>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66711E38" w14:textId="77777777" w:rsidR="00EB094C" w:rsidRDefault="00EB094C" w:rsidP="00EB094C"/>
                          <w:p w14:paraId="1CA12695" w14:textId="77777777" w:rsidR="00EB094C" w:rsidRDefault="00EB094C" w:rsidP="00EB094C">
                            <w:r>
                              <w:t xml:space="preserve">The latest rolling 12 month item volume as of </w:t>
                            </w:r>
                            <w:r>
                              <w:rPr>
                                <w:b/>
                                <w:bCs/>
                                <w:sz w:val="32"/>
                                <w:szCs w:val="32"/>
                              </w:rPr>
                              <w:t>Aug</w:t>
                            </w:r>
                            <w:r w:rsidRPr="00BF4190">
                              <w:rPr>
                                <w:b/>
                                <w:bCs/>
                                <w:sz w:val="32"/>
                                <w:szCs w:val="32"/>
                              </w:rPr>
                              <w:t>-21</w:t>
                            </w:r>
                            <w:r>
                              <w:t xml:space="preserve"> is </w:t>
                            </w:r>
                            <w:r w:rsidRPr="00BF4190">
                              <w:rPr>
                                <w:b/>
                                <w:bCs/>
                                <w:sz w:val="32"/>
                                <w:szCs w:val="32"/>
                              </w:rPr>
                              <w:t>1,0</w:t>
                            </w:r>
                            <w:r>
                              <w:rPr>
                                <w:b/>
                                <w:bCs/>
                                <w:sz w:val="32"/>
                                <w:szCs w:val="32"/>
                              </w:rPr>
                              <w:t>38.5</w:t>
                            </w:r>
                            <w:r w:rsidRPr="00BF4190">
                              <w:rPr>
                                <w:b/>
                                <w:bCs/>
                                <w:sz w:val="32"/>
                                <w:szCs w:val="32"/>
                              </w:rPr>
                              <w:t>m</w:t>
                            </w:r>
                            <w:r w:rsidRPr="00BF4190">
                              <w:rPr>
                                <w:sz w:val="32"/>
                                <w:szCs w:val="32"/>
                              </w:rPr>
                              <w:t xml:space="preserve"> </w:t>
                            </w:r>
                            <w:r>
                              <w:t>items.</w:t>
                            </w:r>
                          </w:p>
                          <w:p w14:paraId="6D51EC9B" w14:textId="77777777" w:rsidR="00EB094C" w:rsidRDefault="00EB094C" w:rsidP="00EB094C">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5ADD7" id="_x0000_t202" coordsize="21600,21600" o:spt="202" path="m,l,21600r21600,l21600,xe">
                <v:stroke joinstyle="miter"/>
                <v:path gradientshapeok="t" o:connecttype="rect"/>
              </v:shapetype>
              <v:shape id="Text Box 17" o:spid="_x0000_s1026" type="#_x0000_t202" style="position:absolute;left:0;text-align:left;margin-left:339pt;margin-top:1.8pt;width:131.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" fillcolor="white [3201]" strokeweight=".5pt">
                <v:textbox>
                  <w:txbxContent>
                    <w:p w14:paraId="66711E38" w14:textId="77777777" w:rsidR="00EB094C" w:rsidRDefault="00EB094C" w:rsidP="00EB094C"/>
                    <w:p w14:paraId="1CA12695" w14:textId="77777777" w:rsidR="00EB094C" w:rsidRDefault="00EB094C" w:rsidP="00EB094C">
                      <w:r>
                        <w:t xml:space="preserve">The latest rolling 12 month item volume as of </w:t>
                      </w:r>
                      <w:r>
                        <w:rPr>
                          <w:b/>
                          <w:bCs/>
                          <w:sz w:val="32"/>
                          <w:szCs w:val="32"/>
                        </w:rPr>
                        <w:t>Aug</w:t>
                      </w:r>
                      <w:r w:rsidRPr="00BF4190">
                        <w:rPr>
                          <w:b/>
                          <w:bCs/>
                          <w:sz w:val="32"/>
                          <w:szCs w:val="32"/>
                        </w:rPr>
                        <w:t>-21</w:t>
                      </w:r>
                      <w:r>
                        <w:t xml:space="preserve"> is </w:t>
                      </w:r>
                      <w:r w:rsidRPr="00BF4190">
                        <w:rPr>
                          <w:b/>
                          <w:bCs/>
                          <w:sz w:val="32"/>
                          <w:szCs w:val="32"/>
                        </w:rPr>
                        <w:t>1,0</w:t>
                      </w:r>
                      <w:r>
                        <w:rPr>
                          <w:b/>
                          <w:bCs/>
                          <w:sz w:val="32"/>
                          <w:szCs w:val="32"/>
                        </w:rPr>
                        <w:t>38.5</w:t>
                      </w:r>
                      <w:r w:rsidRPr="00BF4190">
                        <w:rPr>
                          <w:b/>
                          <w:bCs/>
                          <w:sz w:val="32"/>
                          <w:szCs w:val="32"/>
                        </w:rPr>
                        <w:t>m</w:t>
                      </w:r>
                      <w:r w:rsidRPr="00BF4190">
                        <w:rPr>
                          <w:sz w:val="32"/>
                          <w:szCs w:val="32"/>
                        </w:rPr>
                        <w:t xml:space="preserve"> </w:t>
                      </w:r>
                      <w:r>
                        <w:t>items.</w:t>
                      </w:r>
                    </w:p>
                    <w:p w14:paraId="6D51EC9B" w14:textId="77777777" w:rsidR="00EB094C" w:rsidRDefault="00EB094C" w:rsidP="00EB094C">
                      <w:r>
                        <w:t xml:space="preserve">In the last 24 months the peak was </w:t>
                      </w:r>
                      <w:r w:rsidRPr="001436A1">
                        <w:rPr>
                          <w:b/>
                          <w:bCs/>
                          <w:sz w:val="32"/>
                          <w:szCs w:val="32"/>
                        </w:rPr>
                        <w:t>1,055.7m</w:t>
                      </w:r>
                      <w:r w:rsidRPr="001436A1">
                        <w:rPr>
                          <w:sz w:val="32"/>
                          <w:szCs w:val="32"/>
                        </w:rPr>
                        <w:t xml:space="preserve"> </w:t>
                      </w:r>
                      <w:r>
                        <w:t xml:space="preserve">items in </w:t>
                      </w:r>
                      <w:r w:rsidRPr="001436A1">
                        <w:rPr>
                          <w:b/>
                          <w:bCs/>
                          <w:sz w:val="32"/>
                          <w:szCs w:val="32"/>
                        </w:rPr>
                        <w:t>Apr-20</w:t>
                      </w:r>
                      <w:r>
                        <w:t>.</w:t>
                      </w:r>
                    </w:p>
                  </w:txbxContent>
                </v:textbox>
              </v:shape>
            </w:pict>
          </mc:Fallback>
        </mc:AlternateContent>
      </w:r>
      <w:r>
        <w:rPr>
          <w:b/>
          <w:bCs/>
          <w:noProof/>
          <w:color w:val="5B518E"/>
          <w:sz w:val="28"/>
          <w:szCs w:val="28"/>
        </w:rPr>
        <w:drawing>
          <wp:inline distT="0" distB="0" distL="0" distR="0" wp14:anchorId="63ACF183" wp14:editId="7CBA0940">
            <wp:extent cx="4476750" cy="2766145"/>
            <wp:effectExtent l="0" t="0" r="0" b="0"/>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488919" cy="2773664"/>
                    </a:xfrm>
                    <a:prstGeom prst="rect">
                      <a:avLst/>
                    </a:prstGeom>
                    <a:noFill/>
                  </pic:spPr>
                </pic:pic>
              </a:graphicData>
            </a:graphic>
          </wp:inline>
        </w:drawing>
      </w:r>
    </w:p>
    <w:p w14:paraId="0DDAFC6D" w14:textId="77777777" w:rsidR="00EB094C" w:rsidRDefault="00EB094C" w:rsidP="00EB094C">
      <w:pPr>
        <w:spacing w:before="15"/>
        <w:ind w:left="-567" w:right="-22"/>
        <w:rPr>
          <w:b/>
          <w:bCs/>
          <w:color w:val="5B518E"/>
          <w:sz w:val="28"/>
          <w:szCs w:val="28"/>
        </w:rPr>
      </w:pPr>
    </w:p>
    <w:p w14:paraId="2512A64F" w14:textId="77777777" w:rsidR="00EB094C" w:rsidRDefault="00EB094C" w:rsidP="00EB094C">
      <w:pPr>
        <w:spacing w:before="15"/>
        <w:ind w:left="-567" w:right="-22"/>
        <w:rPr>
          <w:b/>
          <w:bCs/>
          <w:color w:val="5B518E"/>
          <w:sz w:val="28"/>
          <w:szCs w:val="28"/>
        </w:rPr>
      </w:pPr>
    </w:p>
    <w:p w14:paraId="5782EDD4" w14:textId="77777777" w:rsidR="00EB094C" w:rsidRDefault="00EB094C" w:rsidP="00EB094C">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58244" behindDoc="0" locked="0" layoutInCell="1" allowOverlap="1" wp14:anchorId="0801D437" wp14:editId="4936EE1D">
                <wp:simplePos x="0" y="0"/>
                <wp:positionH relativeFrom="column">
                  <wp:posOffset>-333375</wp:posOffset>
                </wp:positionH>
                <wp:positionV relativeFrom="paragraph">
                  <wp:posOffset>344170</wp:posOffset>
                </wp:positionV>
                <wp:extent cx="1666875" cy="2772000"/>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39DEAF15" w14:textId="77777777" w:rsidR="00EB094C" w:rsidRDefault="00EB094C" w:rsidP="00EB094C"/>
                          <w:p w14:paraId="2EEF8DD3" w14:textId="77777777" w:rsidR="00EB094C" w:rsidRDefault="00EB094C" w:rsidP="00EB094C"/>
                          <w:p w14:paraId="37209F49" w14:textId="77777777" w:rsidR="00EB094C" w:rsidRDefault="00EB094C" w:rsidP="00EB094C">
                            <w:r>
                              <w:t xml:space="preserve">As of </w:t>
                            </w:r>
                            <w:r w:rsidRPr="00F41CCF">
                              <w:rPr>
                                <w:b/>
                                <w:bCs/>
                                <w:sz w:val="32"/>
                                <w:szCs w:val="32"/>
                              </w:rPr>
                              <w:t>Aug-21</w:t>
                            </w:r>
                            <w:r>
                              <w:t xml:space="preserve">, the proportion of all items that are EPS is </w:t>
                            </w:r>
                            <w:r w:rsidRPr="00F41CCF">
                              <w:rPr>
                                <w:b/>
                                <w:bCs/>
                                <w:sz w:val="32"/>
                                <w:szCs w:val="32"/>
                              </w:rPr>
                              <w:t>95.4%</w:t>
                            </w:r>
                            <w:r>
                              <w:t xml:space="preserve">. The proportion of items that are ERD is </w:t>
                            </w:r>
                            <w:r w:rsidRPr="00F41CCF">
                              <w:rPr>
                                <w:b/>
                                <w:bCs/>
                                <w:sz w:val="32"/>
                                <w:szCs w:val="32"/>
                              </w:rPr>
                              <w:t>14.6%</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1D437" id="Text Box 18" o:spid="_x0000_s1027" type="#_x0000_t202" style="position:absolute;left:0;text-align:left;margin-left:-26.25pt;margin-top:27.1pt;width:131.25pt;height:21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" fillcolor="white [3201]" strokeweight=".5pt">
                <v:textbox>
                  <w:txbxContent>
                    <w:p w14:paraId="39DEAF15" w14:textId="77777777" w:rsidR="00EB094C" w:rsidRDefault="00EB094C" w:rsidP="00EB094C"/>
                    <w:p w14:paraId="2EEF8DD3" w14:textId="77777777" w:rsidR="00EB094C" w:rsidRDefault="00EB094C" w:rsidP="00EB094C"/>
                    <w:p w14:paraId="37209F49" w14:textId="77777777" w:rsidR="00EB094C" w:rsidRDefault="00EB094C" w:rsidP="00EB094C">
                      <w:r>
                        <w:t xml:space="preserve">As of </w:t>
                      </w:r>
                      <w:r w:rsidRPr="00F41CCF">
                        <w:rPr>
                          <w:b/>
                          <w:bCs/>
                          <w:sz w:val="32"/>
                          <w:szCs w:val="32"/>
                        </w:rPr>
                        <w:t>Aug-21</w:t>
                      </w:r>
                      <w:r>
                        <w:t xml:space="preserve">, the proportion of all items that are EPS is </w:t>
                      </w:r>
                      <w:r w:rsidRPr="00F41CCF">
                        <w:rPr>
                          <w:b/>
                          <w:bCs/>
                          <w:sz w:val="32"/>
                          <w:szCs w:val="32"/>
                        </w:rPr>
                        <w:t>95.4%</w:t>
                      </w:r>
                      <w:r>
                        <w:t xml:space="preserve">. The proportion of items that are ERD is </w:t>
                      </w:r>
                      <w:r w:rsidRPr="00F41CCF">
                        <w:rPr>
                          <w:b/>
                          <w:bCs/>
                          <w:sz w:val="32"/>
                          <w:szCs w:val="32"/>
                        </w:rPr>
                        <w:t>14.6%</w:t>
                      </w:r>
                      <w:r>
                        <w:t>.</w:t>
                      </w:r>
                    </w:p>
                  </w:txbxContent>
                </v:textbox>
              </v:shape>
            </w:pict>
          </mc:Fallback>
        </mc:AlternateContent>
      </w:r>
    </w:p>
    <w:p w14:paraId="54EAC2A5" w14:textId="77777777" w:rsidR="00EB094C" w:rsidRDefault="00EB094C" w:rsidP="00EB094C">
      <w:pPr>
        <w:jc w:val="right"/>
        <w:rPr>
          <w:b/>
          <w:bCs/>
          <w:color w:val="5B518E"/>
          <w:sz w:val="28"/>
          <w:szCs w:val="28"/>
        </w:rPr>
      </w:pPr>
      <w:r>
        <w:rPr>
          <w:b/>
          <w:bCs/>
          <w:noProof/>
          <w:color w:val="5B518E"/>
          <w:sz w:val="28"/>
          <w:szCs w:val="28"/>
        </w:rPr>
        <w:drawing>
          <wp:inline distT="0" distB="0" distL="0" distR="0" wp14:anchorId="5B59A7D9" wp14:editId="19891D74">
            <wp:extent cx="4243592" cy="2847975"/>
            <wp:effectExtent l="0" t="0" r="5080" b="0"/>
            <wp:docPr id="24" name="Picture 2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line chart&#10;&#10;Description automatically generate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247835" cy="2850822"/>
                    </a:xfrm>
                    <a:prstGeom prst="rect">
                      <a:avLst/>
                    </a:prstGeom>
                    <a:noFill/>
                  </pic:spPr>
                </pic:pic>
              </a:graphicData>
            </a:graphic>
          </wp:inline>
        </w:drawing>
      </w:r>
      <w:r>
        <w:rPr>
          <w:b/>
          <w:bCs/>
          <w:color w:val="5B518E"/>
          <w:sz w:val="28"/>
          <w:szCs w:val="28"/>
        </w:rPr>
        <w:br w:type="page"/>
      </w:r>
    </w:p>
    <w:p w14:paraId="4D3A0B9B" w14:textId="77777777" w:rsidR="00EB094C" w:rsidRDefault="00EB094C" w:rsidP="00EB094C">
      <w:pPr>
        <w:spacing w:before="15"/>
        <w:ind w:right="-472"/>
        <w:jc w:val="right"/>
        <w:rPr>
          <w:b/>
          <w:bCs/>
          <w:color w:val="5B518E"/>
          <w:sz w:val="28"/>
          <w:szCs w:val="28"/>
        </w:rPr>
      </w:pPr>
    </w:p>
    <w:p w14:paraId="46DC2714" w14:textId="77777777" w:rsidR="00EB094C" w:rsidRDefault="00EB094C" w:rsidP="00EB094C">
      <w:pPr>
        <w:pStyle w:val="Heading2"/>
      </w:pPr>
      <w:r>
        <w:t>Category M</w:t>
      </w:r>
    </w:p>
    <w:p w14:paraId="06D40814" w14:textId="77777777" w:rsidR="00EB094C" w:rsidRPr="00736A97" w:rsidRDefault="00EB094C" w:rsidP="00EB094C"/>
    <w:p w14:paraId="0F46AAA1" w14:textId="77777777" w:rsidR="00EB094C" w:rsidRDefault="00EB094C" w:rsidP="00EB094C">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58241" behindDoc="0" locked="0" layoutInCell="1" allowOverlap="1" wp14:anchorId="3C3BBB04" wp14:editId="5A82540E">
                <wp:simplePos x="0" y="0"/>
                <wp:positionH relativeFrom="column">
                  <wp:posOffset>-342900</wp:posOffset>
                </wp:positionH>
                <wp:positionV relativeFrom="paragraph">
                  <wp:posOffset>6350</wp:posOffset>
                </wp:positionV>
                <wp:extent cx="1666875" cy="2772000"/>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77B56B5F" w14:textId="77777777" w:rsidR="00EB094C" w:rsidRDefault="00EB094C" w:rsidP="00EB094C"/>
                          <w:p w14:paraId="05E501F1" w14:textId="77777777" w:rsidR="00EB094C" w:rsidRDefault="00EB094C" w:rsidP="00EB094C"/>
                          <w:p w14:paraId="3D8839B7" w14:textId="77777777" w:rsidR="00EB094C" w:rsidRDefault="00EB094C" w:rsidP="00EB094C">
                            <w:r>
                              <w:t xml:space="preserve">The </w:t>
                            </w:r>
                            <w:r>
                              <w:rPr>
                                <w:b/>
                                <w:bCs/>
                                <w:sz w:val="32"/>
                                <w:szCs w:val="32"/>
                              </w:rPr>
                              <w:t>Oct</w:t>
                            </w:r>
                            <w:r w:rsidRPr="001436A1">
                              <w:rPr>
                                <w:b/>
                                <w:bCs/>
                                <w:sz w:val="32"/>
                                <w:szCs w:val="32"/>
                              </w:rPr>
                              <w:t>-21</w:t>
                            </w:r>
                            <w:r w:rsidRPr="001436A1">
                              <w:rPr>
                                <w:sz w:val="32"/>
                                <w:szCs w:val="32"/>
                              </w:rPr>
                              <w:t xml:space="preserve"> </w:t>
                            </w:r>
                            <w:r>
                              <w:t xml:space="preserve">Cat-M list will have an estimated impact of </w:t>
                            </w:r>
                            <w:r w:rsidRPr="004477C4">
                              <w:rPr>
                                <w:b/>
                                <w:bCs/>
                                <w:sz w:val="32"/>
                                <w:szCs w:val="32"/>
                              </w:rPr>
                              <w:t>-</w:t>
                            </w:r>
                            <w:r>
                              <w:rPr>
                                <w:b/>
                                <w:bCs/>
                                <w:sz w:val="32"/>
                                <w:szCs w:val="32"/>
                              </w:rPr>
                              <w:t>38</w:t>
                            </w:r>
                            <w:r w:rsidRPr="004477C4">
                              <w:rPr>
                                <w:b/>
                                <w:bCs/>
                                <w:sz w:val="32"/>
                                <w:szCs w:val="32"/>
                              </w:rPr>
                              <w:t xml:space="preserve"> 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BB04" id="Text Box 19" o:spid="_x0000_s1028" type="#_x0000_t202" style="position:absolute;left:0;text-align:left;margin-left:-27pt;margin-top:.5pt;width:131.25pt;height:21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" fillcolor="white [3201]" strokeweight=".5pt">
                <v:textbox>
                  <w:txbxContent>
                    <w:p w14:paraId="77B56B5F" w14:textId="77777777" w:rsidR="00EB094C" w:rsidRDefault="00EB094C" w:rsidP="00EB094C"/>
                    <w:p w14:paraId="05E501F1" w14:textId="77777777" w:rsidR="00EB094C" w:rsidRDefault="00EB094C" w:rsidP="00EB094C"/>
                    <w:p w14:paraId="3D8839B7" w14:textId="77777777" w:rsidR="00EB094C" w:rsidRDefault="00EB094C" w:rsidP="00EB094C">
                      <w:r>
                        <w:t xml:space="preserve">The </w:t>
                      </w:r>
                      <w:r>
                        <w:rPr>
                          <w:b/>
                          <w:bCs/>
                          <w:sz w:val="32"/>
                          <w:szCs w:val="32"/>
                        </w:rPr>
                        <w:t>Oct</w:t>
                      </w:r>
                      <w:r w:rsidRPr="001436A1">
                        <w:rPr>
                          <w:b/>
                          <w:bCs/>
                          <w:sz w:val="32"/>
                          <w:szCs w:val="32"/>
                        </w:rPr>
                        <w:t>-21</w:t>
                      </w:r>
                      <w:r w:rsidRPr="001436A1">
                        <w:rPr>
                          <w:sz w:val="32"/>
                          <w:szCs w:val="32"/>
                        </w:rPr>
                        <w:t xml:space="preserve"> </w:t>
                      </w:r>
                      <w:r>
                        <w:t xml:space="preserve">Cat-M list will have an estimated impact of </w:t>
                      </w:r>
                      <w:r w:rsidRPr="004477C4">
                        <w:rPr>
                          <w:b/>
                          <w:bCs/>
                          <w:sz w:val="32"/>
                          <w:szCs w:val="32"/>
                        </w:rPr>
                        <w:t>-</w:t>
                      </w:r>
                      <w:r>
                        <w:rPr>
                          <w:b/>
                          <w:bCs/>
                          <w:sz w:val="32"/>
                          <w:szCs w:val="32"/>
                        </w:rPr>
                        <w:t>38</w:t>
                      </w:r>
                      <w:r w:rsidRPr="004477C4">
                        <w:rPr>
                          <w:b/>
                          <w:bCs/>
                          <w:sz w:val="32"/>
                          <w:szCs w:val="32"/>
                        </w:rPr>
                        <w:t xml:space="preserve"> pence per item</w:t>
                      </w:r>
                      <w:r>
                        <w:t xml:space="preserve"> on like-for-like reimbursement</w:t>
                      </w:r>
                    </w:p>
                  </w:txbxContent>
                </v:textbox>
              </v:shape>
            </w:pict>
          </mc:Fallback>
        </mc:AlternateContent>
      </w:r>
      <w:r>
        <w:rPr>
          <w:b/>
          <w:bCs/>
          <w:noProof/>
          <w:color w:val="5B518E"/>
          <w:sz w:val="28"/>
          <w:szCs w:val="28"/>
        </w:rPr>
        <w:drawing>
          <wp:inline distT="0" distB="0" distL="0" distR="0" wp14:anchorId="54DF817D" wp14:editId="1D778189">
            <wp:extent cx="4566647" cy="2743200"/>
            <wp:effectExtent l="0" t="0" r="5715" b="0"/>
            <wp:docPr id="25" name="Picture 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line chart&#10;&#10;Description automatically generated"/>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9254" cy="2750773"/>
                    </a:xfrm>
                    <a:prstGeom prst="rect">
                      <a:avLst/>
                    </a:prstGeom>
                    <a:noFill/>
                  </pic:spPr>
                </pic:pic>
              </a:graphicData>
            </a:graphic>
          </wp:inline>
        </w:drawing>
      </w:r>
    </w:p>
    <w:p w14:paraId="250CA148" w14:textId="77777777" w:rsidR="00EB094C" w:rsidRDefault="00EB094C" w:rsidP="00EB094C">
      <w:pPr>
        <w:spacing w:before="15"/>
        <w:ind w:right="-472"/>
        <w:jc w:val="right"/>
        <w:rPr>
          <w:b/>
          <w:bCs/>
          <w:color w:val="5B518E"/>
          <w:sz w:val="28"/>
          <w:szCs w:val="28"/>
        </w:rPr>
      </w:pPr>
    </w:p>
    <w:p w14:paraId="709402DF" w14:textId="77777777" w:rsidR="00EB094C" w:rsidRDefault="00EB094C" w:rsidP="00EB094C">
      <w:pPr>
        <w:spacing w:before="15"/>
        <w:ind w:right="-472"/>
        <w:jc w:val="right"/>
        <w:rPr>
          <w:b/>
          <w:bCs/>
          <w:color w:val="5B518E"/>
          <w:sz w:val="28"/>
          <w:szCs w:val="28"/>
        </w:rPr>
      </w:pPr>
    </w:p>
    <w:p w14:paraId="793F1C4B" w14:textId="77777777" w:rsidR="00EB094C" w:rsidRDefault="00EB094C" w:rsidP="00EB094C">
      <w:pPr>
        <w:spacing w:before="15"/>
        <w:ind w:right="-472"/>
        <w:jc w:val="right"/>
        <w:rPr>
          <w:b/>
          <w:bCs/>
          <w:color w:val="5B518E"/>
          <w:sz w:val="28"/>
          <w:szCs w:val="28"/>
        </w:rPr>
      </w:pPr>
    </w:p>
    <w:p w14:paraId="052D700C" w14:textId="77777777" w:rsidR="00EB094C" w:rsidRDefault="00EB094C" w:rsidP="00EB094C">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58243" behindDoc="0" locked="0" layoutInCell="1" allowOverlap="1" wp14:anchorId="0CB1388B" wp14:editId="05D2E2D3">
                <wp:simplePos x="0" y="0"/>
                <wp:positionH relativeFrom="column">
                  <wp:posOffset>4445000</wp:posOffset>
                </wp:positionH>
                <wp:positionV relativeFrom="paragraph">
                  <wp:posOffset>328295</wp:posOffset>
                </wp:positionV>
                <wp:extent cx="1666875" cy="277200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5CDD6250" w14:textId="77777777" w:rsidR="00EB094C" w:rsidRDefault="00EB094C" w:rsidP="00EB094C"/>
                          <w:p w14:paraId="3411795F" w14:textId="77777777" w:rsidR="00EB094C" w:rsidRDefault="00EB094C" w:rsidP="00EB094C"/>
                          <w:p w14:paraId="1D69F0FA" w14:textId="77777777" w:rsidR="00EB094C" w:rsidRDefault="00EB094C" w:rsidP="00EB094C">
                            <w:r>
                              <w:t xml:space="preserve">The cumulative total of like-for-like changes since 2019 is currently </w:t>
                            </w:r>
                            <w:r>
                              <w:rPr>
                                <w:b/>
                                <w:bCs/>
                                <w:sz w:val="32"/>
                                <w:szCs w:val="32"/>
                              </w:rPr>
                              <w:t>-11</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388B" id="Text Box 20" o:spid="_x0000_s1029" type="#_x0000_t202" style="position:absolute;left:0;text-align:left;margin-left:350pt;margin-top:25.85pt;width:131.25pt;height:21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" fillcolor="white [3201]" strokeweight=".5pt">
                <v:textbox>
                  <w:txbxContent>
                    <w:p w14:paraId="5CDD6250" w14:textId="77777777" w:rsidR="00EB094C" w:rsidRDefault="00EB094C" w:rsidP="00EB094C"/>
                    <w:p w14:paraId="3411795F" w14:textId="77777777" w:rsidR="00EB094C" w:rsidRDefault="00EB094C" w:rsidP="00EB094C"/>
                    <w:p w14:paraId="1D69F0FA" w14:textId="77777777" w:rsidR="00EB094C" w:rsidRDefault="00EB094C" w:rsidP="00EB094C">
                      <w:r>
                        <w:t xml:space="preserve">The cumulative total of like-for-like changes since 2019 is currently </w:t>
                      </w:r>
                      <w:r>
                        <w:rPr>
                          <w:b/>
                          <w:bCs/>
                          <w:sz w:val="32"/>
                          <w:szCs w:val="32"/>
                        </w:rPr>
                        <w:t>-11</w:t>
                      </w:r>
                      <w:r w:rsidRPr="004477C4">
                        <w:rPr>
                          <w:b/>
                          <w:bCs/>
                          <w:sz w:val="32"/>
                          <w:szCs w:val="32"/>
                        </w:rPr>
                        <w:t xml:space="preserve"> pence per item</w:t>
                      </w:r>
                    </w:p>
                  </w:txbxContent>
                </v:textbox>
              </v:shape>
            </w:pict>
          </mc:Fallback>
        </mc:AlternateContent>
      </w:r>
    </w:p>
    <w:p w14:paraId="3B302725" w14:textId="77777777" w:rsidR="00EB094C" w:rsidRDefault="00EB094C" w:rsidP="00EB094C">
      <w:pPr>
        <w:spacing w:before="15"/>
        <w:ind w:left="-567" w:right="-472"/>
        <w:rPr>
          <w:b/>
          <w:bCs/>
          <w:color w:val="5B518E"/>
          <w:sz w:val="28"/>
          <w:szCs w:val="28"/>
        </w:rPr>
      </w:pPr>
      <w:r>
        <w:rPr>
          <w:b/>
          <w:bCs/>
          <w:noProof/>
          <w:color w:val="5B518E"/>
          <w:sz w:val="28"/>
          <w:szCs w:val="28"/>
        </w:rPr>
        <w:drawing>
          <wp:inline distT="0" distB="0" distL="0" distR="0" wp14:anchorId="06546038" wp14:editId="6DFBF438">
            <wp:extent cx="4562475" cy="2740694"/>
            <wp:effectExtent l="0" t="0" r="0" b="2540"/>
            <wp:docPr id="26" name="Picture 2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line chart&#10;&#10;Description automatically generated"/>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567949" cy="2743982"/>
                    </a:xfrm>
                    <a:prstGeom prst="rect">
                      <a:avLst/>
                    </a:prstGeom>
                    <a:noFill/>
                  </pic:spPr>
                </pic:pic>
              </a:graphicData>
            </a:graphic>
          </wp:inline>
        </w:drawing>
      </w:r>
    </w:p>
    <w:p w14:paraId="415A856B" w14:textId="77777777" w:rsidR="00EB094C" w:rsidRDefault="00EB094C" w:rsidP="00EB094C">
      <w:pPr>
        <w:rPr>
          <w:b/>
          <w:bCs/>
          <w:color w:val="5B518E"/>
          <w:sz w:val="28"/>
          <w:szCs w:val="28"/>
        </w:rPr>
      </w:pPr>
      <w:r>
        <w:rPr>
          <w:b/>
          <w:bCs/>
          <w:color w:val="5B518E"/>
          <w:sz w:val="28"/>
          <w:szCs w:val="28"/>
        </w:rPr>
        <w:br w:type="page"/>
      </w:r>
    </w:p>
    <w:p w14:paraId="48BD1E95" w14:textId="77777777" w:rsidR="00EB094C" w:rsidRDefault="00EB094C" w:rsidP="00EB094C">
      <w:pPr>
        <w:spacing w:before="15"/>
        <w:ind w:right="-22" w:hanging="567"/>
        <w:jc w:val="center"/>
        <w:rPr>
          <w:noProof/>
        </w:rPr>
      </w:pPr>
    </w:p>
    <w:p w14:paraId="1A4B0343" w14:textId="77777777" w:rsidR="00EB094C" w:rsidRDefault="00EB094C" w:rsidP="00EB094C">
      <w:pPr>
        <w:pStyle w:val="Heading2"/>
        <w:rPr>
          <w:noProof/>
        </w:rPr>
      </w:pPr>
      <w:r>
        <w:rPr>
          <w:noProof/>
        </w:rPr>
        <w:t>Reimbursement</w:t>
      </w:r>
    </w:p>
    <w:p w14:paraId="4AC8DF9B" w14:textId="77777777" w:rsidR="00EB094C" w:rsidRPr="00736A97" w:rsidRDefault="00EB094C" w:rsidP="00EB094C"/>
    <w:p w14:paraId="173714FA" w14:textId="77777777" w:rsidR="00EB094C" w:rsidRDefault="00EB094C" w:rsidP="00EB094C">
      <w:pPr>
        <w:spacing w:before="15"/>
        <w:ind w:right="-22" w:hanging="567"/>
        <w:jc w:val="center"/>
        <w:rPr>
          <w:b/>
          <w:bCs/>
          <w:color w:val="5B518E"/>
          <w:sz w:val="28"/>
          <w:szCs w:val="28"/>
        </w:rPr>
      </w:pPr>
      <w:r w:rsidRPr="00CF39F5">
        <w:rPr>
          <w:noProof/>
        </w:rPr>
        <w:drawing>
          <wp:inline distT="0" distB="0" distL="0" distR="0" wp14:anchorId="75D50B2A" wp14:editId="091A5029">
            <wp:extent cx="5731510" cy="235458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372C823A" w14:textId="77777777" w:rsidR="00EB094C" w:rsidRDefault="00EB094C" w:rsidP="00EB094C">
      <w:pPr>
        <w:spacing w:before="15"/>
        <w:ind w:right="-22" w:hanging="567"/>
        <w:jc w:val="center"/>
        <w:rPr>
          <w:b/>
          <w:bCs/>
          <w:color w:val="5B518E"/>
          <w:sz w:val="28"/>
          <w:szCs w:val="28"/>
        </w:rPr>
      </w:pPr>
    </w:p>
    <w:p w14:paraId="418CC8E1" w14:textId="77777777" w:rsidR="00EB094C" w:rsidRDefault="00EB094C" w:rsidP="00EB094C">
      <w:pPr>
        <w:spacing w:before="15"/>
        <w:ind w:right="-22" w:hanging="567"/>
        <w:jc w:val="center"/>
        <w:rPr>
          <w:b/>
          <w:bCs/>
          <w:color w:val="5B518E"/>
          <w:sz w:val="28"/>
          <w:szCs w:val="28"/>
        </w:rPr>
      </w:pPr>
    </w:p>
    <w:p w14:paraId="51034976" w14:textId="77777777" w:rsidR="00EB094C" w:rsidRDefault="00EB094C" w:rsidP="00EB094C">
      <w:pPr>
        <w:spacing w:before="15"/>
        <w:ind w:right="-22" w:hanging="567"/>
        <w:jc w:val="center"/>
        <w:rPr>
          <w:b/>
          <w:bCs/>
          <w:color w:val="5B518E"/>
          <w:sz w:val="28"/>
          <w:szCs w:val="28"/>
        </w:rPr>
      </w:pPr>
    </w:p>
    <w:p w14:paraId="06261906" w14:textId="77777777" w:rsidR="00EB094C" w:rsidRDefault="00EB094C" w:rsidP="00EB094C">
      <w:pPr>
        <w:spacing w:before="15"/>
        <w:ind w:right="-22" w:hanging="567"/>
        <w:jc w:val="center"/>
        <w:rPr>
          <w:b/>
          <w:bCs/>
          <w:color w:val="5B518E"/>
          <w:sz w:val="28"/>
          <w:szCs w:val="28"/>
        </w:rPr>
      </w:pPr>
    </w:p>
    <w:p w14:paraId="7E9AB6E5" w14:textId="77777777" w:rsidR="00EB094C" w:rsidRDefault="00EB094C" w:rsidP="00EB094C">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58242" behindDoc="0" locked="0" layoutInCell="1" allowOverlap="1" wp14:anchorId="5181D8C9" wp14:editId="7D667114">
                <wp:simplePos x="0" y="0"/>
                <wp:positionH relativeFrom="column">
                  <wp:posOffset>4238625</wp:posOffset>
                </wp:positionH>
                <wp:positionV relativeFrom="paragraph">
                  <wp:posOffset>9525</wp:posOffset>
                </wp:positionV>
                <wp:extent cx="1666875" cy="2772000"/>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51CD4F06" w14:textId="77777777" w:rsidR="00EB094C" w:rsidRDefault="00EB094C" w:rsidP="00EB094C"/>
                          <w:p w14:paraId="4C5D7CFC" w14:textId="77777777" w:rsidR="00EB094C" w:rsidRDefault="00EB094C" w:rsidP="00EB094C">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2</w:t>
                            </w:r>
                            <w:r w:rsidRPr="00314A3D">
                              <w:rPr>
                                <w:sz w:val="32"/>
                                <w:szCs w:val="32"/>
                              </w:rPr>
                              <w:t xml:space="preserve"> </w:t>
                            </w:r>
                            <w:r>
                              <w:t xml:space="preserve">the average fees per item is </w:t>
                            </w:r>
                            <w:r w:rsidRPr="00314A3D">
                              <w:rPr>
                                <w:b/>
                                <w:bCs/>
                                <w:sz w:val="32"/>
                                <w:szCs w:val="32"/>
                              </w:rPr>
                              <w:t>£1.</w:t>
                            </w:r>
                            <w:r>
                              <w:rPr>
                                <w:b/>
                                <w:bCs/>
                                <w:sz w:val="32"/>
                                <w:szCs w:val="32"/>
                              </w:rPr>
                              <w:t>59</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D8C9" id="Text Box 21" o:spid="_x0000_s1030" type="#_x0000_t202" style="position:absolute;left:0;text-align:left;margin-left:333.75pt;margin-top:.75pt;width:131.25pt;height:21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j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4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PMRReM7AgAAhAQAAA4AAAAAAAAA&#10;AAAAAAAALgIAAGRycy9lMm9Eb2MueG1sUEsBAi0AFAAGAAgAAAAhAH4XWjfcAAAACQEAAA8AAAAA&#10;AAAAAAAAAAAAlQQAAGRycy9kb3ducmV2LnhtbFBLBQYAAAAABAAEAPMAAACeBQAAAAA=&#10;" fillcolor="white [3201]" strokeweight=".5pt">
                <v:textbox>
                  <w:txbxContent>
                    <w:p w14:paraId="51CD4F06" w14:textId="77777777" w:rsidR="00EB094C" w:rsidRDefault="00EB094C" w:rsidP="00EB094C"/>
                    <w:p w14:paraId="4C5D7CFC" w14:textId="77777777" w:rsidR="00EB094C" w:rsidRDefault="00EB094C" w:rsidP="00EB094C">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2</w:t>
                      </w:r>
                      <w:r w:rsidRPr="00314A3D">
                        <w:rPr>
                          <w:sz w:val="32"/>
                          <w:szCs w:val="32"/>
                        </w:rPr>
                        <w:t xml:space="preserve"> </w:t>
                      </w:r>
                      <w:r>
                        <w:t xml:space="preserve">the average fees per item is </w:t>
                      </w:r>
                      <w:r w:rsidRPr="00314A3D">
                        <w:rPr>
                          <w:b/>
                          <w:bCs/>
                          <w:sz w:val="32"/>
                          <w:szCs w:val="32"/>
                        </w:rPr>
                        <w:t>£1.</w:t>
                      </w:r>
                      <w:r>
                        <w:rPr>
                          <w:b/>
                          <w:bCs/>
                          <w:sz w:val="32"/>
                          <w:szCs w:val="32"/>
                        </w:rPr>
                        <w:t>59</w:t>
                      </w:r>
                      <w:r>
                        <w:t>.</w:t>
                      </w:r>
                    </w:p>
                  </w:txbxContent>
                </v:textbox>
              </v:shape>
            </w:pict>
          </mc:Fallback>
        </mc:AlternateContent>
      </w:r>
      <w:r>
        <w:rPr>
          <w:b/>
          <w:bCs/>
          <w:noProof/>
          <w:color w:val="5B518E"/>
          <w:sz w:val="28"/>
          <w:szCs w:val="28"/>
        </w:rPr>
        <w:drawing>
          <wp:inline distT="0" distB="0" distL="0" distR="0" wp14:anchorId="5E0D1934" wp14:editId="378CD35B">
            <wp:extent cx="4324350" cy="2812449"/>
            <wp:effectExtent l="0" t="0" r="0" b="6985"/>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35331" cy="2819591"/>
                    </a:xfrm>
                    <a:prstGeom prst="rect">
                      <a:avLst/>
                    </a:prstGeom>
                    <a:noFill/>
                  </pic:spPr>
                </pic:pic>
              </a:graphicData>
            </a:graphic>
          </wp:inline>
        </w:drawing>
      </w:r>
    </w:p>
    <w:p w14:paraId="1067667B" w14:textId="77777777" w:rsidR="00EB094C" w:rsidRDefault="00EB094C" w:rsidP="00EB094C">
      <w:pPr>
        <w:rPr>
          <w:b/>
          <w:bCs/>
          <w:color w:val="5B518E"/>
          <w:sz w:val="28"/>
          <w:szCs w:val="28"/>
        </w:rPr>
      </w:pPr>
      <w:r>
        <w:rPr>
          <w:b/>
          <w:bCs/>
          <w:color w:val="5B518E"/>
          <w:sz w:val="28"/>
          <w:szCs w:val="28"/>
        </w:rPr>
        <w:br w:type="page"/>
      </w:r>
    </w:p>
    <w:p w14:paraId="69D336C0" w14:textId="77777777" w:rsidR="00EB094C" w:rsidRDefault="00EB094C" w:rsidP="00EB094C">
      <w:pPr>
        <w:spacing w:before="15"/>
        <w:ind w:right="-22"/>
        <w:jc w:val="center"/>
        <w:rPr>
          <w:b/>
          <w:bCs/>
          <w:color w:val="5B518E"/>
          <w:sz w:val="28"/>
          <w:szCs w:val="28"/>
        </w:rPr>
      </w:pPr>
    </w:p>
    <w:p w14:paraId="66E85B2F" w14:textId="77777777" w:rsidR="00EB094C" w:rsidRDefault="00EB094C" w:rsidP="00EB094C">
      <w:pPr>
        <w:pStyle w:val="Heading2"/>
      </w:pPr>
      <w:r>
        <w:t>Services</w:t>
      </w:r>
    </w:p>
    <w:p w14:paraId="7AFF0871" w14:textId="77777777" w:rsidR="00EB094C" w:rsidRPr="00736A97" w:rsidRDefault="00EB094C" w:rsidP="00EB094C"/>
    <w:p w14:paraId="24F3C63F" w14:textId="77777777" w:rsidR="00EB094C" w:rsidRDefault="00EB094C" w:rsidP="00EB094C">
      <w:pPr>
        <w:spacing w:before="15"/>
        <w:ind w:right="-22"/>
        <w:jc w:val="center"/>
        <w:rPr>
          <w:b/>
          <w:bCs/>
          <w:color w:val="5B518E"/>
          <w:sz w:val="28"/>
          <w:szCs w:val="28"/>
        </w:rPr>
      </w:pPr>
      <w:r>
        <w:rPr>
          <w:b/>
          <w:bCs/>
          <w:noProof/>
          <w:color w:val="5B518E"/>
          <w:sz w:val="28"/>
          <w:szCs w:val="28"/>
        </w:rPr>
        <w:drawing>
          <wp:inline distT="0" distB="0" distL="0" distR="0" wp14:anchorId="30952061" wp14:editId="6407E64E">
            <wp:extent cx="5614670" cy="3066415"/>
            <wp:effectExtent l="0" t="0" r="5080" b="635"/>
            <wp:docPr id="29" name="Picture 2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ar chart&#10;&#10;Description automatically generate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4670" cy="3066415"/>
                    </a:xfrm>
                    <a:prstGeom prst="rect">
                      <a:avLst/>
                    </a:prstGeom>
                    <a:noFill/>
                  </pic:spPr>
                </pic:pic>
              </a:graphicData>
            </a:graphic>
          </wp:inline>
        </w:drawing>
      </w:r>
    </w:p>
    <w:p w14:paraId="370927A5" w14:textId="77777777" w:rsidR="00EB094C" w:rsidRDefault="00EB094C" w:rsidP="00EB094C">
      <w:pPr>
        <w:spacing w:before="15"/>
        <w:ind w:right="-22"/>
        <w:jc w:val="center"/>
        <w:rPr>
          <w:b/>
          <w:bCs/>
          <w:color w:val="5B518E"/>
          <w:sz w:val="28"/>
          <w:szCs w:val="28"/>
        </w:rPr>
      </w:pPr>
    </w:p>
    <w:p w14:paraId="7542A6BA" w14:textId="77777777" w:rsidR="00EB094C" w:rsidRDefault="00EB094C" w:rsidP="00EB094C">
      <w:pPr>
        <w:spacing w:before="15"/>
        <w:ind w:right="-22"/>
        <w:jc w:val="center"/>
        <w:rPr>
          <w:b/>
          <w:bCs/>
          <w:color w:val="5B518E"/>
          <w:sz w:val="28"/>
          <w:szCs w:val="28"/>
        </w:rPr>
      </w:pPr>
      <w:r>
        <w:rPr>
          <w:b/>
          <w:bCs/>
          <w:noProof/>
          <w:color w:val="5B518E"/>
          <w:sz w:val="28"/>
          <w:szCs w:val="28"/>
        </w:rPr>
        <w:drawing>
          <wp:inline distT="0" distB="0" distL="0" distR="0" wp14:anchorId="1E1B199A" wp14:editId="10B1E591">
            <wp:extent cx="5600700" cy="4086810"/>
            <wp:effectExtent l="0" t="0" r="0" b="9525"/>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0288" cy="4093806"/>
                    </a:xfrm>
                    <a:prstGeom prst="rect">
                      <a:avLst/>
                    </a:prstGeom>
                    <a:noFill/>
                  </pic:spPr>
                </pic:pic>
              </a:graphicData>
            </a:graphic>
          </wp:inline>
        </w:drawing>
      </w:r>
    </w:p>
    <w:p w14:paraId="190319D8" w14:textId="77777777" w:rsidR="00EB094C" w:rsidRDefault="00EB094C" w:rsidP="00EB094C">
      <w:pPr>
        <w:rPr>
          <w:b/>
          <w:bCs/>
          <w:color w:val="5B518E"/>
          <w:sz w:val="28"/>
          <w:szCs w:val="28"/>
        </w:rPr>
      </w:pPr>
      <w:r>
        <w:rPr>
          <w:b/>
          <w:bCs/>
          <w:color w:val="5B518E"/>
          <w:sz w:val="28"/>
          <w:szCs w:val="28"/>
        </w:rPr>
        <w:br w:type="page"/>
      </w:r>
    </w:p>
    <w:p w14:paraId="27033914" w14:textId="77777777" w:rsidR="00EB094C" w:rsidRDefault="00EB094C" w:rsidP="00EB094C">
      <w:pPr>
        <w:spacing w:before="15"/>
        <w:ind w:right="-22"/>
        <w:jc w:val="center"/>
        <w:rPr>
          <w:b/>
          <w:bCs/>
          <w:color w:val="5B518E"/>
          <w:sz w:val="28"/>
          <w:szCs w:val="28"/>
        </w:rPr>
      </w:pPr>
      <w:r w:rsidRPr="00C218B4">
        <w:rPr>
          <w:b/>
          <w:bCs/>
          <w:color w:val="5B518E"/>
          <w:sz w:val="28"/>
          <w:szCs w:val="28"/>
        </w:rPr>
        <w:lastRenderedPageBreak/>
        <w:t>Pharmacy contract numbers</w:t>
      </w:r>
    </w:p>
    <w:p w14:paraId="41B1844A" w14:textId="77777777" w:rsidR="00EB094C" w:rsidRPr="00085B4D" w:rsidRDefault="00EB094C" w:rsidP="00EB094C">
      <w:pPr>
        <w:pBdr>
          <w:bottom w:val="single" w:sz="6" w:space="1" w:color="auto"/>
        </w:pBdr>
        <w:rPr>
          <w:b/>
          <w:bCs/>
        </w:rPr>
      </w:pPr>
      <w:r w:rsidRPr="00085B4D">
        <w:rPr>
          <w:b/>
          <w:bCs/>
        </w:rPr>
        <w:t xml:space="preserve">NB. NHS Digital has not published an updated </w:t>
      </w:r>
      <w:proofErr w:type="spellStart"/>
      <w:r w:rsidRPr="00085B4D">
        <w:rPr>
          <w:b/>
          <w:bCs/>
        </w:rPr>
        <w:t>eDispensary</w:t>
      </w:r>
      <w:proofErr w:type="spellEnd"/>
      <w:r w:rsidRPr="00085B4D">
        <w:rPr>
          <w:b/>
          <w:bCs/>
        </w:rPr>
        <w:t xml:space="preserve"> list in time to provide an update for November 2021 </w:t>
      </w:r>
      <w:proofErr w:type="spellStart"/>
      <w:r w:rsidRPr="00085B4D">
        <w:rPr>
          <w:b/>
          <w:bCs/>
        </w:rPr>
        <w:t>Funcon</w:t>
      </w:r>
      <w:proofErr w:type="spellEnd"/>
      <w:r w:rsidRPr="00085B4D">
        <w:rPr>
          <w:b/>
          <w:bCs/>
        </w:rPr>
        <w:t xml:space="preserve">. The update from September 2021 </w:t>
      </w:r>
      <w:proofErr w:type="spellStart"/>
      <w:r w:rsidRPr="00085B4D">
        <w:rPr>
          <w:b/>
          <w:bCs/>
        </w:rPr>
        <w:t>Funcon</w:t>
      </w:r>
      <w:proofErr w:type="spellEnd"/>
      <w:r w:rsidRPr="00085B4D">
        <w:rPr>
          <w:b/>
          <w:bCs/>
        </w:rPr>
        <w:t xml:space="preserve"> is reproduced below for information.</w:t>
      </w:r>
    </w:p>
    <w:p w14:paraId="522CE46C" w14:textId="77777777" w:rsidR="00EB094C" w:rsidRDefault="00EB094C" w:rsidP="00EB094C">
      <w:r>
        <w:t>A waterfall chart of net change in pharmacy numbers per month indicates a cumulative drop of c-533 in the total number of pharmacy contracts since the announcement of the funding cuts.</w:t>
      </w:r>
    </w:p>
    <w:p w14:paraId="1F43DF66" w14:textId="77777777" w:rsidR="00EB094C" w:rsidRDefault="00EB094C" w:rsidP="00EB094C">
      <w:r>
        <w:rPr>
          <w:noProof/>
        </w:rPr>
        <w:drawing>
          <wp:inline distT="0" distB="0" distL="0" distR="0" wp14:anchorId="13C09D22" wp14:editId="5F58D054">
            <wp:extent cx="5756462" cy="2971800"/>
            <wp:effectExtent l="0" t="0" r="0" b="0"/>
            <wp:docPr id="30" name="Picture 3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waterfall chart&#10;&#10;Description automatically generated"/>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767379" cy="2977436"/>
                    </a:xfrm>
                    <a:prstGeom prst="rect">
                      <a:avLst/>
                    </a:prstGeom>
                    <a:noFill/>
                  </pic:spPr>
                </pic:pic>
              </a:graphicData>
            </a:graphic>
          </wp:inline>
        </w:drawing>
      </w:r>
    </w:p>
    <w:p w14:paraId="09DE0F92" w14:textId="77777777" w:rsidR="00EB094C" w:rsidRDefault="00EB094C" w:rsidP="00EB094C"/>
    <w:p w14:paraId="2707FA67" w14:textId="77777777" w:rsidR="00EB094C" w:rsidRPr="00C218B4" w:rsidRDefault="00EB094C" w:rsidP="00EB094C">
      <w:r w:rsidRPr="00C218B4">
        <w:t>A long view of pharmacy contract numbers demonstrates steady growth since the introduction of the new contract in 2005, followed by a reversal from early 2018 onwards.</w:t>
      </w:r>
    </w:p>
    <w:p w14:paraId="781E1B41" w14:textId="77777777" w:rsidR="00EB094C" w:rsidRDefault="00EB094C" w:rsidP="00EB094C">
      <w:pPr>
        <w:jc w:val="center"/>
      </w:pPr>
      <w:r>
        <w:rPr>
          <w:noProof/>
        </w:rPr>
        <w:drawing>
          <wp:inline distT="0" distB="0" distL="0" distR="0" wp14:anchorId="6D3D2272" wp14:editId="5D5F59E3">
            <wp:extent cx="5763458" cy="2981325"/>
            <wp:effectExtent l="0" t="0" r="8890" b="0"/>
            <wp:docPr id="31" name="Picture 3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creenshot of a computer&#10;&#10;Description automatically generated with medium confidenc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771226" cy="2985343"/>
                    </a:xfrm>
                    <a:prstGeom prst="rect">
                      <a:avLst/>
                    </a:prstGeom>
                    <a:noFill/>
                  </pic:spPr>
                </pic:pic>
              </a:graphicData>
            </a:graphic>
          </wp:inline>
        </w:drawing>
      </w:r>
    </w:p>
    <w:p w14:paraId="360884A6" w14:textId="77777777" w:rsidR="00EB094C" w:rsidRDefault="00EB094C" w:rsidP="00EB094C">
      <w:pPr>
        <w:jc w:val="center"/>
      </w:pPr>
    </w:p>
    <w:p w14:paraId="1BD43F24" w14:textId="77777777" w:rsidR="00EB094C" w:rsidRPr="00EB094C" w:rsidRDefault="00EB094C" w:rsidP="00EB094C">
      <w:pPr>
        <w:jc w:val="right"/>
        <w:rPr>
          <w:rFonts w:ascii="Calibri" w:eastAsia="Times New Roman" w:hAnsi="Calibri" w:cs="Calibri"/>
          <w:color w:val="5B518F"/>
          <w:lang w:eastAsia="en-GB"/>
        </w:rPr>
      </w:pPr>
    </w:p>
    <w:sectPr w:rsidR="00EB094C" w:rsidRPr="00EB094C" w:rsidSect="008D6F1B">
      <w:headerReference w:type="default" r:id="rId114"/>
      <w:footerReference w:type="default" r:id="rId1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BFD3" w14:textId="77777777" w:rsidR="00DB69A9" w:rsidRDefault="00DB69A9">
      <w:pPr>
        <w:spacing w:after="0" w:line="240" w:lineRule="auto"/>
      </w:pPr>
      <w:r>
        <w:separator/>
      </w:r>
    </w:p>
  </w:endnote>
  <w:endnote w:type="continuationSeparator" w:id="0">
    <w:p w14:paraId="6DAD435D" w14:textId="77777777" w:rsidR="00DB69A9" w:rsidRDefault="00DB69A9">
      <w:pPr>
        <w:spacing w:after="0" w:line="240" w:lineRule="auto"/>
      </w:pPr>
      <w:r>
        <w:continuationSeparator/>
      </w:r>
    </w:p>
  </w:endnote>
  <w:endnote w:type="continuationNotice" w:id="1">
    <w:p w14:paraId="7777BAE2" w14:textId="77777777" w:rsidR="00DB69A9" w:rsidRDefault="00DB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CB99FF" w14:paraId="039EBE9E" w14:textId="77777777" w:rsidTr="52CB99FF">
      <w:tc>
        <w:tcPr>
          <w:tcW w:w="3005" w:type="dxa"/>
        </w:tcPr>
        <w:p w14:paraId="15EBB920" w14:textId="18321F1D" w:rsidR="52CB99FF" w:rsidRDefault="52CB99FF" w:rsidP="52CB99FF">
          <w:pPr>
            <w:pStyle w:val="Header"/>
            <w:ind w:left="-115"/>
          </w:pPr>
        </w:p>
      </w:tc>
      <w:tc>
        <w:tcPr>
          <w:tcW w:w="3005" w:type="dxa"/>
        </w:tcPr>
        <w:p w14:paraId="5B7357F9" w14:textId="44A52D41" w:rsidR="52CB99FF" w:rsidRDefault="52CB99FF" w:rsidP="52CB99FF">
          <w:pPr>
            <w:pStyle w:val="Header"/>
            <w:jc w:val="center"/>
          </w:pPr>
        </w:p>
      </w:tc>
      <w:tc>
        <w:tcPr>
          <w:tcW w:w="3005" w:type="dxa"/>
        </w:tcPr>
        <w:p w14:paraId="5A1ACCC3" w14:textId="6D1F1D90" w:rsidR="52CB99FF" w:rsidRDefault="52CB99FF" w:rsidP="52CB99FF">
          <w:pPr>
            <w:pStyle w:val="Header"/>
            <w:ind w:right="-115"/>
            <w:jc w:val="right"/>
          </w:pPr>
        </w:p>
      </w:tc>
    </w:tr>
  </w:tbl>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32B7" w14:textId="77777777" w:rsidR="00DB69A9" w:rsidRDefault="00DB69A9">
      <w:pPr>
        <w:spacing w:after="0" w:line="240" w:lineRule="auto"/>
      </w:pPr>
      <w:r>
        <w:separator/>
      </w:r>
    </w:p>
  </w:footnote>
  <w:footnote w:type="continuationSeparator" w:id="0">
    <w:p w14:paraId="61AC395B" w14:textId="77777777" w:rsidR="00DB69A9" w:rsidRDefault="00DB69A9">
      <w:pPr>
        <w:spacing w:after="0" w:line="240" w:lineRule="auto"/>
      </w:pPr>
      <w:r>
        <w:continuationSeparator/>
      </w:r>
    </w:p>
  </w:footnote>
  <w:footnote w:type="continuationNotice" w:id="1">
    <w:p w14:paraId="3F395997" w14:textId="77777777" w:rsidR="00DB69A9" w:rsidRDefault="00DB6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FEE"/>
    <w:multiLevelType w:val="multilevel"/>
    <w:tmpl w:val="248C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2F3C41E4"/>
    <w:multiLevelType w:val="hybridMultilevel"/>
    <w:tmpl w:val="43DC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F357CF"/>
    <w:multiLevelType w:val="hybridMultilevel"/>
    <w:tmpl w:val="5E1017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F54EF"/>
    <w:multiLevelType w:val="hybridMultilevel"/>
    <w:tmpl w:val="FFFFFFFF"/>
    <w:lvl w:ilvl="0" w:tplc="1C449F16">
      <w:start w:val="1"/>
      <w:numFmt w:val="bullet"/>
      <w:lvlText w:val=""/>
      <w:lvlJc w:val="left"/>
      <w:pPr>
        <w:ind w:left="720" w:hanging="360"/>
      </w:pPr>
      <w:rPr>
        <w:rFonts w:ascii="Symbol" w:hAnsi="Symbol" w:hint="default"/>
      </w:rPr>
    </w:lvl>
    <w:lvl w:ilvl="1" w:tplc="B0A0A10A">
      <w:start w:val="1"/>
      <w:numFmt w:val="bullet"/>
      <w:lvlText w:val="o"/>
      <w:lvlJc w:val="left"/>
      <w:pPr>
        <w:ind w:left="1440" w:hanging="360"/>
      </w:pPr>
      <w:rPr>
        <w:rFonts w:ascii="Courier New" w:hAnsi="Courier New" w:hint="default"/>
      </w:rPr>
    </w:lvl>
    <w:lvl w:ilvl="2" w:tplc="A5148C62">
      <w:start w:val="1"/>
      <w:numFmt w:val="bullet"/>
      <w:lvlText w:val=""/>
      <w:lvlJc w:val="left"/>
      <w:pPr>
        <w:ind w:left="2160" w:hanging="360"/>
      </w:pPr>
      <w:rPr>
        <w:rFonts w:ascii="Wingdings" w:hAnsi="Wingdings" w:hint="default"/>
      </w:rPr>
    </w:lvl>
    <w:lvl w:ilvl="3" w:tplc="FD30C1E8">
      <w:start w:val="1"/>
      <w:numFmt w:val="bullet"/>
      <w:lvlText w:val=""/>
      <w:lvlJc w:val="left"/>
      <w:pPr>
        <w:ind w:left="2880" w:hanging="360"/>
      </w:pPr>
      <w:rPr>
        <w:rFonts w:ascii="Symbol" w:hAnsi="Symbol" w:hint="default"/>
      </w:rPr>
    </w:lvl>
    <w:lvl w:ilvl="4" w:tplc="74263A92">
      <w:start w:val="1"/>
      <w:numFmt w:val="bullet"/>
      <w:lvlText w:val="o"/>
      <w:lvlJc w:val="left"/>
      <w:pPr>
        <w:ind w:left="3600" w:hanging="360"/>
      </w:pPr>
      <w:rPr>
        <w:rFonts w:ascii="Courier New" w:hAnsi="Courier New" w:hint="default"/>
      </w:rPr>
    </w:lvl>
    <w:lvl w:ilvl="5" w:tplc="56C4ED7E">
      <w:start w:val="1"/>
      <w:numFmt w:val="bullet"/>
      <w:lvlText w:val=""/>
      <w:lvlJc w:val="left"/>
      <w:pPr>
        <w:ind w:left="4320" w:hanging="360"/>
      </w:pPr>
      <w:rPr>
        <w:rFonts w:ascii="Wingdings" w:hAnsi="Wingdings" w:hint="default"/>
      </w:rPr>
    </w:lvl>
    <w:lvl w:ilvl="6" w:tplc="A0F45476">
      <w:start w:val="1"/>
      <w:numFmt w:val="bullet"/>
      <w:lvlText w:val=""/>
      <w:lvlJc w:val="left"/>
      <w:pPr>
        <w:ind w:left="5040" w:hanging="360"/>
      </w:pPr>
      <w:rPr>
        <w:rFonts w:ascii="Symbol" w:hAnsi="Symbol" w:hint="default"/>
      </w:rPr>
    </w:lvl>
    <w:lvl w:ilvl="7" w:tplc="B6EAD6BC">
      <w:start w:val="1"/>
      <w:numFmt w:val="bullet"/>
      <w:lvlText w:val="o"/>
      <w:lvlJc w:val="left"/>
      <w:pPr>
        <w:ind w:left="5760" w:hanging="360"/>
      </w:pPr>
      <w:rPr>
        <w:rFonts w:ascii="Courier New" w:hAnsi="Courier New" w:hint="default"/>
      </w:rPr>
    </w:lvl>
    <w:lvl w:ilvl="8" w:tplc="67780730">
      <w:start w:val="1"/>
      <w:numFmt w:val="bullet"/>
      <w:lvlText w:val=""/>
      <w:lvlJc w:val="left"/>
      <w:pPr>
        <w:ind w:left="6480" w:hanging="360"/>
      </w:pPr>
      <w:rPr>
        <w:rFonts w:ascii="Wingdings" w:hAnsi="Wingdings" w:hint="default"/>
      </w:rPr>
    </w:lvl>
  </w:abstractNum>
  <w:abstractNum w:abstractNumId="6" w15:restartNumberingAfterBreak="0">
    <w:nsid w:val="47F003D7"/>
    <w:multiLevelType w:val="hybridMultilevel"/>
    <w:tmpl w:val="D91C9AC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A3E5EFC"/>
    <w:multiLevelType w:val="hybridMultilevel"/>
    <w:tmpl w:val="45E27A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8510B"/>
    <w:multiLevelType w:val="hybridMultilevel"/>
    <w:tmpl w:val="B2CE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6204A"/>
    <w:multiLevelType w:val="hybridMultilevel"/>
    <w:tmpl w:val="F6664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B60EE"/>
    <w:multiLevelType w:val="multilevel"/>
    <w:tmpl w:val="938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F3412"/>
    <w:multiLevelType w:val="hybridMultilevel"/>
    <w:tmpl w:val="86025BA2"/>
    <w:styleLink w:val="ImportedStyle2"/>
    <w:lvl w:ilvl="0" w:tplc="BECC10A0">
      <w:start w:val="1"/>
      <w:numFmt w:val="bullet"/>
      <w:lvlText w:val="o"/>
      <w:lvlJc w:val="left"/>
      <w:pPr>
        <w:ind w:left="720" w:hanging="360"/>
      </w:pPr>
      <w:rPr>
        <w:rFonts w:ascii="Courier New" w:hAnsi="Courier New" w:hint="default"/>
      </w:rPr>
    </w:lvl>
    <w:lvl w:ilvl="1" w:tplc="2D964586">
      <w:start w:val="1"/>
      <w:numFmt w:val="bullet"/>
      <w:lvlText w:val="o"/>
      <w:lvlJc w:val="left"/>
      <w:pPr>
        <w:ind w:left="1440" w:hanging="360"/>
      </w:pPr>
      <w:rPr>
        <w:rFonts w:ascii="Courier New" w:hAnsi="Courier New" w:hint="default"/>
      </w:rPr>
    </w:lvl>
    <w:lvl w:ilvl="2" w:tplc="B2EA4AB0">
      <w:start w:val="1"/>
      <w:numFmt w:val="bullet"/>
      <w:lvlText w:val=""/>
      <w:lvlJc w:val="left"/>
      <w:pPr>
        <w:ind w:left="2160" w:hanging="360"/>
      </w:pPr>
      <w:rPr>
        <w:rFonts w:ascii="Wingdings" w:hAnsi="Wingdings" w:hint="default"/>
      </w:rPr>
    </w:lvl>
    <w:lvl w:ilvl="3" w:tplc="90BC0C28">
      <w:start w:val="1"/>
      <w:numFmt w:val="bullet"/>
      <w:lvlText w:val=""/>
      <w:lvlJc w:val="left"/>
      <w:pPr>
        <w:ind w:left="2880" w:hanging="360"/>
      </w:pPr>
      <w:rPr>
        <w:rFonts w:ascii="Symbol" w:hAnsi="Symbol" w:hint="default"/>
      </w:rPr>
    </w:lvl>
    <w:lvl w:ilvl="4" w:tplc="A1B2CAB0">
      <w:start w:val="1"/>
      <w:numFmt w:val="bullet"/>
      <w:lvlText w:val="o"/>
      <w:lvlJc w:val="left"/>
      <w:pPr>
        <w:ind w:left="3600" w:hanging="360"/>
      </w:pPr>
      <w:rPr>
        <w:rFonts w:ascii="Courier New" w:hAnsi="Courier New" w:hint="default"/>
      </w:rPr>
    </w:lvl>
    <w:lvl w:ilvl="5" w:tplc="3BD602DA">
      <w:start w:val="1"/>
      <w:numFmt w:val="bullet"/>
      <w:lvlText w:val=""/>
      <w:lvlJc w:val="left"/>
      <w:pPr>
        <w:ind w:left="4320" w:hanging="360"/>
      </w:pPr>
      <w:rPr>
        <w:rFonts w:ascii="Wingdings" w:hAnsi="Wingdings" w:hint="default"/>
      </w:rPr>
    </w:lvl>
    <w:lvl w:ilvl="6" w:tplc="D2303B36">
      <w:start w:val="1"/>
      <w:numFmt w:val="bullet"/>
      <w:lvlText w:val=""/>
      <w:lvlJc w:val="left"/>
      <w:pPr>
        <w:ind w:left="5040" w:hanging="360"/>
      </w:pPr>
      <w:rPr>
        <w:rFonts w:ascii="Symbol" w:hAnsi="Symbol" w:hint="default"/>
      </w:rPr>
    </w:lvl>
    <w:lvl w:ilvl="7" w:tplc="DD246F52">
      <w:start w:val="1"/>
      <w:numFmt w:val="bullet"/>
      <w:lvlText w:val="o"/>
      <w:lvlJc w:val="left"/>
      <w:pPr>
        <w:ind w:left="5760" w:hanging="360"/>
      </w:pPr>
      <w:rPr>
        <w:rFonts w:ascii="Courier New" w:hAnsi="Courier New" w:hint="default"/>
      </w:rPr>
    </w:lvl>
    <w:lvl w:ilvl="8" w:tplc="1DDCD98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1"/>
  </w:num>
  <w:num w:numId="6">
    <w:abstractNumId w:val="7"/>
  </w:num>
  <w:num w:numId="7">
    <w:abstractNumId w:val="8"/>
  </w:num>
  <w:num w:numId="8">
    <w:abstractNumId w:val="0"/>
  </w:num>
  <w:num w:numId="9">
    <w:abstractNumId w:val="5"/>
  </w:num>
  <w:num w:numId="10">
    <w:abstractNumId w:val="10"/>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7372"/>
    <w:rsid w:val="000C5ADE"/>
    <w:rsid w:val="001008FE"/>
    <w:rsid w:val="0010343E"/>
    <w:rsid w:val="001448E2"/>
    <w:rsid w:val="00181176"/>
    <w:rsid w:val="00186619"/>
    <w:rsid w:val="001A1691"/>
    <w:rsid w:val="002C1F7A"/>
    <w:rsid w:val="003008A5"/>
    <w:rsid w:val="003A16F1"/>
    <w:rsid w:val="003A24C9"/>
    <w:rsid w:val="003B67C9"/>
    <w:rsid w:val="00454739"/>
    <w:rsid w:val="00492E73"/>
    <w:rsid w:val="004F5BE9"/>
    <w:rsid w:val="0051516E"/>
    <w:rsid w:val="00547FF1"/>
    <w:rsid w:val="005C0FA6"/>
    <w:rsid w:val="00610E2F"/>
    <w:rsid w:val="00682EAB"/>
    <w:rsid w:val="00721BA7"/>
    <w:rsid w:val="007549AA"/>
    <w:rsid w:val="007616D0"/>
    <w:rsid w:val="0076576B"/>
    <w:rsid w:val="00783695"/>
    <w:rsid w:val="007934C4"/>
    <w:rsid w:val="007B2E33"/>
    <w:rsid w:val="007B7566"/>
    <w:rsid w:val="00834957"/>
    <w:rsid w:val="008D6F1B"/>
    <w:rsid w:val="00933807"/>
    <w:rsid w:val="00942197"/>
    <w:rsid w:val="009F19BD"/>
    <w:rsid w:val="00A01FB7"/>
    <w:rsid w:val="00A17D8D"/>
    <w:rsid w:val="00A821DB"/>
    <w:rsid w:val="00A9649D"/>
    <w:rsid w:val="00AB5014"/>
    <w:rsid w:val="00AF450B"/>
    <w:rsid w:val="00B038C1"/>
    <w:rsid w:val="00B47A85"/>
    <w:rsid w:val="00C1487C"/>
    <w:rsid w:val="00C16355"/>
    <w:rsid w:val="00C4491E"/>
    <w:rsid w:val="00C57515"/>
    <w:rsid w:val="00CE21EA"/>
    <w:rsid w:val="00DB69A9"/>
    <w:rsid w:val="00E1296E"/>
    <w:rsid w:val="00E30D53"/>
    <w:rsid w:val="00E373BA"/>
    <w:rsid w:val="00E50C50"/>
    <w:rsid w:val="00E813F9"/>
    <w:rsid w:val="00E95F77"/>
    <w:rsid w:val="00EB094C"/>
    <w:rsid w:val="00F14693"/>
    <w:rsid w:val="00F15BEC"/>
    <w:rsid w:val="00F54FBC"/>
    <w:rsid w:val="00F9616F"/>
    <w:rsid w:val="00FA3801"/>
    <w:rsid w:val="00FB6DE6"/>
    <w:rsid w:val="00FB7900"/>
    <w:rsid w:val="0215C42A"/>
    <w:rsid w:val="04998FA9"/>
    <w:rsid w:val="04A04FFF"/>
    <w:rsid w:val="04B58919"/>
    <w:rsid w:val="05513E63"/>
    <w:rsid w:val="059DD88B"/>
    <w:rsid w:val="06AD39A8"/>
    <w:rsid w:val="06E89438"/>
    <w:rsid w:val="06EF27C7"/>
    <w:rsid w:val="080F3514"/>
    <w:rsid w:val="08961C94"/>
    <w:rsid w:val="08B3BB5E"/>
    <w:rsid w:val="095895B4"/>
    <w:rsid w:val="0A36CF5D"/>
    <w:rsid w:val="0B4CE41F"/>
    <w:rsid w:val="0B6ED72D"/>
    <w:rsid w:val="0BBC055B"/>
    <w:rsid w:val="0C408A56"/>
    <w:rsid w:val="0D45A258"/>
    <w:rsid w:val="0D6635C9"/>
    <w:rsid w:val="0D6CD67E"/>
    <w:rsid w:val="0DD5A373"/>
    <w:rsid w:val="0E9B086F"/>
    <w:rsid w:val="0EA0B041"/>
    <w:rsid w:val="1233DC56"/>
    <w:rsid w:val="12E353F8"/>
    <w:rsid w:val="13BD355C"/>
    <w:rsid w:val="14759470"/>
    <w:rsid w:val="1549BF44"/>
    <w:rsid w:val="1573A5B8"/>
    <w:rsid w:val="15768CB9"/>
    <w:rsid w:val="157D8C28"/>
    <w:rsid w:val="15E69648"/>
    <w:rsid w:val="1676C742"/>
    <w:rsid w:val="178266A9"/>
    <w:rsid w:val="1873AE87"/>
    <w:rsid w:val="195B416E"/>
    <w:rsid w:val="1A962B59"/>
    <w:rsid w:val="1C7B65B0"/>
    <w:rsid w:val="1CA4B960"/>
    <w:rsid w:val="1F6ED8E4"/>
    <w:rsid w:val="1FBCFCA5"/>
    <w:rsid w:val="1FF8C3AA"/>
    <w:rsid w:val="20CEBF0E"/>
    <w:rsid w:val="218034DE"/>
    <w:rsid w:val="21B6EAAA"/>
    <w:rsid w:val="21DFA259"/>
    <w:rsid w:val="22C09E95"/>
    <w:rsid w:val="23525DA3"/>
    <w:rsid w:val="268AB898"/>
    <w:rsid w:val="27D64E05"/>
    <w:rsid w:val="281675B2"/>
    <w:rsid w:val="28613A86"/>
    <w:rsid w:val="28B0DC71"/>
    <w:rsid w:val="28E632B4"/>
    <w:rsid w:val="28FAD5D2"/>
    <w:rsid w:val="29721E66"/>
    <w:rsid w:val="299C885C"/>
    <w:rsid w:val="2A085415"/>
    <w:rsid w:val="2AF01464"/>
    <w:rsid w:val="2B93D247"/>
    <w:rsid w:val="2C1103BF"/>
    <w:rsid w:val="2CEC37D4"/>
    <w:rsid w:val="2CF05E2A"/>
    <w:rsid w:val="2D59BA1C"/>
    <w:rsid w:val="2DAB899A"/>
    <w:rsid w:val="2DBB18BC"/>
    <w:rsid w:val="2DE4FC03"/>
    <w:rsid w:val="2F1FDAF2"/>
    <w:rsid w:val="2FE8389B"/>
    <w:rsid w:val="301CD371"/>
    <w:rsid w:val="30C4F2E1"/>
    <w:rsid w:val="318C62EF"/>
    <w:rsid w:val="32565B93"/>
    <w:rsid w:val="32731468"/>
    <w:rsid w:val="341967FA"/>
    <w:rsid w:val="34672B86"/>
    <w:rsid w:val="34CA8DAD"/>
    <w:rsid w:val="354DCBBE"/>
    <w:rsid w:val="355B95D8"/>
    <w:rsid w:val="36D12042"/>
    <w:rsid w:val="37C76B49"/>
    <w:rsid w:val="38546DDD"/>
    <w:rsid w:val="39D042F4"/>
    <w:rsid w:val="3AA0DD3F"/>
    <w:rsid w:val="3AB6ADB7"/>
    <w:rsid w:val="3AF86EAC"/>
    <w:rsid w:val="3B2C7F29"/>
    <w:rsid w:val="3C1B5A13"/>
    <w:rsid w:val="3E3468F7"/>
    <w:rsid w:val="3EBDECBD"/>
    <w:rsid w:val="3F071607"/>
    <w:rsid w:val="3F4F7646"/>
    <w:rsid w:val="3FA96520"/>
    <w:rsid w:val="400F4C01"/>
    <w:rsid w:val="40F30054"/>
    <w:rsid w:val="41087B33"/>
    <w:rsid w:val="410B130B"/>
    <w:rsid w:val="41159677"/>
    <w:rsid w:val="4184E8BC"/>
    <w:rsid w:val="41906E74"/>
    <w:rsid w:val="42B61739"/>
    <w:rsid w:val="4310D9B8"/>
    <w:rsid w:val="43F9D2B2"/>
    <w:rsid w:val="44EB3C81"/>
    <w:rsid w:val="45654F9E"/>
    <w:rsid w:val="45C8FAE5"/>
    <w:rsid w:val="4725DDB4"/>
    <w:rsid w:val="476CC512"/>
    <w:rsid w:val="483A3DAF"/>
    <w:rsid w:val="48E4E68F"/>
    <w:rsid w:val="49F466E1"/>
    <w:rsid w:val="4B7BA7AD"/>
    <w:rsid w:val="4BEF068E"/>
    <w:rsid w:val="4C22328F"/>
    <w:rsid w:val="4C7D59BB"/>
    <w:rsid w:val="4D4BC9B5"/>
    <w:rsid w:val="4DF317E2"/>
    <w:rsid w:val="4E3C62C4"/>
    <w:rsid w:val="4E6DB004"/>
    <w:rsid w:val="4EA0A578"/>
    <w:rsid w:val="4EAEB347"/>
    <w:rsid w:val="4ED2D31F"/>
    <w:rsid w:val="4F9C691B"/>
    <w:rsid w:val="4FED64E0"/>
    <w:rsid w:val="4FFAA429"/>
    <w:rsid w:val="5085C5C3"/>
    <w:rsid w:val="50F1A6FD"/>
    <w:rsid w:val="51F7CC57"/>
    <w:rsid w:val="5287C831"/>
    <w:rsid w:val="52BCC125"/>
    <w:rsid w:val="52CB99FF"/>
    <w:rsid w:val="5579DA8C"/>
    <w:rsid w:val="559468DB"/>
    <w:rsid w:val="55EB2927"/>
    <w:rsid w:val="56B65193"/>
    <w:rsid w:val="57268712"/>
    <w:rsid w:val="57FD732A"/>
    <w:rsid w:val="5887E6F4"/>
    <w:rsid w:val="58C2FEC1"/>
    <w:rsid w:val="58EF5FCC"/>
    <w:rsid w:val="59C3524F"/>
    <w:rsid w:val="5A4A5109"/>
    <w:rsid w:val="5A9B08CB"/>
    <w:rsid w:val="5B10EBF2"/>
    <w:rsid w:val="5BFC29CE"/>
    <w:rsid w:val="5DB7B25F"/>
    <w:rsid w:val="5E000C78"/>
    <w:rsid w:val="5E4B53B1"/>
    <w:rsid w:val="5E57F8CA"/>
    <w:rsid w:val="5FCAFB88"/>
    <w:rsid w:val="5FD0204E"/>
    <w:rsid w:val="60AB1CE7"/>
    <w:rsid w:val="60ACD0ED"/>
    <w:rsid w:val="60E6DE1A"/>
    <w:rsid w:val="61D580FE"/>
    <w:rsid w:val="636DC92B"/>
    <w:rsid w:val="6417B948"/>
    <w:rsid w:val="64FC4F27"/>
    <w:rsid w:val="65ECCBEA"/>
    <w:rsid w:val="66068C43"/>
    <w:rsid w:val="6672B848"/>
    <w:rsid w:val="668BBB0A"/>
    <w:rsid w:val="66EDFFD0"/>
    <w:rsid w:val="680861DB"/>
    <w:rsid w:val="691B79D6"/>
    <w:rsid w:val="69FCCCDB"/>
    <w:rsid w:val="6A531491"/>
    <w:rsid w:val="6AA3CC37"/>
    <w:rsid w:val="6B24B736"/>
    <w:rsid w:val="6B3340CB"/>
    <w:rsid w:val="6C0880C3"/>
    <w:rsid w:val="6C626217"/>
    <w:rsid w:val="6C961F15"/>
    <w:rsid w:val="6DBACE6F"/>
    <w:rsid w:val="6DC6CBFB"/>
    <w:rsid w:val="6F757EB3"/>
    <w:rsid w:val="6FB7532B"/>
    <w:rsid w:val="6FF9B0D5"/>
    <w:rsid w:val="701D7D48"/>
    <w:rsid w:val="7215D474"/>
    <w:rsid w:val="7292577B"/>
    <w:rsid w:val="72FE9422"/>
    <w:rsid w:val="730A5A1E"/>
    <w:rsid w:val="734C5514"/>
    <w:rsid w:val="73DDAC15"/>
    <w:rsid w:val="7416BF3A"/>
    <w:rsid w:val="7496407C"/>
    <w:rsid w:val="75BB19B2"/>
    <w:rsid w:val="7622D239"/>
    <w:rsid w:val="7722F954"/>
    <w:rsid w:val="78FCE618"/>
    <w:rsid w:val="79B4F861"/>
    <w:rsid w:val="7A1914E7"/>
    <w:rsid w:val="7A70DFB6"/>
    <w:rsid w:val="7ADC0511"/>
    <w:rsid w:val="7B90D890"/>
    <w:rsid w:val="7BC55B16"/>
    <w:rsid w:val="7C887F6E"/>
    <w:rsid w:val="7EF8E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B5C877"/>
  <w15:chartTrackingRefBased/>
  <w15:docId w15:val="{A6A25FDB-465C-45B1-A441-503BAA39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94C"/>
    <w:pPr>
      <w:widowControl w:val="0"/>
      <w:autoSpaceDE w:val="0"/>
      <w:autoSpaceDN w:val="0"/>
      <w:spacing w:before="15" w:after="0" w:line="240" w:lineRule="auto"/>
      <w:ind w:left="2945"/>
      <w:jc w:val="center"/>
      <w:outlineLvl w:val="0"/>
    </w:pPr>
    <w:rPr>
      <w:rFonts w:ascii="Calibri" w:eastAsia="Calibri" w:hAnsi="Calibri" w:cs="Calibri"/>
      <w:b/>
      <w:bCs/>
      <w:sz w:val="28"/>
      <w:szCs w:val="28"/>
      <w:lang w:bidi="en-US"/>
    </w:rPr>
  </w:style>
  <w:style w:type="paragraph" w:styleId="Heading2">
    <w:name w:val="heading 2"/>
    <w:basedOn w:val="Normal"/>
    <w:link w:val="Heading2Char"/>
    <w:uiPriority w:val="9"/>
    <w:unhideWhenUsed/>
    <w:qFormat/>
    <w:rsid w:val="00EB094C"/>
    <w:pPr>
      <w:widowControl w:val="0"/>
      <w:autoSpaceDE w:val="0"/>
      <w:autoSpaceDN w:val="0"/>
      <w:spacing w:before="33" w:after="0" w:line="240" w:lineRule="auto"/>
      <w:ind w:left="858"/>
      <w:outlineLvl w:val="1"/>
    </w:pPr>
    <w:rPr>
      <w:rFonts w:ascii="Calibri" w:eastAsia="Calibri" w:hAnsi="Calibri" w:cs="Calibri"/>
      <w:b/>
      <w:bCs/>
      <w:sz w:val="24"/>
      <w:szCs w:val="24"/>
      <w:lang w:bidi="en-US"/>
    </w:rPr>
  </w:style>
  <w:style w:type="paragraph" w:styleId="Heading3">
    <w:name w:val="heading 3"/>
    <w:basedOn w:val="Normal"/>
    <w:link w:val="Heading3Char"/>
    <w:uiPriority w:val="9"/>
    <w:unhideWhenUsed/>
    <w:qFormat/>
    <w:rsid w:val="00EB094C"/>
    <w:pPr>
      <w:widowControl w:val="0"/>
      <w:autoSpaceDE w:val="0"/>
      <w:autoSpaceDN w:val="0"/>
      <w:spacing w:after="0" w:line="240" w:lineRule="auto"/>
      <w:ind w:left="858"/>
      <w:outlineLvl w:val="2"/>
    </w:pPr>
    <w:rPr>
      <w:rFonts w:ascii="Calibri" w:eastAsia="Calibri" w:hAnsi="Calibri" w:cs="Calibri"/>
      <w:b/>
      <w:bCs/>
      <w:lang w:bidi="en-US"/>
    </w:rPr>
  </w:style>
  <w:style w:type="paragraph" w:styleId="Heading4">
    <w:name w:val="heading 4"/>
    <w:basedOn w:val="Normal"/>
    <w:next w:val="Normal"/>
    <w:link w:val="Heading4Char"/>
    <w:uiPriority w:val="9"/>
    <w:unhideWhenUsed/>
    <w:qFormat/>
    <w:rsid w:val="00EB094C"/>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GB"/>
    </w:rPr>
  </w:style>
  <w:style w:type="paragraph" w:styleId="Heading5">
    <w:name w:val="heading 5"/>
    <w:basedOn w:val="Normal"/>
    <w:next w:val="Normal"/>
    <w:link w:val="Heading5Char"/>
    <w:uiPriority w:val="9"/>
    <w:unhideWhenUsed/>
    <w:qFormat/>
    <w:rsid w:val="00EB094C"/>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paragraph" w:styleId="Heading6">
    <w:name w:val="heading 6"/>
    <w:basedOn w:val="Normal"/>
    <w:next w:val="Normal"/>
    <w:link w:val="Heading6Char"/>
    <w:uiPriority w:val="9"/>
    <w:unhideWhenUsed/>
    <w:qFormat/>
    <w:rsid w:val="00EB094C"/>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EB094C"/>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EB094C"/>
  </w:style>
  <w:style w:type="paragraph" w:styleId="NoSpacing">
    <w:name w:val="No Spacing"/>
    <w:uiPriority w:val="1"/>
    <w:qFormat/>
    <w:rsid w:val="00EB094C"/>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EB094C"/>
    <w:rPr>
      <w:rFonts w:ascii="Calibri" w:eastAsia="Calibri" w:hAnsi="Calibri" w:cs="Calibri"/>
      <w:b/>
      <w:bCs/>
      <w:sz w:val="28"/>
      <w:szCs w:val="28"/>
      <w:lang w:bidi="en-US"/>
    </w:rPr>
  </w:style>
  <w:style w:type="character" w:customStyle="1" w:styleId="Heading2Char">
    <w:name w:val="Heading 2 Char"/>
    <w:basedOn w:val="DefaultParagraphFont"/>
    <w:link w:val="Heading2"/>
    <w:uiPriority w:val="9"/>
    <w:rsid w:val="00EB094C"/>
    <w:rPr>
      <w:rFonts w:ascii="Calibri" w:eastAsia="Calibri" w:hAnsi="Calibri" w:cs="Calibri"/>
      <w:b/>
      <w:bCs/>
      <w:sz w:val="24"/>
      <w:szCs w:val="24"/>
      <w:lang w:bidi="en-US"/>
    </w:rPr>
  </w:style>
  <w:style w:type="character" w:customStyle="1" w:styleId="Heading3Char">
    <w:name w:val="Heading 3 Char"/>
    <w:basedOn w:val="DefaultParagraphFont"/>
    <w:link w:val="Heading3"/>
    <w:uiPriority w:val="9"/>
    <w:rsid w:val="00EB094C"/>
    <w:rPr>
      <w:rFonts w:ascii="Calibri" w:eastAsia="Calibri" w:hAnsi="Calibri" w:cs="Calibri"/>
      <w:b/>
      <w:bCs/>
      <w:lang w:bidi="en-US"/>
    </w:rPr>
  </w:style>
  <w:style w:type="character" w:customStyle="1" w:styleId="Heading4Char">
    <w:name w:val="Heading 4 Char"/>
    <w:basedOn w:val="DefaultParagraphFont"/>
    <w:link w:val="Heading4"/>
    <w:uiPriority w:val="9"/>
    <w:rsid w:val="00EB094C"/>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EB094C"/>
    <w:rPr>
      <w:rFonts w:asciiTheme="majorHAnsi" w:eastAsiaTheme="majorEastAsia" w:hAnsiTheme="majorHAnsi" w:cstheme="majorBidi"/>
      <w:color w:val="2F5496" w:themeColor="accent1" w:themeShade="BF"/>
      <w:lang w:bidi="en-US"/>
    </w:rPr>
  </w:style>
  <w:style w:type="character" w:customStyle="1" w:styleId="Heading6Char">
    <w:name w:val="Heading 6 Char"/>
    <w:basedOn w:val="DefaultParagraphFont"/>
    <w:link w:val="Heading6"/>
    <w:uiPriority w:val="9"/>
    <w:rsid w:val="00EB094C"/>
    <w:rPr>
      <w:rFonts w:asciiTheme="majorHAnsi" w:eastAsiaTheme="majorEastAsia" w:hAnsiTheme="majorHAnsi" w:cstheme="majorBidi"/>
      <w:color w:val="1F3763" w:themeColor="accent1" w:themeShade="7F"/>
      <w:lang w:bidi="en-US"/>
    </w:rPr>
  </w:style>
  <w:style w:type="paragraph" w:styleId="BodyText">
    <w:name w:val="Body Text"/>
    <w:basedOn w:val="Normal"/>
    <w:link w:val="BodyTextChar"/>
    <w:uiPriority w:val="1"/>
    <w:qFormat/>
    <w:rsid w:val="00EB094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EB094C"/>
    <w:rPr>
      <w:rFonts w:ascii="Calibri" w:eastAsia="Calibri" w:hAnsi="Calibri" w:cs="Calibri"/>
      <w:lang w:bidi="en-US"/>
    </w:rPr>
  </w:style>
  <w:style w:type="paragraph" w:styleId="NormalWeb">
    <w:name w:val="Normal (Web)"/>
    <w:basedOn w:val="Normal"/>
    <w:uiPriority w:val="99"/>
    <w:unhideWhenUsed/>
    <w:rsid w:val="00EB094C"/>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Hyperlink">
    <w:name w:val="Hyperlink"/>
    <w:basedOn w:val="DefaultParagraphFont"/>
    <w:uiPriority w:val="99"/>
    <w:unhideWhenUsed/>
    <w:rsid w:val="00EB094C"/>
    <w:rPr>
      <w:color w:val="0563C1" w:themeColor="hyperlink"/>
      <w:u w:val="single"/>
    </w:rPr>
  </w:style>
  <w:style w:type="character" w:styleId="UnresolvedMention">
    <w:name w:val="Unresolved Mention"/>
    <w:basedOn w:val="DefaultParagraphFont"/>
    <w:uiPriority w:val="99"/>
    <w:semiHidden/>
    <w:unhideWhenUsed/>
    <w:rsid w:val="00EB094C"/>
    <w:rPr>
      <w:color w:val="605E5C"/>
      <w:shd w:val="clear" w:color="auto" w:fill="E1DFDD"/>
    </w:rPr>
  </w:style>
  <w:style w:type="character" w:styleId="Strong">
    <w:name w:val="Strong"/>
    <w:basedOn w:val="DefaultParagraphFont"/>
    <w:uiPriority w:val="22"/>
    <w:qFormat/>
    <w:rsid w:val="00EB094C"/>
    <w:rPr>
      <w:b/>
      <w:bCs/>
    </w:rPr>
  </w:style>
  <w:style w:type="character" w:styleId="Emphasis">
    <w:name w:val="Emphasis"/>
    <w:basedOn w:val="DefaultParagraphFont"/>
    <w:uiPriority w:val="20"/>
    <w:qFormat/>
    <w:rsid w:val="00EB094C"/>
    <w:rPr>
      <w:i/>
      <w:iCs/>
    </w:rPr>
  </w:style>
  <w:style w:type="character" w:styleId="FollowedHyperlink">
    <w:name w:val="FollowedHyperlink"/>
    <w:basedOn w:val="DefaultParagraphFont"/>
    <w:uiPriority w:val="99"/>
    <w:semiHidden/>
    <w:unhideWhenUsed/>
    <w:rsid w:val="00EB094C"/>
    <w:rPr>
      <w:color w:val="954F72" w:themeColor="followedHyperlink"/>
      <w:u w:val="single"/>
    </w:rPr>
  </w:style>
  <w:style w:type="paragraph" w:styleId="BalloonText">
    <w:name w:val="Balloon Text"/>
    <w:basedOn w:val="Normal"/>
    <w:link w:val="BalloonTextChar"/>
    <w:uiPriority w:val="99"/>
    <w:semiHidden/>
    <w:unhideWhenUsed/>
    <w:rsid w:val="00EB094C"/>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EB094C"/>
    <w:rPr>
      <w:rFonts w:ascii="Segoe UI" w:eastAsia="Calibri" w:hAnsi="Segoe UI" w:cs="Segoe UI"/>
      <w:sz w:val="18"/>
      <w:szCs w:val="18"/>
      <w:lang w:bidi="en-US"/>
    </w:rPr>
  </w:style>
  <w:style w:type="table" w:customStyle="1" w:styleId="TableGrid1">
    <w:name w:val="Table Grid1"/>
    <w:basedOn w:val="TableNormal"/>
    <w:next w:val="TableGrid"/>
    <w:uiPriority w:val="39"/>
    <w:rsid w:val="00EB09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5990408">
    <w:name w:val="scxw195990408"/>
    <w:basedOn w:val="DefaultParagraphFont"/>
    <w:rsid w:val="00EB094C"/>
  </w:style>
  <w:style w:type="numbering" w:customStyle="1" w:styleId="ImportedStyle2">
    <w:name w:val="Imported Style 2"/>
    <w:rsid w:val="00EB094C"/>
    <w:pPr>
      <w:numPr>
        <w:numId w:val="5"/>
      </w:numPr>
    </w:pPr>
  </w:style>
  <w:style w:type="character" w:styleId="CommentReference">
    <w:name w:val="annotation reference"/>
    <w:basedOn w:val="DefaultParagraphFont"/>
    <w:uiPriority w:val="99"/>
    <w:semiHidden/>
    <w:unhideWhenUsed/>
    <w:rsid w:val="00EB094C"/>
    <w:rPr>
      <w:sz w:val="16"/>
      <w:szCs w:val="16"/>
    </w:rPr>
  </w:style>
  <w:style w:type="paragraph" w:styleId="CommentText">
    <w:name w:val="annotation text"/>
    <w:basedOn w:val="Normal"/>
    <w:link w:val="CommentTextChar"/>
    <w:uiPriority w:val="99"/>
    <w:semiHidden/>
    <w:unhideWhenUsed/>
    <w:rsid w:val="00EB094C"/>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uiPriority w:val="99"/>
    <w:semiHidden/>
    <w:rsid w:val="00EB094C"/>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94C"/>
    <w:rPr>
      <w:b/>
      <w:bCs/>
    </w:rPr>
  </w:style>
  <w:style w:type="character" w:customStyle="1" w:styleId="CommentSubjectChar">
    <w:name w:val="Comment Subject Char"/>
    <w:basedOn w:val="CommentTextChar"/>
    <w:link w:val="CommentSubject"/>
    <w:uiPriority w:val="99"/>
    <w:semiHidden/>
    <w:rsid w:val="00EB094C"/>
    <w:rPr>
      <w:rFonts w:ascii="Verdana" w:eastAsia="Times New Roman" w:hAnsi="Verdana" w:cs="Times New Roman"/>
      <w:b/>
      <w:bCs/>
      <w:sz w:val="20"/>
      <w:szCs w:val="20"/>
      <w:lang w:eastAsia="en-GB"/>
    </w:rPr>
  </w:style>
  <w:style w:type="character" w:customStyle="1" w:styleId="markqzm8tievw">
    <w:name w:val="markqzm8tievw"/>
    <w:basedOn w:val="DefaultParagraphFont"/>
    <w:rsid w:val="00EB094C"/>
  </w:style>
  <w:style w:type="character" w:customStyle="1" w:styleId="markw3t9ynfv0">
    <w:name w:val="markw3t9ynfv0"/>
    <w:basedOn w:val="DefaultParagraphFont"/>
    <w:rsid w:val="00EB094C"/>
  </w:style>
  <w:style w:type="character" w:styleId="FootnoteReference">
    <w:name w:val="footnote reference"/>
    <w:basedOn w:val="DefaultParagraphFont"/>
    <w:uiPriority w:val="99"/>
    <w:semiHidden/>
    <w:unhideWhenUsed/>
    <w:rsid w:val="00EB094C"/>
    <w:rPr>
      <w:vertAlign w:val="superscript"/>
    </w:rPr>
  </w:style>
  <w:style w:type="paragraph" w:styleId="Revision">
    <w:name w:val="Revision"/>
    <w:hidden/>
    <w:uiPriority w:val="99"/>
    <w:semiHidden/>
    <w:rsid w:val="00EB094C"/>
    <w:pPr>
      <w:spacing w:after="0" w:line="240" w:lineRule="auto"/>
    </w:pPr>
    <w:rPr>
      <w:rFonts w:ascii="Calibri" w:eastAsia="Calibri" w:hAnsi="Calibri" w:cs="Calibri"/>
      <w:lang w:bidi="en-US"/>
    </w:rPr>
  </w:style>
  <w:style w:type="paragraph" w:customStyle="1" w:styleId="xmsolistparagraph">
    <w:name w:val="x_msolistparagraph"/>
    <w:basedOn w:val="Normal"/>
    <w:rsid w:val="00EB094C"/>
    <w:pPr>
      <w:spacing w:before="100" w:beforeAutospacing="1" w:after="100" w:afterAutospacing="1" w:line="240" w:lineRule="auto"/>
      <w:ind w:left="720" w:hanging="360"/>
    </w:pPr>
    <w:rPr>
      <w:rFonts w:ascii="Calibri" w:hAnsi="Calibri" w:cs="Calibri"/>
      <w:color w:val="000000"/>
      <w:lang w:eastAsia="en-GB"/>
    </w:rPr>
  </w:style>
  <w:style w:type="character" w:customStyle="1" w:styleId="scxw154344830">
    <w:name w:val="scxw154344830"/>
    <w:basedOn w:val="DefaultParagraphFont"/>
    <w:rsid w:val="00EB094C"/>
  </w:style>
  <w:style w:type="paragraph" w:customStyle="1" w:styleId="xxxmsonormal">
    <w:name w:val="x_xxmsonormal"/>
    <w:basedOn w:val="Normal"/>
    <w:rsid w:val="00EB094C"/>
    <w:pPr>
      <w:spacing w:after="0" w:line="240" w:lineRule="auto"/>
    </w:pPr>
    <w:rPr>
      <w:rFonts w:ascii="Calibri" w:hAnsi="Calibri" w:cs="Calibri"/>
      <w:lang w:eastAsia="en-GB"/>
    </w:rPr>
  </w:style>
  <w:style w:type="paragraph" w:customStyle="1" w:styleId="xmsonormal">
    <w:name w:val="x_msonormal"/>
    <w:basedOn w:val="Normal"/>
    <w:rsid w:val="00EB094C"/>
    <w:pPr>
      <w:spacing w:after="0" w:line="240" w:lineRule="auto"/>
    </w:pPr>
    <w:rPr>
      <w:rFonts w:ascii="Calibri" w:hAnsi="Calibri" w:cs="Calibri"/>
      <w:lang w:eastAsia="en-GB"/>
    </w:rPr>
  </w:style>
  <w:style w:type="paragraph" w:customStyle="1" w:styleId="xxmsonormal">
    <w:name w:val="x_xmsonormal"/>
    <w:basedOn w:val="Normal"/>
    <w:rsid w:val="00EB094C"/>
    <w:pPr>
      <w:spacing w:after="0" w:line="240" w:lineRule="auto"/>
    </w:pPr>
    <w:rPr>
      <w:rFonts w:ascii="Calibri" w:hAnsi="Calibri" w:cs="Calibri"/>
      <w:lang w:eastAsia="en-GB"/>
    </w:rPr>
  </w:style>
  <w:style w:type="character" w:customStyle="1" w:styleId="xxxnormaltextrun">
    <w:name w:val="x_xxnormaltextrun"/>
    <w:basedOn w:val="DefaultParagraphFont"/>
    <w:rsid w:val="00EB094C"/>
  </w:style>
  <w:style w:type="character" w:customStyle="1" w:styleId="markcjnwqxrsz">
    <w:name w:val="markcjnwqxrsz"/>
    <w:basedOn w:val="DefaultParagraphFont"/>
    <w:rsid w:val="00EB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bsa.nhs.uk/pharmacies-gp-practices-and-appliance-contractors/drug-tariff" TargetMode="External"/><Relationship Id="rId117" Type="http://schemas.openxmlformats.org/officeDocument/2006/relationships/theme" Target="theme/theme1.xml"/><Relationship Id="rId21" Type="http://schemas.openxmlformats.org/officeDocument/2006/relationships/hyperlink" Target="https://psnc.org.uk/wp-content/uploads/2021/10/FP34C-Submission-factsheet.pdf" TargetMode="External"/><Relationship Id="rId42" Type="http://schemas.openxmlformats.org/officeDocument/2006/relationships/hyperlink" Target="https://psnc.org.uk/services-commissioning/advanced-services/hypertension-case-finding-service/" TargetMode="External"/><Relationship Id="rId47" Type="http://schemas.openxmlformats.org/officeDocument/2006/relationships/hyperlink" Target="https://psnc.org.uk/services-commissioning/advanced-services/nms/" TargetMode="External"/><Relationship Id="rId63" Type="http://schemas.openxmlformats.org/officeDocument/2006/relationships/hyperlink" Target="Xylocaine&#174;%201%25%20(lidocaine)%20with%20adrenaline%20100micrograms/20ml%20(1:200,000)%20solution%20for%20injection%20vials" TargetMode="External"/><Relationship Id="rId68" Type="http://schemas.openxmlformats.org/officeDocument/2006/relationships/hyperlink" Target="https://psnc.org.uk/our-news/medicine-supply-notification-catapres-clonidine-100microgram-tablets/" TargetMode="External"/><Relationship Id="rId84" Type="http://schemas.openxmlformats.org/officeDocument/2006/relationships/hyperlink" Target="https://psnc.org.uk/wp-content/uploads/2021/10/FP34C-Submission-factsheet.pdf" TargetMode="External"/><Relationship Id="rId89" Type="http://schemas.openxmlformats.org/officeDocument/2006/relationships/hyperlink" Target="https://psnc.org.uk/wp-content/uploads/2021/03/Dispensing-Factsheet-How-to-access-your-Prescription-Item-Reports.pdf" TargetMode="External"/><Relationship Id="rId112" Type="http://schemas.openxmlformats.org/officeDocument/2006/relationships/image" Target="media/image23.png"/><Relationship Id="rId16" Type="http://schemas.openxmlformats.org/officeDocument/2006/relationships/hyperlink" Target="https://psnc.org.uk/dispensing-supply/psnc-briefings-dispensing-and-supply/psnc-briefing-037-21-peps-cashflow-briefing/" TargetMode="External"/><Relationship Id="rId107" Type="http://schemas.openxmlformats.org/officeDocument/2006/relationships/image" Target="media/image18.png"/><Relationship Id="rId11" Type="http://schemas.openxmlformats.org/officeDocument/2006/relationships/chart" Target="charts/chart2.xml"/><Relationship Id="rId32" Type="http://schemas.openxmlformats.org/officeDocument/2006/relationships/hyperlink" Target="https://psnc.org.uk/wp-content/uploads/2021/11/PSNC-Briefing-048.21-Serious-Shortage-Protocols-SSPs-SSP013-Atorvastatin-20mg-chewable-tablets.pdf" TargetMode="External"/><Relationship Id="rId37" Type="http://schemas.openxmlformats.org/officeDocument/2006/relationships/hyperlink" Target="https://www.nhsbsa.nhs.uk/sites/default/files/2020-03/SSP%20Fluoxetine%2010mg%20tablets%20final%20-%20signed.pdf" TargetMode="External"/><Relationship Id="rId53" Type="http://schemas.openxmlformats.org/officeDocument/2006/relationships/image" Target="media/image1.jpeg"/><Relationship Id="rId58" Type="http://schemas.openxmlformats.org/officeDocument/2006/relationships/image" Target="media/image5.jpeg"/><Relationship Id="rId74" Type="http://schemas.openxmlformats.org/officeDocument/2006/relationships/hyperlink" Target="https://psnc.org.uk/our-news/medicine-supply-notification-ddavp-desmopressin-0-01-w-v-100-micrograms-ml-intranasal-solution/" TargetMode="External"/><Relationship Id="rId79" Type="http://schemas.openxmlformats.org/officeDocument/2006/relationships/hyperlink" Target="https://psnc.org.uk/our-news/medicine-supply-notification-clexane-enoxaparin-pre-filled-syringes/" TargetMode="External"/><Relationship Id="rId102" Type="http://schemas.openxmlformats.org/officeDocument/2006/relationships/image" Target="media/image13.png"/><Relationship Id="rId5" Type="http://schemas.openxmlformats.org/officeDocument/2006/relationships/styles" Target="styles.xml"/><Relationship Id="rId90" Type="http://schemas.openxmlformats.org/officeDocument/2006/relationships/hyperlink" Target="https://psnc.org.uk/wp-content/uploads/2021/05/Expensive-items-factsheet.pdf" TargetMode="External"/><Relationship Id="rId95" Type="http://schemas.openxmlformats.org/officeDocument/2006/relationships/image" Target="media/image6.png"/><Relationship Id="rId22" Type="http://schemas.openxmlformats.org/officeDocument/2006/relationships/hyperlink" Target="https://services.nhsbsa.nhs.uk/dmd-browser/ampp/view/186178?ref=YW1wTmFtZT12ZW5sYWZheGluZSZzdXBwbGllcj1Sb3NlbW9udCtQaGFybWFjZXV0aWNhbHMrTHRkJnNlYXJjaFR5cGU9QU1QJnNob3dJbnZhbGlkSXRlbXM9ZmFsc2U%3D" TargetMode="External"/><Relationship Id="rId27" Type="http://schemas.openxmlformats.org/officeDocument/2006/relationships/hyperlink" Target="https://www.nhsbsa.nhs.uk/pharmacies-gp-practices-and-appliance-contractors/drug-tariff" TargetMode="External"/><Relationship Id="rId43" Type="http://schemas.openxmlformats.org/officeDocument/2006/relationships/hyperlink" Target="https://psnc.org.uk/services-commissioning/advanced-services/flu-vaccination-service/" TargetMode="External"/><Relationship Id="rId48" Type="http://schemas.openxmlformats.org/officeDocument/2006/relationships/hyperlink" Target="https://psnc.org.uk/services-commissioning/essential-services/discharge-medicines-service/" TargetMode="External"/><Relationship Id="rId64" Type="http://schemas.openxmlformats.org/officeDocument/2006/relationships/hyperlink" Target="https://psnc.org.uk/our-news/medicine-supply-notification-dalacin-clindamycin-2-vaginal-cream/" TargetMode="External"/><Relationship Id="rId69" Type="http://schemas.openxmlformats.org/officeDocument/2006/relationships/hyperlink" Target="https://psnc.org.uk/our-news/medicine-supply-notification-mesalazine-asacol-800mg-mr-gastro-resistant-tablets/" TargetMode="External"/><Relationship Id="rId113" Type="http://schemas.openxmlformats.org/officeDocument/2006/relationships/image" Target="media/image24.png"/><Relationship Id="rId80" Type="http://schemas.openxmlformats.org/officeDocument/2006/relationships/hyperlink" Target="https://psnc.org.uk/our-news/medicine-supply-notification-xylocaine-1-and-2-lidocaine-with-adrenaline-100micrograms-20ml-1200000-solution-for-injection-vials/" TargetMode="External"/><Relationship Id="rId85" Type="http://schemas.openxmlformats.org/officeDocument/2006/relationships/hyperlink" Target="https://psnc.org.uk/wp-content/uploads/2021/10/Prescription-submission-factsheet-2021.pdf" TargetMode="External"/><Relationship Id="rId12" Type="http://schemas.openxmlformats.org/officeDocument/2006/relationships/hyperlink" Target="https://psnc.us7.list-manage.com/track/click?u=86d41ab7fa4c7c2c5d7210782&amp;id=21eec16ba1&amp;e=b3c36abde4" TargetMode="External"/><Relationship Id="rId17" Type="http://schemas.openxmlformats.org/officeDocument/2006/relationships/hyperlink" Target="https://psnc.org.uk/wp-content/uploads/2021/09/PEPS-cashflow-model-Sep-2021.xlsx" TargetMode="External"/><Relationship Id="rId33" Type="http://schemas.openxmlformats.org/officeDocument/2006/relationships/hyperlink" Target="https://www.nhsbsa.nhs.uk/pharmacies-gp-practices-and-appliance-contractors/serious-shortage-protocols-ssps" TargetMode="External"/><Relationship Id="rId38" Type="http://schemas.openxmlformats.org/officeDocument/2006/relationships/hyperlink" Target="https://psnc.org.uk/dispensing-supply/supply-chain/live-ssps/" TargetMode="External"/><Relationship Id="rId59" Type="http://schemas.openxmlformats.org/officeDocument/2006/relationships/hyperlink" Target="https://psnc.org.uk/dispensing-supply/endorsement/discount-deduction/notice-of-changes-to-discount-not-deducted-dnd-status-of-products/" TargetMode="External"/><Relationship Id="rId103" Type="http://schemas.openxmlformats.org/officeDocument/2006/relationships/image" Target="media/image14.png"/><Relationship Id="rId108" Type="http://schemas.openxmlformats.org/officeDocument/2006/relationships/image" Target="media/image19.emf"/><Relationship Id="rId54" Type="http://schemas.openxmlformats.org/officeDocument/2006/relationships/image" Target="media/image2.jpg"/><Relationship Id="rId70" Type="http://schemas.openxmlformats.org/officeDocument/2006/relationships/hyperlink" Target="https://psnc.org.uk/our-news/medicine-supply-notification-nalcrom-sodium-cromoglicate-100mg-capsules-updated/" TargetMode="External"/><Relationship Id="rId75" Type="http://schemas.openxmlformats.org/officeDocument/2006/relationships/hyperlink" Target="https://psnc.org.uk/our-news/supply-disruption-affecting-champix-varenicline-tablets-pfizer/" TargetMode="External"/><Relationship Id="rId91" Type="http://schemas.openxmlformats.org/officeDocument/2006/relationships/hyperlink" Target="https://psnc.org.uk/wp-content/uploads/2021/03/CPN_0221_Dispensing-Factsheet-Dispensing-prescriptions-for-Controlled-Drugs.pdf" TargetMode="External"/><Relationship Id="rId9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services.nhsbsa.nhs.uk/dmd-browser/ampp/view/186179?ref=YW1wTmFtZT12ZW5sYWZheGluZSZzdXBwbGllcj1Sb3NlbW9udCtQaGFybWFjZXV0aWNhbHMrTHRkJnNlYXJjaFR5cGU9QU1QJnNob3dJbnZhbGlkSXRlbXM9ZmFsc2U%3D" TargetMode="External"/><Relationship Id="rId28" Type="http://schemas.openxmlformats.org/officeDocument/2006/relationships/hyperlink" Target="https://psnc.org.uk/dispensing-supply/endorsement/how-the-price-change-mechanism-works/" TargetMode="External"/><Relationship Id="rId49" Type="http://schemas.openxmlformats.org/officeDocument/2006/relationships/hyperlink" Target="https://psnc.org.uk/the-healthcare-landscape/covid19/covid-19-vaccinations/" TargetMode="External"/><Relationship Id="rId114" Type="http://schemas.openxmlformats.org/officeDocument/2006/relationships/header" Target="header1.xml"/><Relationship Id="rId10" Type="http://schemas.openxmlformats.org/officeDocument/2006/relationships/chart" Target="charts/chart1.xml"/><Relationship Id="rId31" Type="http://schemas.openxmlformats.org/officeDocument/2006/relationships/hyperlink" Target="https://www.nhsbsa.nhs.uk/pharmacies-gp-practices-and-appliance-contractors/serious-shortage-protocols-ssps" TargetMode="External"/><Relationship Id="rId44" Type="http://schemas.openxmlformats.org/officeDocument/2006/relationships/hyperlink" Target="https://psnc.org.uk/the-healthcare-landscape/covid19/pandemic-delivery-service/" TargetMode="External"/><Relationship Id="rId52" Type="http://schemas.openxmlformats.org/officeDocument/2006/relationships/hyperlink" Target="https://psnc.org.uk/dispensing-supply/payment-accuracy/monthly-payments/the-pharmacy-earlier-payment-scheme-peps/" TargetMode="External"/><Relationship Id="rId60" Type="http://schemas.openxmlformats.org/officeDocument/2006/relationships/hyperlink" Target="https://psnc.org.uk/dispensing-supply/dispensing-a-prescription/special-containers/special-containers-notice-of-change-to-product-special-container-status/" TargetMode="External"/><Relationship Id="rId65" Type="http://schemas.openxmlformats.org/officeDocument/2006/relationships/hyperlink" Target="https://psnc.org.uk/our-news/supply-disruption-alert-glipizide-minodiab-5mg-tablets/" TargetMode="External"/><Relationship Id="rId73" Type="http://schemas.openxmlformats.org/officeDocument/2006/relationships/hyperlink" Target="https://psnc.org.uk/our-news/medicine-supply-notification-latanoprost-50microgram-ml-timolol-5mg-ml-fixapost-0-2ml-unit-dose-preservative-free-eye-drops/" TargetMode="External"/><Relationship Id="rId78" Type="http://schemas.openxmlformats.org/officeDocument/2006/relationships/hyperlink" Target="https://psnc.org.uk/our-news/medicine-supply-notification-desmopressin-octim-150mcg-per-actuation-nasal-spray-ferring-pharmaceuticals/" TargetMode="External"/><Relationship Id="rId81" Type="http://schemas.openxmlformats.org/officeDocument/2006/relationships/hyperlink" Target="https://view6.workcast.net/ControlUsher.aspx?cpak=2134336673423985&amp;pak=2691972174246794" TargetMode="External"/><Relationship Id="rId86" Type="http://schemas.openxmlformats.org/officeDocument/2006/relationships/hyperlink" Target="https://psnc.us7.list-manage.com/track/click?u=86d41ab7fa4c7c2c5d7210782&amp;id=0df9047a7e&amp;e=a14d94e535" TargetMode="External"/><Relationship Id="rId94" Type="http://schemas.openxmlformats.org/officeDocument/2006/relationships/hyperlink" Target="https://psnc.org.uk/wp-content/uploads/2020/11/Appendix1-for-PSNC-Briefing-040.20.pdf" TargetMode="External"/><Relationship Id="rId99" Type="http://schemas.openxmlformats.org/officeDocument/2006/relationships/image" Target="media/image10.png"/><Relationship Id="rId101"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hsbsa.nhs.uk/pharmacies-gp-practices-and-appliance-contractors/payments-and-pricing/pharmacy-payment-timetable" TargetMode="External"/><Relationship Id="rId18" Type="http://schemas.openxmlformats.org/officeDocument/2006/relationships/hyperlink" Target="https://psnc.org.uk/dispensing-supply/payment-accuracy/prescription-submission/prescription-submission-requirements/" TargetMode="External"/><Relationship Id="rId39" Type="http://schemas.openxmlformats.org/officeDocument/2006/relationships/hyperlink" Target="https://psnc.org.uk/dispensing-supply/payment-accuracy/monthly-payments/payment-timetable-and-deadline-tracker/" TargetMode="External"/><Relationship Id="rId109" Type="http://schemas.openxmlformats.org/officeDocument/2006/relationships/image" Target="media/image20.png"/><Relationship Id="rId34" Type="http://schemas.openxmlformats.org/officeDocument/2006/relationships/hyperlink" Target="https://www.nhsbsa.nhs.uk/pharmacies-gp-practices-and-appliance-contractors/serious-shortage-protocols-ssps" TargetMode="External"/><Relationship Id="rId50" Type="http://schemas.openxmlformats.org/officeDocument/2006/relationships/hyperlink" Target="https://psnc.org.uk/services-commissioning/advanced-services/hep-c/" TargetMode="External"/><Relationship Id="rId55" Type="http://schemas.openxmlformats.org/officeDocument/2006/relationships/hyperlink" Target="https://www.nhsbsa.nhs.uk/pharmacies-gp-practices-and-appliance-contractors/dispensing-contractors-information/pharmaceutical/dispensing-contractors-information-0" TargetMode="External"/><Relationship Id="rId76" Type="http://schemas.openxmlformats.org/officeDocument/2006/relationships/hyperlink" Target="https://psnc.org.uk/our-news/medicine-supply-notification-acebutolol-sectral-100mg-capsules/" TargetMode="External"/><Relationship Id="rId97" Type="http://schemas.openxmlformats.org/officeDocument/2006/relationships/image" Target="media/image8.png"/><Relationship Id="rId104" Type="http://schemas.openxmlformats.org/officeDocument/2006/relationships/image" Target="media/image15.png"/><Relationship Id="rId7" Type="http://schemas.openxmlformats.org/officeDocument/2006/relationships/webSettings" Target="webSettings.xml"/><Relationship Id="rId71" Type="http://schemas.openxmlformats.org/officeDocument/2006/relationships/hyperlink" Target="https://psnc.org.uk/our-news/medicine-supply-notification-desmopressin-octim-150mcg-per-actuation-nasal-spray-ferring-pharmaceuticals/" TargetMode="External"/><Relationship Id="rId92" Type="http://schemas.openxmlformats.org/officeDocument/2006/relationships/hyperlink" Target="https://psnc.org.uk/wp-content/uploads/2021/02/Dispensing-Factsheet-Disallowed-items.pdf" TargetMode="External"/><Relationship Id="rId2" Type="http://schemas.openxmlformats.org/officeDocument/2006/relationships/customXml" Target="../customXml/item2.xml"/><Relationship Id="rId29" Type="http://schemas.openxmlformats.org/officeDocument/2006/relationships/hyperlink" Target="https://www.nhsbsa.nhs.uk/pharmacies-gp-practices-and-appliance-contractors/drug-tariff" TargetMode="External"/><Relationship Id="rId24" Type="http://schemas.openxmlformats.org/officeDocument/2006/relationships/hyperlink" Target="https://www.nhsbsa.nhs.uk/pharmacies-gp-practices-and-appliance-contractors/drug-tariff" TargetMode="External"/><Relationship Id="rId40" Type="http://schemas.openxmlformats.org/officeDocument/2006/relationships/hyperlink" Target="https://psnc.org.uk/services-commissioning/pharmacy-quality-scheme/" TargetMode="External"/><Relationship Id="rId45" Type="http://schemas.openxmlformats.org/officeDocument/2006/relationships/hyperlink" Target="https://psnc.org.uk/services-commissioning/advanced-services/community-pharmacist-consultation-service/" TargetMode="External"/><Relationship Id="rId66" Type="http://schemas.openxmlformats.org/officeDocument/2006/relationships/hyperlink" Target="https://psnc.org.uk/our-news/medicine-supply-notification-metformin-500mg-5ml-oral-solution/" TargetMode="External"/><Relationship Id="rId87" Type="http://schemas.openxmlformats.org/officeDocument/2006/relationships/hyperlink" Target="https://psnc.org.uk/wp-content/uploads/2021/06/Factsheet-Understanding-Prescription-Returns.pdf" TargetMode="External"/><Relationship Id="rId110" Type="http://schemas.openxmlformats.org/officeDocument/2006/relationships/image" Target="media/image21.png"/><Relationship Id="rId115" Type="http://schemas.openxmlformats.org/officeDocument/2006/relationships/footer" Target="footer1.xml"/><Relationship Id="rId61" Type="http://schemas.openxmlformats.org/officeDocument/2006/relationships/hyperlink" Target="https://psnc.org.uk/our-news/medicine-supply-notification-chloral-hydrate-143-3mg-in-5ml-oral-solution/" TargetMode="External"/><Relationship Id="rId82" Type="http://schemas.openxmlformats.org/officeDocument/2006/relationships/hyperlink" Target="https://psnc.org.uk/wp-content/uploads/2021/10/PSNC-webinar-DT-changes-website.pdf" TargetMode="External"/><Relationship Id="rId19" Type="http://schemas.openxmlformats.org/officeDocument/2006/relationships/hyperlink" Target="https://psnc.org.uk/dispensing-supply/payment-accuracy/monthly-payments/reconciling-payments/" TargetMode="External"/><Relationship Id="rId14" Type="http://schemas.openxmlformats.org/officeDocument/2006/relationships/hyperlink" Target="https://psnc.org.uk/dispensing-supply/psnc-briefings-dispensing-and-supply/psnc-briefing-031-21-new-payment-arrangements-for-all-contractors-following-end-to-pharmacy-earlier-payment-scheme-peps/" TargetMode="External"/><Relationship Id="rId30" Type="http://schemas.openxmlformats.org/officeDocument/2006/relationships/hyperlink" Target="https://www.nhsbsa.nhs.uk/pharmacies-gp-practices-and-appliance-contractors/serious-shortage-protocols-ssps" TargetMode="External"/><Relationship Id="rId35" Type="http://schemas.openxmlformats.org/officeDocument/2006/relationships/hyperlink" Target="https://psnc.org.uk/wp-content/uploads/2021/11/PSNC-Briefing-048.21-Serious-Shortage-Protocols-SSPs-SSP013-Atorvastatin-20mg-chewable-tablets.pdf" TargetMode="External"/><Relationship Id="rId56" Type="http://schemas.openxmlformats.org/officeDocument/2006/relationships/image" Target="media/image3.jpeg"/><Relationship Id="rId77" Type="http://schemas.openxmlformats.org/officeDocument/2006/relationships/hyperlink" Target="https://psnc.org.uk/our-news/medicine-supply-notification-ddavp-desmopressin-0-01-w-v-100-micrograms-ml-intranasal-solution/" TargetMode="External"/><Relationship Id="rId100" Type="http://schemas.openxmlformats.org/officeDocument/2006/relationships/image" Target="media/image11.png"/><Relationship Id="rId105" Type="http://schemas.openxmlformats.org/officeDocument/2006/relationships/image" Target="media/image16.png"/><Relationship Id="rId8" Type="http://schemas.openxmlformats.org/officeDocument/2006/relationships/footnotes" Target="footnotes.xml"/><Relationship Id="rId51" Type="http://schemas.openxmlformats.org/officeDocument/2006/relationships/hyperlink" Target="https://psnc.org.uk/services-commissioning/advanced-services/sac/" TargetMode="External"/><Relationship Id="rId72" Type="http://schemas.openxmlformats.org/officeDocument/2006/relationships/hyperlink" Target="https://psnc.org.uk/our-news/medicine-supply-notification-gentisone-hc-gentamicin-0-3-w-v-and-hydrocortisone-acetate-1-w-v-ear-drops/" TargetMode="External"/><Relationship Id="rId93" Type="http://schemas.openxmlformats.org/officeDocument/2006/relationships/hyperlink" Target="https://psnc.org.uk/wp-content/uploads/2021/01/Dispensing-Factsheet-Is-this-item-allowed.pdf" TargetMode="External"/><Relationship Id="rId98" Type="http://schemas.openxmlformats.org/officeDocument/2006/relationships/image" Target="media/image9.png"/><Relationship Id="rId3" Type="http://schemas.openxmlformats.org/officeDocument/2006/relationships/customXml" Target="../customXml/item3.xml"/><Relationship Id="rId25" Type="http://schemas.openxmlformats.org/officeDocument/2006/relationships/hyperlink" Target="https://psnc.org.uk/dispensing-supply/endorsement/how-the-price-change-mechanism-works/" TargetMode="External"/><Relationship Id="rId46" Type="http://schemas.openxmlformats.org/officeDocument/2006/relationships/hyperlink" Target="https://psnc.org.uk/services-commissioning/advanced-services/aurs/" TargetMode="External"/><Relationship Id="rId67" Type="http://schemas.openxmlformats.org/officeDocument/2006/relationships/hyperlink" Target="https://psnc.org.uk/our-news/medicine-supply-notification-metronidazole-acea-0-75-gel/" TargetMode="External"/><Relationship Id="rId116" Type="http://schemas.openxmlformats.org/officeDocument/2006/relationships/fontTable" Target="fontTable.xml"/><Relationship Id="rId20" Type="http://schemas.openxmlformats.org/officeDocument/2006/relationships/hyperlink" Target="https://psnc.org.uk/contract-it/psnc-briefings-pharmacy-contract-and-it/psnc-briefing-00816-psnc-briefing-00816-eps-factsheet-reconcile-eps-prescription-figures-february-2016/" TargetMode="External"/><Relationship Id="rId41" Type="http://schemas.openxmlformats.org/officeDocument/2006/relationships/hyperlink" Target="https://psnc.org.uk/services-commissioning/advanced-services/c-19-lateral-flow-device-distribution-service/" TargetMode="External"/><Relationship Id="rId62" Type="http://schemas.openxmlformats.org/officeDocument/2006/relationships/hyperlink" Target="https://psnc.org.uk/our-news/medicine-supply-notification-nalcrom-sodium-cromoglicate-100mg-capsules-2/" TargetMode="External"/><Relationship Id="rId83" Type="http://schemas.openxmlformats.org/officeDocument/2006/relationships/hyperlink" Target="https://psnc.org.uk/wp-content/uploads/2021/05/Red-Sep-factsheet-2021.pdf" TargetMode="External"/><Relationship Id="rId88" Type="http://schemas.openxmlformats.org/officeDocument/2006/relationships/hyperlink" Target="https://psnc.org.uk/wp-content/uploads/2021/05/Dispensing-Factsheet-Multi-charge-Items.pdf" TargetMode="External"/><Relationship Id="rId111" Type="http://schemas.openxmlformats.org/officeDocument/2006/relationships/image" Target="media/image22.png"/><Relationship Id="rId15" Type="http://schemas.openxmlformats.org/officeDocument/2006/relationships/hyperlink" Target="https://psnc.org.uk/our-news/early-advance-payments-for-all-contractors-following-an-end-to-peps/" TargetMode="External"/><Relationship Id="rId36" Type="http://schemas.openxmlformats.org/officeDocument/2006/relationships/hyperlink" Target="https://www.nhsbsa.nhs.uk/pharmacies-gp-practices-and-appliance-contractors/serious-shortage-protocols-ssps" TargetMode="External"/><Relationship Id="rId57" Type="http://schemas.openxmlformats.org/officeDocument/2006/relationships/image" Target="media/image4.jpeg"/><Relationship Id="rId106"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Number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5.0887104419546143E-2"/>
          <c:y val="0.20758620689655172"/>
          <c:w val="0.72841174504982309"/>
          <c:h val="0.61321838835186249"/>
        </c:manualLayout>
      </c:layout>
      <c:barChart>
        <c:barDir val="col"/>
        <c:grouping val="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Graphs'!$B$2:$AX$2</c:f>
              <c:numCache>
                <c:formatCode>General</c:formatCode>
                <c:ptCount val="49"/>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27</c:v>
                </c:pt>
                <c:pt idx="45">
                  <c:v>34</c:v>
                </c:pt>
                <c:pt idx="46">
                  <c:v>42</c:v>
                </c:pt>
                <c:pt idx="47">
                  <c:v>40</c:v>
                </c:pt>
              </c:numCache>
            </c:numRef>
          </c:val>
          <c:extLst>
            <c:ext xmlns:c16="http://schemas.microsoft.com/office/drawing/2014/chart" uri="{C3380CC4-5D6E-409C-BE32-E72D297353CC}">
              <c16:uniqueId val="{00000000-DE97-4713-B530-39737961B52E}"/>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Graphs'!$B$3:$AX$3</c:f>
              <c:numCache>
                <c:formatCode>General</c:formatCode>
                <c:ptCount val="49"/>
                <c:pt idx="36">
                  <c:v>3</c:v>
                </c:pt>
                <c:pt idx="37">
                  <c:v>4</c:v>
                </c:pt>
                <c:pt idx="38">
                  <c:v>0</c:v>
                </c:pt>
                <c:pt idx="39">
                  <c:v>0</c:v>
                </c:pt>
                <c:pt idx="40">
                  <c:v>1</c:v>
                </c:pt>
                <c:pt idx="41">
                  <c:v>3</c:v>
                </c:pt>
                <c:pt idx="42">
                  <c:v>0</c:v>
                </c:pt>
                <c:pt idx="43">
                  <c:v>3</c:v>
                </c:pt>
                <c:pt idx="44">
                  <c:v>4</c:v>
                </c:pt>
                <c:pt idx="45">
                  <c:v>1</c:v>
                </c:pt>
                <c:pt idx="46">
                  <c:v>1</c:v>
                </c:pt>
                <c:pt idx="47">
                  <c:v>1</c:v>
                </c:pt>
              </c:numCache>
            </c:numRef>
          </c:val>
          <c:extLst>
            <c:ext xmlns:c16="http://schemas.microsoft.com/office/drawing/2014/chart" uri="{C3380CC4-5D6E-409C-BE32-E72D297353CC}">
              <c16:uniqueId val="{00000001-DE97-4713-B530-39737961B52E}"/>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Graphs'!$B$4:$AX$4</c:f>
              <c:numCache>
                <c:formatCode>General</c:formatCode>
                <c:ptCount val="49"/>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numCache>
            </c:numRef>
          </c:val>
          <c:extLst>
            <c:ext xmlns:c16="http://schemas.microsoft.com/office/drawing/2014/chart" uri="{C3380CC4-5D6E-409C-BE32-E72D297353CC}">
              <c16:uniqueId val="{00000002-DE97-4713-B530-39737961B52E}"/>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Graphs'!$B$5:$AX$5</c:f>
              <c:numCache>
                <c:formatCode>General</c:formatCode>
                <c:ptCount val="49"/>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numCache>
            </c:numRef>
          </c:val>
          <c:extLst>
            <c:ext xmlns:c16="http://schemas.microsoft.com/office/drawing/2014/chart" uri="{C3380CC4-5D6E-409C-BE32-E72D297353CC}">
              <c16:uniqueId val="{00000003-DE97-4713-B530-39737961B52E}"/>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505"/>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79020194836907631"/>
          <c:y val="0.20505163756704325"/>
          <c:w val="0.19909590191324017"/>
          <c:h val="0.505356540097335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0000"/>
                </a:solidFill>
                <a:latin typeface="+mn-lt"/>
                <a:ea typeface="+mn-ea"/>
                <a:cs typeface="+mn-cs"/>
              </a:defRPr>
            </a:pPr>
            <a:r>
              <a:rPr lang="en-US" sz="1200"/>
              <a:t>Percentage of price concessions agreed, agreed no price concession, imposed or not granted </a:t>
            </a:r>
          </a:p>
        </c:rich>
      </c:tx>
      <c:layout>
        <c:manualLayout>
          <c:xMode val="edge"/>
          <c:yMode val="edge"/>
          <c:x val="4.4999957159870804E-2"/>
          <c:y val="2.328288707799767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Graphs'!$B$2:$AX$2</c:f>
              <c:numCache>
                <c:formatCode>General</c:formatCode>
                <c:ptCount val="49"/>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pt idx="21">
                  <c:v>38</c:v>
                </c:pt>
                <c:pt idx="22">
                  <c:v>42</c:v>
                </c:pt>
                <c:pt idx="23">
                  <c:v>33</c:v>
                </c:pt>
                <c:pt idx="24">
                  <c:v>39</c:v>
                </c:pt>
                <c:pt idx="25">
                  <c:v>48</c:v>
                </c:pt>
                <c:pt idx="26">
                  <c:v>54</c:v>
                </c:pt>
                <c:pt idx="27">
                  <c:v>45</c:v>
                </c:pt>
                <c:pt idx="28">
                  <c:v>57</c:v>
                </c:pt>
                <c:pt idx="29">
                  <c:v>65</c:v>
                </c:pt>
                <c:pt idx="30">
                  <c:v>68</c:v>
                </c:pt>
                <c:pt idx="31">
                  <c:v>49</c:v>
                </c:pt>
                <c:pt idx="32">
                  <c:v>31</c:v>
                </c:pt>
                <c:pt idx="33">
                  <c:v>34</c:v>
                </c:pt>
                <c:pt idx="34">
                  <c:v>39</c:v>
                </c:pt>
                <c:pt idx="35">
                  <c:v>36</c:v>
                </c:pt>
                <c:pt idx="36">
                  <c:v>30</c:v>
                </c:pt>
                <c:pt idx="37">
                  <c:v>33</c:v>
                </c:pt>
                <c:pt idx="38">
                  <c:v>31</c:v>
                </c:pt>
                <c:pt idx="39">
                  <c:v>37</c:v>
                </c:pt>
                <c:pt idx="40">
                  <c:v>35</c:v>
                </c:pt>
                <c:pt idx="41">
                  <c:v>26</c:v>
                </c:pt>
                <c:pt idx="42">
                  <c:v>31</c:v>
                </c:pt>
                <c:pt idx="43">
                  <c:v>32</c:v>
                </c:pt>
                <c:pt idx="44">
                  <c:v>27</c:v>
                </c:pt>
                <c:pt idx="45">
                  <c:v>34</c:v>
                </c:pt>
                <c:pt idx="46">
                  <c:v>42</c:v>
                </c:pt>
                <c:pt idx="47">
                  <c:v>40</c:v>
                </c:pt>
              </c:numCache>
            </c:numRef>
          </c:val>
          <c:extLst>
            <c:ext xmlns:c16="http://schemas.microsoft.com/office/drawing/2014/chart" uri="{C3380CC4-5D6E-409C-BE32-E72D297353CC}">
              <c16:uniqueId val="{00000000-A4F7-44A1-B1A2-C52AA2F7FDF7}"/>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Graphs'!$B$3:$AX$3</c:f>
              <c:numCache>
                <c:formatCode>General</c:formatCode>
                <c:ptCount val="49"/>
                <c:pt idx="36">
                  <c:v>3</c:v>
                </c:pt>
                <c:pt idx="37">
                  <c:v>4</c:v>
                </c:pt>
                <c:pt idx="38">
                  <c:v>0</c:v>
                </c:pt>
                <c:pt idx="39">
                  <c:v>0</c:v>
                </c:pt>
                <c:pt idx="40">
                  <c:v>1</c:v>
                </c:pt>
                <c:pt idx="41">
                  <c:v>3</c:v>
                </c:pt>
                <c:pt idx="42">
                  <c:v>0</c:v>
                </c:pt>
                <c:pt idx="43">
                  <c:v>3</c:v>
                </c:pt>
                <c:pt idx="44">
                  <c:v>4</c:v>
                </c:pt>
                <c:pt idx="45">
                  <c:v>1</c:v>
                </c:pt>
                <c:pt idx="46">
                  <c:v>1</c:v>
                </c:pt>
                <c:pt idx="47">
                  <c:v>1</c:v>
                </c:pt>
              </c:numCache>
            </c:numRef>
          </c:val>
          <c:extLst>
            <c:ext xmlns:c16="http://schemas.microsoft.com/office/drawing/2014/chart" uri="{C3380CC4-5D6E-409C-BE32-E72D297353CC}">
              <c16:uniqueId val="{00000001-A4F7-44A1-B1A2-C52AA2F7FDF7}"/>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Graphs'!$B$4:$AX$4</c:f>
              <c:numCache>
                <c:formatCode>General</c:formatCode>
                <c:ptCount val="49"/>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pt idx="21">
                  <c:v>4</c:v>
                </c:pt>
                <c:pt idx="22">
                  <c:v>4</c:v>
                </c:pt>
                <c:pt idx="23">
                  <c:v>8</c:v>
                </c:pt>
                <c:pt idx="24">
                  <c:v>15</c:v>
                </c:pt>
                <c:pt idx="25">
                  <c:v>14</c:v>
                </c:pt>
                <c:pt idx="26">
                  <c:v>3</c:v>
                </c:pt>
                <c:pt idx="27">
                  <c:v>9</c:v>
                </c:pt>
                <c:pt idx="28">
                  <c:v>19</c:v>
                </c:pt>
                <c:pt idx="29">
                  <c:v>12</c:v>
                </c:pt>
                <c:pt idx="30">
                  <c:v>12</c:v>
                </c:pt>
                <c:pt idx="31">
                  <c:v>8</c:v>
                </c:pt>
                <c:pt idx="32">
                  <c:v>13</c:v>
                </c:pt>
                <c:pt idx="33">
                  <c:v>12</c:v>
                </c:pt>
                <c:pt idx="34">
                  <c:v>10</c:v>
                </c:pt>
                <c:pt idx="35">
                  <c:v>5</c:v>
                </c:pt>
                <c:pt idx="36">
                  <c:v>7</c:v>
                </c:pt>
                <c:pt idx="37">
                  <c:v>5</c:v>
                </c:pt>
                <c:pt idx="38">
                  <c:v>10</c:v>
                </c:pt>
                <c:pt idx="39">
                  <c:v>8</c:v>
                </c:pt>
                <c:pt idx="40">
                  <c:v>12</c:v>
                </c:pt>
                <c:pt idx="41">
                  <c:v>16</c:v>
                </c:pt>
                <c:pt idx="42">
                  <c:v>6</c:v>
                </c:pt>
                <c:pt idx="43">
                  <c:v>7</c:v>
                </c:pt>
                <c:pt idx="44">
                  <c:v>6</c:v>
                </c:pt>
                <c:pt idx="45">
                  <c:v>4</c:v>
                </c:pt>
                <c:pt idx="46">
                  <c:v>2</c:v>
                </c:pt>
                <c:pt idx="47">
                  <c:v>8</c:v>
                </c:pt>
              </c:numCache>
            </c:numRef>
          </c:val>
          <c:extLst>
            <c:ext xmlns:c16="http://schemas.microsoft.com/office/drawing/2014/chart" uri="{C3380CC4-5D6E-409C-BE32-E72D297353CC}">
              <c16:uniqueId val="{00000002-A4F7-44A1-B1A2-C52AA2F7FDF7}"/>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Graphs'!$B$1:$AX$1</c:f>
              <c:numCache>
                <c:formatCode>mmm\-yy</c:formatCode>
                <c:ptCount val="49"/>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pt idx="21">
                  <c:v>43678</c:v>
                </c:pt>
                <c:pt idx="22">
                  <c:v>43709</c:v>
                </c:pt>
                <c:pt idx="23">
                  <c:v>43739</c:v>
                </c:pt>
                <c:pt idx="24">
                  <c:v>43770</c:v>
                </c:pt>
                <c:pt idx="25">
                  <c:v>43800</c:v>
                </c:pt>
                <c:pt idx="26">
                  <c:v>43831</c:v>
                </c:pt>
                <c:pt idx="27">
                  <c:v>43862</c:v>
                </c:pt>
                <c:pt idx="28">
                  <c:v>43891</c:v>
                </c:pt>
                <c:pt idx="29">
                  <c:v>43922</c:v>
                </c:pt>
                <c:pt idx="30">
                  <c:v>43952</c:v>
                </c:pt>
                <c:pt idx="31">
                  <c:v>43983</c:v>
                </c:pt>
                <c:pt idx="32">
                  <c:v>44013</c:v>
                </c:pt>
                <c:pt idx="33">
                  <c:v>44044</c:v>
                </c:pt>
                <c:pt idx="34">
                  <c:v>44075</c:v>
                </c:pt>
                <c:pt idx="35">
                  <c:v>44105</c:v>
                </c:pt>
                <c:pt idx="36">
                  <c:v>44136</c:v>
                </c:pt>
                <c:pt idx="37">
                  <c:v>44166</c:v>
                </c:pt>
                <c:pt idx="38">
                  <c:v>44197</c:v>
                </c:pt>
                <c:pt idx="39">
                  <c:v>44228</c:v>
                </c:pt>
                <c:pt idx="40">
                  <c:v>44256</c:v>
                </c:pt>
                <c:pt idx="41">
                  <c:v>44287</c:v>
                </c:pt>
                <c:pt idx="42">
                  <c:v>44317</c:v>
                </c:pt>
                <c:pt idx="43">
                  <c:v>44348</c:v>
                </c:pt>
                <c:pt idx="44">
                  <c:v>44378</c:v>
                </c:pt>
                <c:pt idx="45">
                  <c:v>44409</c:v>
                </c:pt>
                <c:pt idx="46">
                  <c:v>44440</c:v>
                </c:pt>
                <c:pt idx="47">
                  <c:v>44470</c:v>
                </c:pt>
                <c:pt idx="48">
                  <c:v>44501</c:v>
                </c:pt>
              </c:numCache>
            </c:numRef>
          </c:cat>
          <c:val>
            <c:numRef>
              <c:f>'Summary &amp; Graphs'!$B$5:$AX$5</c:f>
              <c:numCache>
                <c:formatCode>General</c:formatCode>
                <c:ptCount val="49"/>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pt idx="21">
                  <c:v>0</c:v>
                </c:pt>
                <c:pt idx="22">
                  <c:v>0</c:v>
                </c:pt>
                <c:pt idx="23">
                  <c:v>0</c:v>
                </c:pt>
                <c:pt idx="24">
                  <c:v>0</c:v>
                </c:pt>
                <c:pt idx="25">
                  <c:v>0</c:v>
                </c:pt>
                <c:pt idx="26">
                  <c:v>1</c:v>
                </c:pt>
                <c:pt idx="27">
                  <c:v>3</c:v>
                </c:pt>
                <c:pt idx="28">
                  <c:v>3</c:v>
                </c:pt>
                <c:pt idx="29">
                  <c:v>3</c:v>
                </c:pt>
                <c:pt idx="30">
                  <c:v>6</c:v>
                </c:pt>
                <c:pt idx="31">
                  <c:v>2</c:v>
                </c:pt>
                <c:pt idx="32">
                  <c:v>1</c:v>
                </c:pt>
                <c:pt idx="33">
                  <c:v>2</c:v>
                </c:pt>
                <c:pt idx="34">
                  <c:v>3</c:v>
                </c:pt>
                <c:pt idx="35">
                  <c:v>3</c:v>
                </c:pt>
                <c:pt idx="36">
                  <c:v>0</c:v>
                </c:pt>
                <c:pt idx="37">
                  <c:v>1</c:v>
                </c:pt>
                <c:pt idx="38">
                  <c:v>4</c:v>
                </c:pt>
                <c:pt idx="39">
                  <c:v>3</c:v>
                </c:pt>
                <c:pt idx="40">
                  <c:v>4</c:v>
                </c:pt>
                <c:pt idx="41">
                  <c:v>1</c:v>
                </c:pt>
                <c:pt idx="42">
                  <c:v>1</c:v>
                </c:pt>
                <c:pt idx="43">
                  <c:v>1</c:v>
                </c:pt>
                <c:pt idx="44">
                  <c:v>3</c:v>
                </c:pt>
                <c:pt idx="45">
                  <c:v>1</c:v>
                </c:pt>
                <c:pt idx="46">
                  <c:v>1</c:v>
                </c:pt>
                <c:pt idx="47">
                  <c:v>0</c:v>
                </c:pt>
              </c:numCache>
            </c:numRef>
          </c:val>
          <c:extLst>
            <c:ext xmlns:c16="http://schemas.microsoft.com/office/drawing/2014/chart" uri="{C3380CC4-5D6E-409C-BE32-E72D297353CC}">
              <c16:uniqueId val="{00000003-A4F7-44A1-B1A2-C52AA2F7FDF7}"/>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505"/>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2116601603928774"/>
          <c:y val="0.10317362250556865"/>
          <c:w val="0.16812988760698824"/>
          <c:h val="0.8784552629407936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52931db4bd64668e2505f73acdc4022e">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a8e471d66ca099da8ce483a53755ad09"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23F16-167A-439C-A492-C327AAAB366B}">
  <ds:schemaRefs>
    <ds:schemaRef ds:uri="http://schemas.microsoft.com/office/2006/documentManagement/types"/>
    <ds:schemaRef ds:uri="http://www.w3.org/XML/1998/namespace"/>
    <ds:schemaRef ds:uri="1c7d3551-5694-4f12-b35a-d9a7a462ea4b"/>
    <ds:schemaRef ds:uri="http://purl.org/dc/terms/"/>
    <ds:schemaRef ds:uri="http://purl.org/dc/dcmitype/"/>
    <ds:schemaRef ds:uri="a7f565ec-e60e-44e7-9b81-f866c66cefc4"/>
    <ds:schemaRef ds:uri="http://schemas.microsoft.com/office/2006/metadata/properties"/>
    <ds:schemaRef ds:uri="http://schemas.microsoft.com/office/infopath/2007/PartnerControls"/>
    <ds:schemaRef ds:uri="http://schemas.openxmlformats.org/package/2006/metadata/core-properties"/>
    <ds:schemaRef ds:uri="fb9733ba-e3b0-45a6-a2ff-dbb775586540"/>
    <ds:schemaRef ds:uri="http://purl.org/dc/elements/1.1/"/>
  </ds:schemaRefs>
</ds:datastoreItem>
</file>

<file path=customXml/itemProps2.xml><?xml version="1.0" encoding="utf-8"?>
<ds:datastoreItem xmlns:ds="http://schemas.openxmlformats.org/officeDocument/2006/customXml" ds:itemID="{DDDF2B4D-FAAB-4AEE-8755-4F20B807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a7f565ec-e60e-44e7-9b81-f866c66cefc4"/>
    <ds:schemaRef ds:uri="fb9733ba-e3b0-45a6-a2ff-dbb775586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2E7F9-4D9A-4942-95FD-F9B57CD5B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7892</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52772</CharactersWithSpaces>
  <SharedDoc>false</SharedDoc>
  <HLinks>
    <vt:vector size="576" baseType="variant">
      <vt:variant>
        <vt:i4>4915215</vt:i4>
      </vt:variant>
      <vt:variant>
        <vt:i4>285</vt:i4>
      </vt:variant>
      <vt:variant>
        <vt:i4>0</vt:i4>
      </vt:variant>
      <vt:variant>
        <vt:i4>5</vt:i4>
      </vt:variant>
      <vt:variant>
        <vt:lpwstr>https://psnc.org.uk/wp-content/uploads/2020/11/Appendix1-for-PSNC-Briefing-040.20.pdf</vt:lpwstr>
      </vt:variant>
      <vt:variant>
        <vt:lpwstr/>
      </vt:variant>
      <vt:variant>
        <vt:i4>983105</vt:i4>
      </vt:variant>
      <vt:variant>
        <vt:i4>282</vt:i4>
      </vt:variant>
      <vt:variant>
        <vt:i4>0</vt:i4>
      </vt:variant>
      <vt:variant>
        <vt:i4>5</vt:i4>
      </vt:variant>
      <vt:variant>
        <vt:lpwstr>https://psnc.org.uk/wp-content/uploads/2021/01/Dispensing-Factsheet-Is-this-item-allowed.pdf</vt:lpwstr>
      </vt:variant>
      <vt:variant>
        <vt:lpwstr/>
      </vt:variant>
      <vt:variant>
        <vt:i4>4194332</vt:i4>
      </vt:variant>
      <vt:variant>
        <vt:i4>279</vt:i4>
      </vt:variant>
      <vt:variant>
        <vt:i4>0</vt:i4>
      </vt:variant>
      <vt:variant>
        <vt:i4>5</vt:i4>
      </vt:variant>
      <vt:variant>
        <vt:lpwstr>https://psnc.org.uk/wp-content/uploads/2021/02/Dispensing-Factsheet-Disallowed-items.pdf</vt:lpwstr>
      </vt:variant>
      <vt:variant>
        <vt:lpwstr/>
      </vt:variant>
      <vt:variant>
        <vt:i4>4653128</vt:i4>
      </vt:variant>
      <vt:variant>
        <vt:i4>276</vt:i4>
      </vt:variant>
      <vt:variant>
        <vt:i4>0</vt:i4>
      </vt:variant>
      <vt:variant>
        <vt:i4>5</vt:i4>
      </vt:variant>
      <vt:variant>
        <vt:lpwstr>https://psnc.org.uk/wp-content/uploads/2021/03/CPN_0221_Dispensing-Factsheet-Dispensing-prescriptions-for-Controlled-Drugs.pdf</vt:lpwstr>
      </vt:variant>
      <vt:variant>
        <vt:lpwstr/>
      </vt:variant>
      <vt:variant>
        <vt:i4>5701726</vt:i4>
      </vt:variant>
      <vt:variant>
        <vt:i4>273</vt:i4>
      </vt:variant>
      <vt:variant>
        <vt:i4>0</vt:i4>
      </vt:variant>
      <vt:variant>
        <vt:i4>5</vt:i4>
      </vt:variant>
      <vt:variant>
        <vt:lpwstr>https://psnc.org.uk/wp-content/uploads/2021/05/Expensive-items-factsheet.pdf</vt:lpwstr>
      </vt:variant>
      <vt:variant>
        <vt:lpwstr/>
      </vt:variant>
      <vt:variant>
        <vt:i4>1441808</vt:i4>
      </vt:variant>
      <vt:variant>
        <vt:i4>270</vt:i4>
      </vt:variant>
      <vt:variant>
        <vt:i4>0</vt:i4>
      </vt:variant>
      <vt:variant>
        <vt:i4>5</vt:i4>
      </vt:variant>
      <vt:variant>
        <vt:lpwstr>https://psnc.org.uk/wp-content/uploads/2021/03/Dispensing-Factsheet-How-to-access-your-Prescription-Item-Reports.pdf</vt:lpwstr>
      </vt:variant>
      <vt:variant>
        <vt:lpwstr/>
      </vt:variant>
      <vt:variant>
        <vt:i4>6488160</vt:i4>
      </vt:variant>
      <vt:variant>
        <vt:i4>267</vt:i4>
      </vt:variant>
      <vt:variant>
        <vt:i4>0</vt:i4>
      </vt:variant>
      <vt:variant>
        <vt:i4>5</vt:i4>
      </vt:variant>
      <vt:variant>
        <vt:lpwstr>https://psnc.org.uk/wp-content/uploads/2021/05/Dispensing-Factsheet-Multi-charge-Items.pdf</vt:lpwstr>
      </vt:variant>
      <vt:variant>
        <vt:lpwstr/>
      </vt:variant>
      <vt:variant>
        <vt:i4>2097269</vt:i4>
      </vt:variant>
      <vt:variant>
        <vt:i4>264</vt:i4>
      </vt:variant>
      <vt:variant>
        <vt:i4>0</vt:i4>
      </vt:variant>
      <vt:variant>
        <vt:i4>5</vt:i4>
      </vt:variant>
      <vt:variant>
        <vt:lpwstr>https://psnc.org.uk/wp-content/uploads/2021/06/Factsheet-Understanding-Prescription-Returns.pdf</vt:lpwstr>
      </vt:variant>
      <vt:variant>
        <vt:lpwstr/>
      </vt:variant>
      <vt:variant>
        <vt:i4>7864426</vt:i4>
      </vt:variant>
      <vt:variant>
        <vt:i4>261</vt:i4>
      </vt:variant>
      <vt:variant>
        <vt:i4>0</vt:i4>
      </vt:variant>
      <vt:variant>
        <vt:i4>5</vt:i4>
      </vt:variant>
      <vt:variant>
        <vt:lpwstr>https://psnc.us7.list-manage.com/track/click?u=86d41ab7fa4c7c2c5d7210782&amp;id=0df9047a7e&amp;e=a14d94e535</vt:lpwstr>
      </vt:variant>
      <vt:variant>
        <vt:lpwstr/>
      </vt:variant>
      <vt:variant>
        <vt:i4>4390917</vt:i4>
      </vt:variant>
      <vt:variant>
        <vt:i4>258</vt:i4>
      </vt:variant>
      <vt:variant>
        <vt:i4>0</vt:i4>
      </vt:variant>
      <vt:variant>
        <vt:i4>5</vt:i4>
      </vt:variant>
      <vt:variant>
        <vt:lpwstr>https://psnc.org.uk/wp-content/uploads/2021/10/Prescription-submission-factsheet-2021.pdf</vt:lpwstr>
      </vt:variant>
      <vt:variant>
        <vt:lpwstr/>
      </vt:variant>
      <vt:variant>
        <vt:i4>393246</vt:i4>
      </vt:variant>
      <vt:variant>
        <vt:i4>255</vt:i4>
      </vt:variant>
      <vt:variant>
        <vt:i4>0</vt:i4>
      </vt:variant>
      <vt:variant>
        <vt:i4>5</vt:i4>
      </vt:variant>
      <vt:variant>
        <vt:lpwstr>https://psnc.org.uk/wp-content/uploads/2021/10/FP34C-Submission-factsheet.pdf</vt:lpwstr>
      </vt:variant>
      <vt:variant>
        <vt:lpwstr/>
      </vt:variant>
      <vt:variant>
        <vt:i4>1441865</vt:i4>
      </vt:variant>
      <vt:variant>
        <vt:i4>252</vt:i4>
      </vt:variant>
      <vt:variant>
        <vt:i4>0</vt:i4>
      </vt:variant>
      <vt:variant>
        <vt:i4>5</vt:i4>
      </vt:variant>
      <vt:variant>
        <vt:lpwstr>https://psnc.org.uk/wp-content/uploads/2021/05/Red-Sep-factsheet-2021.pdf</vt:lpwstr>
      </vt:variant>
      <vt:variant>
        <vt:lpwstr/>
      </vt:variant>
      <vt:variant>
        <vt:i4>3473466</vt:i4>
      </vt:variant>
      <vt:variant>
        <vt:i4>249</vt:i4>
      </vt:variant>
      <vt:variant>
        <vt:i4>0</vt:i4>
      </vt:variant>
      <vt:variant>
        <vt:i4>5</vt:i4>
      </vt:variant>
      <vt:variant>
        <vt:lpwstr>https://psnc.org.uk/wp-content/uploads/2021/10/PSNC-webinar-DT-changes-website.pdf</vt:lpwstr>
      </vt:variant>
      <vt:variant>
        <vt:lpwstr/>
      </vt:variant>
      <vt:variant>
        <vt:i4>2687098</vt:i4>
      </vt:variant>
      <vt:variant>
        <vt:i4>246</vt:i4>
      </vt:variant>
      <vt:variant>
        <vt:i4>0</vt:i4>
      </vt:variant>
      <vt:variant>
        <vt:i4>5</vt:i4>
      </vt:variant>
      <vt:variant>
        <vt:lpwstr>https://view6.workcast.net/ControlUsher.aspx?cpak=2134336673423985&amp;pak=2691972174246794</vt:lpwstr>
      </vt:variant>
      <vt:variant>
        <vt:lpwstr/>
      </vt:variant>
      <vt:variant>
        <vt:i4>2293879</vt:i4>
      </vt:variant>
      <vt:variant>
        <vt:i4>243</vt:i4>
      </vt:variant>
      <vt:variant>
        <vt:i4>0</vt:i4>
      </vt:variant>
      <vt:variant>
        <vt:i4>5</vt:i4>
      </vt:variant>
      <vt:variant>
        <vt:lpwstr>https://psnc.org.uk/our-news/medicine-supply-notification-xylocaine-1-and-2-lidocaine-with-adrenaline-100micrograms-20ml-1200000-solution-for-injection-vials/</vt:lpwstr>
      </vt:variant>
      <vt:variant>
        <vt:lpwstr/>
      </vt:variant>
      <vt:variant>
        <vt:i4>2031711</vt:i4>
      </vt:variant>
      <vt:variant>
        <vt:i4>240</vt:i4>
      </vt:variant>
      <vt:variant>
        <vt:i4>0</vt:i4>
      </vt:variant>
      <vt:variant>
        <vt:i4>5</vt:i4>
      </vt:variant>
      <vt:variant>
        <vt:lpwstr>https://psnc.org.uk/our-news/medicine-supply-notification-clexane-enoxaparin-pre-filled-syringes/</vt:lpwstr>
      </vt:variant>
      <vt:variant>
        <vt:lpwstr/>
      </vt:variant>
      <vt:variant>
        <vt:i4>4128881</vt:i4>
      </vt:variant>
      <vt:variant>
        <vt:i4>237</vt:i4>
      </vt:variant>
      <vt:variant>
        <vt:i4>0</vt:i4>
      </vt:variant>
      <vt:variant>
        <vt:i4>5</vt:i4>
      </vt:variant>
      <vt:variant>
        <vt:lpwstr>https://psnc.org.uk/our-news/medicine-supply-notification-desmopressin-octim-150mcg-per-actuation-nasal-spray-ferring-pharmaceuticals/</vt:lpwstr>
      </vt:variant>
      <vt:variant>
        <vt:lpwstr/>
      </vt:variant>
      <vt:variant>
        <vt:i4>393216</vt:i4>
      </vt:variant>
      <vt:variant>
        <vt:i4>234</vt:i4>
      </vt:variant>
      <vt:variant>
        <vt:i4>0</vt:i4>
      </vt:variant>
      <vt:variant>
        <vt:i4>5</vt:i4>
      </vt:variant>
      <vt:variant>
        <vt:lpwstr>https://psnc.org.uk/our-news/medicine-supply-notification-ddavp-desmopressin-0-01-w-v-100-micrograms-ml-intranasal-solution/</vt:lpwstr>
      </vt:variant>
      <vt:variant>
        <vt:lpwstr/>
      </vt:variant>
      <vt:variant>
        <vt:i4>5242971</vt:i4>
      </vt:variant>
      <vt:variant>
        <vt:i4>231</vt:i4>
      </vt:variant>
      <vt:variant>
        <vt:i4>0</vt:i4>
      </vt:variant>
      <vt:variant>
        <vt:i4>5</vt:i4>
      </vt:variant>
      <vt:variant>
        <vt:lpwstr>https://psnc.org.uk/our-news/medicine-supply-notification-acebutolol-sectral-100mg-capsules/</vt:lpwstr>
      </vt:variant>
      <vt:variant>
        <vt:lpwstr/>
      </vt:variant>
      <vt:variant>
        <vt:i4>327753</vt:i4>
      </vt:variant>
      <vt:variant>
        <vt:i4>228</vt:i4>
      </vt:variant>
      <vt:variant>
        <vt:i4>0</vt:i4>
      </vt:variant>
      <vt:variant>
        <vt:i4>5</vt:i4>
      </vt:variant>
      <vt:variant>
        <vt:lpwstr>https://psnc.org.uk/our-news/supply-disruption-affecting-champix-varenicline-tablets-pfizer/</vt:lpwstr>
      </vt:variant>
      <vt:variant>
        <vt:lpwstr/>
      </vt:variant>
      <vt:variant>
        <vt:i4>393216</vt:i4>
      </vt:variant>
      <vt:variant>
        <vt:i4>225</vt:i4>
      </vt:variant>
      <vt:variant>
        <vt:i4>0</vt:i4>
      </vt:variant>
      <vt:variant>
        <vt:i4>5</vt:i4>
      </vt:variant>
      <vt:variant>
        <vt:lpwstr>https://psnc.org.uk/our-news/medicine-supply-notification-ddavp-desmopressin-0-01-w-v-100-micrograms-ml-intranasal-solution/</vt:lpwstr>
      </vt:variant>
      <vt:variant>
        <vt:lpwstr/>
      </vt:variant>
      <vt:variant>
        <vt:i4>4522050</vt:i4>
      </vt:variant>
      <vt:variant>
        <vt:i4>222</vt:i4>
      </vt:variant>
      <vt:variant>
        <vt:i4>0</vt:i4>
      </vt:variant>
      <vt:variant>
        <vt:i4>5</vt:i4>
      </vt:variant>
      <vt:variant>
        <vt:lpwstr>https://psnc.org.uk/our-news/medicine-supply-notification-latanoprost-50microgram-ml-timolol-5mg-ml-fixapost-0-2ml-unit-dose-preservative-free-eye-drops/</vt:lpwstr>
      </vt:variant>
      <vt:variant>
        <vt:lpwstr/>
      </vt:variant>
      <vt:variant>
        <vt:i4>196635</vt:i4>
      </vt:variant>
      <vt:variant>
        <vt:i4>219</vt:i4>
      </vt:variant>
      <vt:variant>
        <vt:i4>0</vt:i4>
      </vt:variant>
      <vt:variant>
        <vt:i4>5</vt:i4>
      </vt:variant>
      <vt:variant>
        <vt:lpwstr>https://psnc.org.uk/our-news/medicine-supply-notification-gentisone-hc-gentamicin-0-3-w-v-and-hydrocortisone-acetate-1-w-v-ear-drops/</vt:lpwstr>
      </vt:variant>
      <vt:variant>
        <vt:lpwstr/>
      </vt:variant>
      <vt:variant>
        <vt:i4>4128881</vt:i4>
      </vt:variant>
      <vt:variant>
        <vt:i4>216</vt:i4>
      </vt:variant>
      <vt:variant>
        <vt:i4>0</vt:i4>
      </vt:variant>
      <vt:variant>
        <vt:i4>5</vt:i4>
      </vt:variant>
      <vt:variant>
        <vt:lpwstr>https://psnc.org.uk/our-news/medicine-supply-notification-desmopressin-octim-150mcg-per-actuation-nasal-spray-ferring-pharmaceuticals/</vt:lpwstr>
      </vt:variant>
      <vt:variant>
        <vt:lpwstr/>
      </vt:variant>
      <vt:variant>
        <vt:i4>196700</vt:i4>
      </vt:variant>
      <vt:variant>
        <vt:i4>213</vt:i4>
      </vt:variant>
      <vt:variant>
        <vt:i4>0</vt:i4>
      </vt:variant>
      <vt:variant>
        <vt:i4>5</vt:i4>
      </vt:variant>
      <vt:variant>
        <vt:lpwstr>https://psnc.org.uk/our-news/medicine-supply-notification-nalcrom-sodium-cromoglicate-100mg-capsules-updated/</vt:lpwstr>
      </vt:variant>
      <vt:variant>
        <vt:lpwstr/>
      </vt:variant>
      <vt:variant>
        <vt:i4>7208994</vt:i4>
      </vt:variant>
      <vt:variant>
        <vt:i4>210</vt:i4>
      </vt:variant>
      <vt:variant>
        <vt:i4>0</vt:i4>
      </vt:variant>
      <vt:variant>
        <vt:i4>5</vt:i4>
      </vt:variant>
      <vt:variant>
        <vt:lpwstr>https://psnc.org.uk/our-news/medicine-supply-notification-mesalazine-asacol-800mg-mr-gastro-resistant-tablets/</vt:lpwstr>
      </vt:variant>
      <vt:variant>
        <vt:lpwstr/>
      </vt:variant>
      <vt:variant>
        <vt:i4>7209059</vt:i4>
      </vt:variant>
      <vt:variant>
        <vt:i4>207</vt:i4>
      </vt:variant>
      <vt:variant>
        <vt:i4>0</vt:i4>
      </vt:variant>
      <vt:variant>
        <vt:i4>5</vt:i4>
      </vt:variant>
      <vt:variant>
        <vt:lpwstr>https://psnc.org.uk/our-news/medicine-supply-notification-catapres-clonidine-100microgram-tablets/</vt:lpwstr>
      </vt:variant>
      <vt:variant>
        <vt:lpwstr/>
      </vt:variant>
      <vt:variant>
        <vt:i4>2424937</vt:i4>
      </vt:variant>
      <vt:variant>
        <vt:i4>204</vt:i4>
      </vt:variant>
      <vt:variant>
        <vt:i4>0</vt:i4>
      </vt:variant>
      <vt:variant>
        <vt:i4>5</vt:i4>
      </vt:variant>
      <vt:variant>
        <vt:lpwstr>https://psnc.org.uk/our-news/medicine-supply-notification-metronidazole-acea-0-75-gel/</vt:lpwstr>
      </vt:variant>
      <vt:variant>
        <vt:lpwstr/>
      </vt:variant>
      <vt:variant>
        <vt:i4>5308503</vt:i4>
      </vt:variant>
      <vt:variant>
        <vt:i4>201</vt:i4>
      </vt:variant>
      <vt:variant>
        <vt:i4>0</vt:i4>
      </vt:variant>
      <vt:variant>
        <vt:i4>5</vt:i4>
      </vt:variant>
      <vt:variant>
        <vt:lpwstr>https://psnc.org.uk/our-news/medicine-supply-notification-metformin-500mg-5ml-oral-solution/</vt:lpwstr>
      </vt:variant>
      <vt:variant>
        <vt:lpwstr/>
      </vt:variant>
      <vt:variant>
        <vt:i4>1376263</vt:i4>
      </vt:variant>
      <vt:variant>
        <vt:i4>198</vt:i4>
      </vt:variant>
      <vt:variant>
        <vt:i4>0</vt:i4>
      </vt:variant>
      <vt:variant>
        <vt:i4>5</vt:i4>
      </vt:variant>
      <vt:variant>
        <vt:lpwstr>https://psnc.org.uk/our-news/supply-disruption-alert-glipizide-minodiab-5mg-tablets/</vt:lpwstr>
      </vt:variant>
      <vt:variant>
        <vt:lpwstr/>
      </vt:variant>
      <vt:variant>
        <vt:i4>3014758</vt:i4>
      </vt:variant>
      <vt:variant>
        <vt:i4>195</vt:i4>
      </vt:variant>
      <vt:variant>
        <vt:i4>0</vt:i4>
      </vt:variant>
      <vt:variant>
        <vt:i4>5</vt:i4>
      </vt:variant>
      <vt:variant>
        <vt:lpwstr>https://psnc.org.uk/our-news/medicine-supply-notification-dalacin-clindamycin-2-vaginal-cream/</vt:lpwstr>
      </vt:variant>
      <vt:variant>
        <vt:lpwstr/>
      </vt:variant>
      <vt:variant>
        <vt:i4>16318582</vt:i4>
      </vt:variant>
      <vt:variant>
        <vt:i4>192</vt:i4>
      </vt:variant>
      <vt:variant>
        <vt:i4>0</vt:i4>
      </vt:variant>
      <vt:variant>
        <vt:i4>5</vt:i4>
      </vt:variant>
      <vt:variant>
        <vt:lpwstr>Xylocaine® 1%25 (lidocaine) with adrenaline 100micrograms/20ml (1:200,000) solution for injection vials</vt:lpwstr>
      </vt:variant>
      <vt:variant>
        <vt:lpwstr/>
      </vt:variant>
      <vt:variant>
        <vt:i4>3145768</vt:i4>
      </vt:variant>
      <vt:variant>
        <vt:i4>189</vt:i4>
      </vt:variant>
      <vt:variant>
        <vt:i4>0</vt:i4>
      </vt:variant>
      <vt:variant>
        <vt:i4>5</vt:i4>
      </vt:variant>
      <vt:variant>
        <vt:lpwstr>https://psnc.org.uk/our-news/medicine-supply-notification-nalcrom-sodium-cromoglicate-100mg-capsules-2/</vt:lpwstr>
      </vt:variant>
      <vt:variant>
        <vt:lpwstr/>
      </vt:variant>
      <vt:variant>
        <vt:i4>2621558</vt:i4>
      </vt:variant>
      <vt:variant>
        <vt:i4>186</vt:i4>
      </vt:variant>
      <vt:variant>
        <vt:i4>0</vt:i4>
      </vt:variant>
      <vt:variant>
        <vt:i4>5</vt:i4>
      </vt:variant>
      <vt:variant>
        <vt:lpwstr>https://psnc.org.uk/our-news/medicine-supply-notification-chloral-hydrate-143-3mg-in-5ml-oral-solution/</vt:lpwstr>
      </vt:variant>
      <vt:variant>
        <vt:lpwstr/>
      </vt:variant>
      <vt:variant>
        <vt:i4>7929962</vt:i4>
      </vt:variant>
      <vt:variant>
        <vt:i4>183</vt:i4>
      </vt:variant>
      <vt:variant>
        <vt:i4>0</vt:i4>
      </vt:variant>
      <vt:variant>
        <vt:i4>5</vt:i4>
      </vt:variant>
      <vt:variant>
        <vt:lpwstr>https://psnc.org.uk/dispensing-supply/dispensing-a-prescription/special-containers/special-containers-notice-of-change-to-product-special-container-status/</vt:lpwstr>
      </vt:variant>
      <vt:variant>
        <vt:lpwstr/>
      </vt:variant>
      <vt:variant>
        <vt:i4>6815786</vt:i4>
      </vt:variant>
      <vt:variant>
        <vt:i4>180</vt:i4>
      </vt:variant>
      <vt:variant>
        <vt:i4>0</vt:i4>
      </vt:variant>
      <vt:variant>
        <vt:i4>5</vt:i4>
      </vt:variant>
      <vt:variant>
        <vt:lpwstr>https://psnc.org.uk/dispensing-supply/endorsement/discount-deduction/notice-of-changes-to-discount-not-deducted-dnd-status-of-products/</vt:lpwstr>
      </vt:variant>
      <vt:variant>
        <vt:lpwstr/>
      </vt:variant>
      <vt:variant>
        <vt:i4>2162798</vt:i4>
      </vt:variant>
      <vt:variant>
        <vt:i4>177</vt:i4>
      </vt:variant>
      <vt:variant>
        <vt:i4>0</vt:i4>
      </vt:variant>
      <vt:variant>
        <vt:i4>5</vt:i4>
      </vt:variant>
      <vt:variant>
        <vt:lpwstr>https://www.nhsbsa.nhs.uk/pharmacies-gp-practices-and-appliance-contractors/dispensing-contractors-information/pharmaceutical/dispensing-contractors-information-0</vt:lpwstr>
      </vt:variant>
      <vt:variant>
        <vt:lpwstr/>
      </vt:variant>
      <vt:variant>
        <vt:i4>1048668</vt:i4>
      </vt:variant>
      <vt:variant>
        <vt:i4>174</vt:i4>
      </vt:variant>
      <vt:variant>
        <vt:i4>0</vt:i4>
      </vt:variant>
      <vt:variant>
        <vt:i4>5</vt:i4>
      </vt:variant>
      <vt:variant>
        <vt:lpwstr>https://psnc.org.uk/dispensing-supply/payment-accuracy/monthly-payments/the-pharmacy-earlier-payment-scheme-peps/</vt:lpwstr>
      </vt:variant>
      <vt:variant>
        <vt:lpwstr/>
      </vt:variant>
      <vt:variant>
        <vt:i4>458769</vt:i4>
      </vt:variant>
      <vt:variant>
        <vt:i4>171</vt:i4>
      </vt:variant>
      <vt:variant>
        <vt:i4>0</vt:i4>
      </vt:variant>
      <vt:variant>
        <vt:i4>5</vt:i4>
      </vt:variant>
      <vt:variant>
        <vt:lpwstr>https://psnc.org.uk/services-commissioning/advanced-services/sac/</vt:lpwstr>
      </vt:variant>
      <vt:variant>
        <vt:lpwstr/>
      </vt:variant>
      <vt:variant>
        <vt:i4>7077944</vt:i4>
      </vt:variant>
      <vt:variant>
        <vt:i4>168</vt:i4>
      </vt:variant>
      <vt:variant>
        <vt:i4>0</vt:i4>
      </vt:variant>
      <vt:variant>
        <vt:i4>5</vt:i4>
      </vt:variant>
      <vt:variant>
        <vt:lpwstr>https://psnc.org.uk/services-commissioning/advanced-services/hep-c/</vt:lpwstr>
      </vt:variant>
      <vt:variant>
        <vt:lpwstr/>
      </vt:variant>
      <vt:variant>
        <vt:i4>2555966</vt:i4>
      </vt:variant>
      <vt:variant>
        <vt:i4>165</vt:i4>
      </vt:variant>
      <vt:variant>
        <vt:i4>0</vt:i4>
      </vt:variant>
      <vt:variant>
        <vt:i4>5</vt:i4>
      </vt:variant>
      <vt:variant>
        <vt:lpwstr>https://psnc.org.uk/the-healthcare-landscape/covid19/covid-19-vaccinations/</vt:lpwstr>
      </vt:variant>
      <vt:variant>
        <vt:lpwstr/>
      </vt:variant>
      <vt:variant>
        <vt:i4>2687087</vt:i4>
      </vt:variant>
      <vt:variant>
        <vt:i4>162</vt:i4>
      </vt:variant>
      <vt:variant>
        <vt:i4>0</vt:i4>
      </vt:variant>
      <vt:variant>
        <vt:i4>5</vt:i4>
      </vt:variant>
      <vt:variant>
        <vt:lpwstr>https://psnc.org.uk/services-commissioning/essential-services/discharge-medicines-service/</vt:lpwstr>
      </vt:variant>
      <vt:variant>
        <vt:lpwstr/>
      </vt:variant>
      <vt:variant>
        <vt:i4>655389</vt:i4>
      </vt:variant>
      <vt:variant>
        <vt:i4>159</vt:i4>
      </vt:variant>
      <vt:variant>
        <vt:i4>0</vt:i4>
      </vt:variant>
      <vt:variant>
        <vt:i4>5</vt:i4>
      </vt:variant>
      <vt:variant>
        <vt:lpwstr>https://psnc.org.uk/services-commissioning/advanced-services/nms/</vt:lpwstr>
      </vt:variant>
      <vt:variant>
        <vt:lpwstr/>
      </vt:variant>
      <vt:variant>
        <vt:i4>2818166</vt:i4>
      </vt:variant>
      <vt:variant>
        <vt:i4>156</vt:i4>
      </vt:variant>
      <vt:variant>
        <vt:i4>0</vt:i4>
      </vt:variant>
      <vt:variant>
        <vt:i4>5</vt:i4>
      </vt:variant>
      <vt:variant>
        <vt:lpwstr>https://psnc.org.uk/services-commissioning/advanced-services/aurs/</vt:lpwstr>
      </vt:variant>
      <vt:variant>
        <vt:lpwstr/>
      </vt:variant>
      <vt:variant>
        <vt:i4>2490473</vt:i4>
      </vt:variant>
      <vt:variant>
        <vt:i4>153</vt:i4>
      </vt:variant>
      <vt:variant>
        <vt:i4>0</vt:i4>
      </vt:variant>
      <vt:variant>
        <vt:i4>5</vt:i4>
      </vt:variant>
      <vt:variant>
        <vt:lpwstr>https://psnc.org.uk/services-commissioning/advanced-services/community-pharmacist-consultation-service/</vt:lpwstr>
      </vt:variant>
      <vt:variant>
        <vt:lpwstr/>
      </vt:variant>
      <vt:variant>
        <vt:i4>7077996</vt:i4>
      </vt:variant>
      <vt:variant>
        <vt:i4>150</vt:i4>
      </vt:variant>
      <vt:variant>
        <vt:i4>0</vt:i4>
      </vt:variant>
      <vt:variant>
        <vt:i4>5</vt:i4>
      </vt:variant>
      <vt:variant>
        <vt:lpwstr>https://psnc.org.uk/the-healthcare-landscape/covid19/pandemic-delivery-service/</vt:lpwstr>
      </vt:variant>
      <vt:variant>
        <vt:lpwstr/>
      </vt:variant>
      <vt:variant>
        <vt:i4>1245211</vt:i4>
      </vt:variant>
      <vt:variant>
        <vt:i4>147</vt:i4>
      </vt:variant>
      <vt:variant>
        <vt:i4>0</vt:i4>
      </vt:variant>
      <vt:variant>
        <vt:i4>5</vt:i4>
      </vt:variant>
      <vt:variant>
        <vt:lpwstr>https://psnc.org.uk/services-commissioning/advanced-services/flu-vaccination-service/</vt:lpwstr>
      </vt:variant>
      <vt:variant>
        <vt:lpwstr/>
      </vt:variant>
      <vt:variant>
        <vt:i4>2490482</vt:i4>
      </vt:variant>
      <vt:variant>
        <vt:i4>144</vt:i4>
      </vt:variant>
      <vt:variant>
        <vt:i4>0</vt:i4>
      </vt:variant>
      <vt:variant>
        <vt:i4>5</vt:i4>
      </vt:variant>
      <vt:variant>
        <vt:lpwstr>https://psnc.org.uk/services-commissioning/advanced-services/hypertension-case-finding-service/</vt:lpwstr>
      </vt:variant>
      <vt:variant>
        <vt:lpwstr/>
      </vt:variant>
      <vt:variant>
        <vt:i4>7077998</vt:i4>
      </vt:variant>
      <vt:variant>
        <vt:i4>141</vt:i4>
      </vt:variant>
      <vt:variant>
        <vt:i4>0</vt:i4>
      </vt:variant>
      <vt:variant>
        <vt:i4>5</vt:i4>
      </vt:variant>
      <vt:variant>
        <vt:lpwstr>https://psnc.org.uk/services-commissioning/advanced-services/c-19-lateral-flow-device-distribution-service/</vt:lpwstr>
      </vt:variant>
      <vt:variant>
        <vt:lpwstr/>
      </vt:variant>
      <vt:variant>
        <vt:i4>3407908</vt:i4>
      </vt:variant>
      <vt:variant>
        <vt:i4>138</vt:i4>
      </vt:variant>
      <vt:variant>
        <vt:i4>0</vt:i4>
      </vt:variant>
      <vt:variant>
        <vt:i4>5</vt:i4>
      </vt:variant>
      <vt:variant>
        <vt:lpwstr>https://psnc.org.uk/services-commissioning/pharmacy-quality-scheme/</vt:lpwstr>
      </vt:variant>
      <vt:variant>
        <vt:lpwstr/>
      </vt:variant>
      <vt:variant>
        <vt:i4>3080255</vt:i4>
      </vt:variant>
      <vt:variant>
        <vt:i4>135</vt:i4>
      </vt:variant>
      <vt:variant>
        <vt:i4>0</vt:i4>
      </vt:variant>
      <vt:variant>
        <vt:i4>5</vt:i4>
      </vt:variant>
      <vt:variant>
        <vt:lpwstr>https://psnc.org.uk/dispensing-supply/payment-accuracy/monthly-payments/payment-timetable-and-deadline-tracker/</vt:lpwstr>
      </vt:variant>
      <vt:variant>
        <vt:lpwstr/>
      </vt:variant>
      <vt:variant>
        <vt:i4>5046298</vt:i4>
      </vt:variant>
      <vt:variant>
        <vt:i4>132</vt:i4>
      </vt:variant>
      <vt:variant>
        <vt:i4>0</vt:i4>
      </vt:variant>
      <vt:variant>
        <vt:i4>5</vt:i4>
      </vt:variant>
      <vt:variant>
        <vt:lpwstr>https://psnc.org.uk/dispensing-supply/supply-chain/live-ssps/</vt:lpwstr>
      </vt:variant>
      <vt:variant>
        <vt:lpwstr/>
      </vt:variant>
      <vt:variant>
        <vt:i4>6094922</vt:i4>
      </vt:variant>
      <vt:variant>
        <vt:i4>129</vt:i4>
      </vt:variant>
      <vt:variant>
        <vt:i4>0</vt:i4>
      </vt:variant>
      <vt:variant>
        <vt:i4>5</vt:i4>
      </vt:variant>
      <vt:variant>
        <vt:lpwstr>https://www.nhsbsa.nhs.uk/sites/default/files/2020-03/SSP Fluoxetine 10mg tablets final - signed.pdf</vt:lpwstr>
      </vt:variant>
      <vt:variant>
        <vt:lpwstr/>
      </vt:variant>
      <vt:variant>
        <vt:i4>7929953</vt:i4>
      </vt:variant>
      <vt:variant>
        <vt:i4>126</vt:i4>
      </vt:variant>
      <vt:variant>
        <vt:i4>0</vt:i4>
      </vt:variant>
      <vt:variant>
        <vt:i4>5</vt:i4>
      </vt:variant>
      <vt:variant>
        <vt:lpwstr>https://www.nhsbsa.nhs.uk/pharmacies-gp-practices-and-appliance-contractors/serious-shortage-protocols-ssps</vt:lpwstr>
      </vt:variant>
      <vt:variant>
        <vt:lpwstr/>
      </vt:variant>
      <vt:variant>
        <vt:i4>196622</vt:i4>
      </vt:variant>
      <vt:variant>
        <vt:i4>123</vt:i4>
      </vt:variant>
      <vt:variant>
        <vt:i4>0</vt:i4>
      </vt:variant>
      <vt:variant>
        <vt:i4>5</vt:i4>
      </vt:variant>
      <vt:variant>
        <vt:lpwstr>https://psnc.org.uk/wp-content/uploads/2021/11/PSNC-Briefing-048.21-Serious-Shortage-Protocols-SSPs-SSP013-Atorvastatin-20mg-chewable-tablets.pdf</vt:lpwstr>
      </vt:variant>
      <vt:variant>
        <vt:lpwstr/>
      </vt:variant>
      <vt:variant>
        <vt:i4>7929953</vt:i4>
      </vt:variant>
      <vt:variant>
        <vt:i4>120</vt:i4>
      </vt:variant>
      <vt:variant>
        <vt:i4>0</vt:i4>
      </vt:variant>
      <vt:variant>
        <vt:i4>5</vt:i4>
      </vt:variant>
      <vt:variant>
        <vt:lpwstr>https://www.nhsbsa.nhs.uk/pharmacies-gp-practices-and-appliance-contractors/serious-shortage-protocols-ssps</vt:lpwstr>
      </vt:variant>
      <vt:variant>
        <vt:lpwstr/>
      </vt:variant>
      <vt:variant>
        <vt:i4>7929953</vt:i4>
      </vt:variant>
      <vt:variant>
        <vt:i4>117</vt:i4>
      </vt:variant>
      <vt:variant>
        <vt:i4>0</vt:i4>
      </vt:variant>
      <vt:variant>
        <vt:i4>5</vt:i4>
      </vt:variant>
      <vt:variant>
        <vt:lpwstr>https://www.nhsbsa.nhs.uk/pharmacies-gp-practices-and-appliance-contractors/serious-shortage-protocols-ssps</vt:lpwstr>
      </vt:variant>
      <vt:variant>
        <vt:lpwstr/>
      </vt:variant>
      <vt:variant>
        <vt:i4>196622</vt:i4>
      </vt:variant>
      <vt:variant>
        <vt:i4>114</vt:i4>
      </vt:variant>
      <vt:variant>
        <vt:i4>0</vt:i4>
      </vt:variant>
      <vt:variant>
        <vt:i4>5</vt:i4>
      </vt:variant>
      <vt:variant>
        <vt:lpwstr>https://psnc.org.uk/wp-content/uploads/2021/11/PSNC-Briefing-048.21-Serious-Shortage-Protocols-SSPs-SSP013-Atorvastatin-20mg-chewable-tablets.pdf</vt:lpwstr>
      </vt:variant>
      <vt:variant>
        <vt:lpwstr/>
      </vt:variant>
      <vt:variant>
        <vt:i4>7929953</vt:i4>
      </vt:variant>
      <vt:variant>
        <vt:i4>111</vt:i4>
      </vt:variant>
      <vt:variant>
        <vt:i4>0</vt:i4>
      </vt:variant>
      <vt:variant>
        <vt:i4>5</vt:i4>
      </vt:variant>
      <vt:variant>
        <vt:lpwstr>https://www.nhsbsa.nhs.uk/pharmacies-gp-practices-and-appliance-contractors/serious-shortage-protocols-ssps</vt:lpwstr>
      </vt:variant>
      <vt:variant>
        <vt:lpwstr/>
      </vt:variant>
      <vt:variant>
        <vt:i4>7929953</vt:i4>
      </vt:variant>
      <vt:variant>
        <vt:i4>108</vt:i4>
      </vt:variant>
      <vt:variant>
        <vt:i4>0</vt:i4>
      </vt:variant>
      <vt:variant>
        <vt:i4>5</vt:i4>
      </vt:variant>
      <vt:variant>
        <vt:lpwstr>https://www.nhsbsa.nhs.uk/pharmacies-gp-practices-and-appliance-contractors/serious-shortage-protocols-ssps</vt:lpwstr>
      </vt:variant>
      <vt:variant>
        <vt:lpwstr/>
      </vt:variant>
      <vt:variant>
        <vt:i4>2687037</vt:i4>
      </vt:variant>
      <vt:variant>
        <vt:i4>105</vt:i4>
      </vt:variant>
      <vt:variant>
        <vt:i4>0</vt:i4>
      </vt:variant>
      <vt:variant>
        <vt:i4>5</vt:i4>
      </vt:variant>
      <vt:variant>
        <vt:lpwstr>https://www.nhsbsa.nhs.uk/pharmacies-gp-practices-and-appliance-contractors/drug-tariff</vt:lpwstr>
      </vt:variant>
      <vt:variant>
        <vt:lpwstr/>
      </vt:variant>
      <vt:variant>
        <vt:i4>7405693</vt:i4>
      </vt:variant>
      <vt:variant>
        <vt:i4>102</vt:i4>
      </vt:variant>
      <vt:variant>
        <vt:i4>0</vt:i4>
      </vt:variant>
      <vt:variant>
        <vt:i4>5</vt:i4>
      </vt:variant>
      <vt:variant>
        <vt:lpwstr>https://psnc.org.uk/dispensing-supply/endorsement/how-the-price-change-mechanism-works/</vt:lpwstr>
      </vt:variant>
      <vt:variant>
        <vt:lpwstr/>
      </vt:variant>
      <vt:variant>
        <vt:i4>2687037</vt:i4>
      </vt:variant>
      <vt:variant>
        <vt:i4>99</vt:i4>
      </vt:variant>
      <vt:variant>
        <vt:i4>0</vt:i4>
      </vt:variant>
      <vt:variant>
        <vt:i4>5</vt:i4>
      </vt:variant>
      <vt:variant>
        <vt:lpwstr>https://www.nhsbsa.nhs.uk/pharmacies-gp-practices-and-appliance-contractors/drug-tariff</vt:lpwstr>
      </vt:variant>
      <vt:variant>
        <vt:lpwstr/>
      </vt:variant>
      <vt:variant>
        <vt:i4>2687037</vt:i4>
      </vt:variant>
      <vt:variant>
        <vt:i4>96</vt:i4>
      </vt:variant>
      <vt:variant>
        <vt:i4>0</vt:i4>
      </vt:variant>
      <vt:variant>
        <vt:i4>5</vt:i4>
      </vt:variant>
      <vt:variant>
        <vt:lpwstr>https://www.nhsbsa.nhs.uk/pharmacies-gp-practices-and-appliance-contractors/drug-tariff</vt:lpwstr>
      </vt:variant>
      <vt:variant>
        <vt:lpwstr/>
      </vt:variant>
      <vt:variant>
        <vt:i4>7405693</vt:i4>
      </vt:variant>
      <vt:variant>
        <vt:i4>93</vt:i4>
      </vt:variant>
      <vt:variant>
        <vt:i4>0</vt:i4>
      </vt:variant>
      <vt:variant>
        <vt:i4>5</vt:i4>
      </vt:variant>
      <vt:variant>
        <vt:lpwstr>https://psnc.org.uk/dispensing-supply/endorsement/how-the-price-change-mechanism-works/</vt:lpwstr>
      </vt:variant>
      <vt:variant>
        <vt:lpwstr/>
      </vt:variant>
      <vt:variant>
        <vt:i4>2687037</vt:i4>
      </vt:variant>
      <vt:variant>
        <vt:i4>90</vt:i4>
      </vt:variant>
      <vt:variant>
        <vt:i4>0</vt:i4>
      </vt:variant>
      <vt:variant>
        <vt:i4>5</vt:i4>
      </vt:variant>
      <vt:variant>
        <vt:lpwstr>https://www.nhsbsa.nhs.uk/pharmacies-gp-practices-and-appliance-contractors/drug-tariff</vt:lpwstr>
      </vt:variant>
      <vt:variant>
        <vt:lpwstr/>
      </vt:variant>
      <vt:variant>
        <vt:i4>3604596</vt:i4>
      </vt:variant>
      <vt:variant>
        <vt:i4>87</vt:i4>
      </vt:variant>
      <vt:variant>
        <vt:i4>0</vt:i4>
      </vt:variant>
      <vt:variant>
        <vt:i4>5</vt:i4>
      </vt:variant>
      <vt:variant>
        <vt:lpwstr>https://services.nhsbsa.nhs.uk/dmd-browser/ampp/view/186179?ref=YW1wTmFtZT12ZW5sYWZheGluZSZzdXBwbGllcj1Sb3NlbW9udCtQaGFybWFjZXV0aWNhbHMrTHRkJnNlYXJjaFR5cGU9QU1QJnNob3dJbnZhbGlkSXRlbXM9ZmFsc2U%3D</vt:lpwstr>
      </vt:variant>
      <vt:variant>
        <vt:lpwstr/>
      </vt:variant>
      <vt:variant>
        <vt:i4>3604597</vt:i4>
      </vt:variant>
      <vt:variant>
        <vt:i4>84</vt:i4>
      </vt:variant>
      <vt:variant>
        <vt:i4>0</vt:i4>
      </vt:variant>
      <vt:variant>
        <vt:i4>5</vt:i4>
      </vt:variant>
      <vt:variant>
        <vt:lpwstr>https://services.nhsbsa.nhs.uk/dmd-browser/ampp/view/186178?ref=YW1wTmFtZT12ZW5sYWZheGluZSZzdXBwbGllcj1Sb3NlbW9udCtQaGFybWFjZXV0aWNhbHMrTHRkJnNlYXJjaFR5cGU9QU1QJnNob3dJbnZhbGlkSXRlbXM9ZmFsc2U%3D</vt:lpwstr>
      </vt:variant>
      <vt:variant>
        <vt:lpwstr/>
      </vt:variant>
      <vt:variant>
        <vt:i4>393246</vt:i4>
      </vt:variant>
      <vt:variant>
        <vt:i4>81</vt:i4>
      </vt:variant>
      <vt:variant>
        <vt:i4>0</vt:i4>
      </vt:variant>
      <vt:variant>
        <vt:i4>5</vt:i4>
      </vt:variant>
      <vt:variant>
        <vt:lpwstr>https://psnc.org.uk/wp-content/uploads/2021/10/FP34C-Submission-factsheet.pdf</vt:lpwstr>
      </vt:variant>
      <vt:variant>
        <vt:lpwstr/>
      </vt:variant>
      <vt:variant>
        <vt:i4>3473508</vt:i4>
      </vt:variant>
      <vt:variant>
        <vt:i4>78</vt:i4>
      </vt:variant>
      <vt:variant>
        <vt:i4>0</vt:i4>
      </vt:variant>
      <vt:variant>
        <vt:i4>5</vt:i4>
      </vt:variant>
      <vt:variant>
        <vt:lpwstr>https://psnc.org.uk/contract-it/psnc-briefings-pharmacy-contract-and-it/psnc-briefing-00816-psnc-briefing-00816-eps-factsheet-reconcile-eps-prescription-figures-february-2016/</vt:lpwstr>
      </vt:variant>
      <vt:variant>
        <vt:lpwstr/>
      </vt:variant>
      <vt:variant>
        <vt:i4>5832726</vt:i4>
      </vt:variant>
      <vt:variant>
        <vt:i4>75</vt:i4>
      </vt:variant>
      <vt:variant>
        <vt:i4>0</vt:i4>
      </vt:variant>
      <vt:variant>
        <vt:i4>5</vt:i4>
      </vt:variant>
      <vt:variant>
        <vt:lpwstr>https://psnc.org.uk/dispensing-supply/payment-accuracy/monthly-payments/reconciling-payments/</vt:lpwstr>
      </vt:variant>
      <vt:variant>
        <vt:lpwstr/>
      </vt:variant>
      <vt:variant>
        <vt:i4>1704013</vt:i4>
      </vt:variant>
      <vt:variant>
        <vt:i4>72</vt:i4>
      </vt:variant>
      <vt:variant>
        <vt:i4>0</vt:i4>
      </vt:variant>
      <vt:variant>
        <vt:i4>5</vt:i4>
      </vt:variant>
      <vt:variant>
        <vt:lpwstr>https://psnc.org.uk/dispensing-supply/payment-accuracy/prescription-submission/prescription-submission-requirements/</vt:lpwstr>
      </vt:variant>
      <vt:variant>
        <vt:lpwstr/>
      </vt:variant>
      <vt:variant>
        <vt:i4>4259914</vt:i4>
      </vt:variant>
      <vt:variant>
        <vt:i4>69</vt:i4>
      </vt:variant>
      <vt:variant>
        <vt:i4>0</vt:i4>
      </vt:variant>
      <vt:variant>
        <vt:i4>5</vt:i4>
      </vt:variant>
      <vt:variant>
        <vt:lpwstr>https://psnc.org.uk/wp-content/uploads/2021/09/PEPS-cashflow-model-Sep-2021.xlsx</vt:lpwstr>
      </vt:variant>
      <vt:variant>
        <vt:lpwstr/>
      </vt:variant>
      <vt:variant>
        <vt:i4>8257647</vt:i4>
      </vt:variant>
      <vt:variant>
        <vt:i4>66</vt:i4>
      </vt:variant>
      <vt:variant>
        <vt:i4>0</vt:i4>
      </vt:variant>
      <vt:variant>
        <vt:i4>5</vt:i4>
      </vt:variant>
      <vt:variant>
        <vt:lpwstr>https://psnc.org.uk/dispensing-supply/psnc-briefings-dispensing-and-supply/psnc-briefing-037-21-peps-cashflow-briefing/</vt:lpwstr>
      </vt:variant>
      <vt:variant>
        <vt:lpwstr/>
      </vt:variant>
      <vt:variant>
        <vt:i4>2031620</vt:i4>
      </vt:variant>
      <vt:variant>
        <vt:i4>63</vt:i4>
      </vt:variant>
      <vt:variant>
        <vt:i4>0</vt:i4>
      </vt:variant>
      <vt:variant>
        <vt:i4>5</vt:i4>
      </vt:variant>
      <vt:variant>
        <vt:lpwstr>https://psnc.org.uk/our-news/early-advance-payments-for-all-contractors-following-an-end-to-peps/</vt:lpwstr>
      </vt:variant>
      <vt:variant>
        <vt:lpwstr/>
      </vt:variant>
      <vt:variant>
        <vt:i4>3211364</vt:i4>
      </vt:variant>
      <vt:variant>
        <vt:i4>60</vt:i4>
      </vt:variant>
      <vt:variant>
        <vt:i4>0</vt:i4>
      </vt:variant>
      <vt:variant>
        <vt:i4>5</vt:i4>
      </vt:variant>
      <vt:variant>
        <vt:lpwstr>https://psnc.org.uk/dispensing-supply/psnc-briefings-dispensing-and-supply/psnc-briefing-031-21-new-payment-arrangements-for-all-contractors-following-end-to-pharmacy-earlier-payment-scheme-peps/</vt:lpwstr>
      </vt:variant>
      <vt:variant>
        <vt:lpwstr/>
      </vt:variant>
      <vt:variant>
        <vt:i4>2293818</vt:i4>
      </vt:variant>
      <vt:variant>
        <vt:i4>57</vt:i4>
      </vt:variant>
      <vt:variant>
        <vt:i4>0</vt:i4>
      </vt:variant>
      <vt:variant>
        <vt:i4>5</vt:i4>
      </vt:variant>
      <vt:variant>
        <vt:lpwstr>https://www.nhsbsa.nhs.uk/pharmacies-gp-practices-and-appliance-contractors/payments-and-pricing/pharmacy-payment-timetable</vt:lpwstr>
      </vt:variant>
      <vt:variant>
        <vt:lpwstr/>
      </vt:variant>
      <vt:variant>
        <vt:i4>2687038</vt:i4>
      </vt:variant>
      <vt:variant>
        <vt:i4>54</vt:i4>
      </vt:variant>
      <vt:variant>
        <vt:i4>0</vt:i4>
      </vt:variant>
      <vt:variant>
        <vt:i4>5</vt:i4>
      </vt:variant>
      <vt:variant>
        <vt:lpwstr>https://psnc.us7.list-manage.com/track/click?u=86d41ab7fa4c7c2c5d7210782&amp;id=21eec16ba1&amp;e=b3c36abde4</vt:lpwstr>
      </vt:variant>
      <vt:variant>
        <vt:lpwstr/>
      </vt:variant>
      <vt:variant>
        <vt:i4>4128778</vt:i4>
      </vt:variant>
      <vt:variant>
        <vt:i4>51</vt:i4>
      </vt:variant>
      <vt:variant>
        <vt:i4>0</vt:i4>
      </vt:variant>
      <vt:variant>
        <vt:i4>5</vt:i4>
      </vt:variant>
      <vt:variant>
        <vt:lpwstr/>
      </vt:variant>
      <vt:variant>
        <vt:lpwstr>_Pharmacy_factsheets_for</vt:lpwstr>
      </vt:variant>
      <vt:variant>
        <vt:i4>5898342</vt:i4>
      </vt:variant>
      <vt:variant>
        <vt:i4>48</vt:i4>
      </vt:variant>
      <vt:variant>
        <vt:i4>0</vt:i4>
      </vt:variant>
      <vt:variant>
        <vt:i4>5</vt:i4>
      </vt:variant>
      <vt:variant>
        <vt:lpwstr/>
      </vt:variant>
      <vt:variant>
        <vt:lpwstr>_Webinar_on_changes</vt:lpwstr>
      </vt:variant>
      <vt:variant>
        <vt:i4>6291529</vt:i4>
      </vt:variant>
      <vt:variant>
        <vt:i4>45</vt:i4>
      </vt:variant>
      <vt:variant>
        <vt:i4>0</vt:i4>
      </vt:variant>
      <vt:variant>
        <vt:i4>5</vt:i4>
      </vt:variant>
      <vt:variant>
        <vt:lpwstr/>
      </vt:variant>
      <vt:variant>
        <vt:lpwstr>_Market_movements_with</vt:lpwstr>
      </vt:variant>
      <vt:variant>
        <vt:i4>6881346</vt:i4>
      </vt:variant>
      <vt:variant>
        <vt:i4>42</vt:i4>
      </vt:variant>
      <vt:variant>
        <vt:i4>0</vt:i4>
      </vt:variant>
      <vt:variant>
        <vt:i4>5</vt:i4>
      </vt:variant>
      <vt:variant>
        <vt:lpwstr/>
      </vt:variant>
      <vt:variant>
        <vt:lpwstr>_Update_summary_of</vt:lpwstr>
      </vt:variant>
      <vt:variant>
        <vt:i4>3932225</vt:i4>
      </vt:variant>
      <vt:variant>
        <vt:i4>39</vt:i4>
      </vt:variant>
      <vt:variant>
        <vt:i4>0</vt:i4>
      </vt:variant>
      <vt:variant>
        <vt:i4>5</vt:i4>
      </vt:variant>
      <vt:variant>
        <vt:lpwstr/>
      </vt:variant>
      <vt:variant>
        <vt:lpwstr>_Over_400_products</vt:lpwstr>
      </vt:variant>
      <vt:variant>
        <vt:i4>2555924</vt:i4>
      </vt:variant>
      <vt:variant>
        <vt:i4>36</vt:i4>
      </vt:variant>
      <vt:variant>
        <vt:i4>0</vt:i4>
      </vt:variant>
      <vt:variant>
        <vt:i4>5</vt:i4>
      </vt:variant>
      <vt:variant>
        <vt:lpwstr/>
      </vt:variant>
      <vt:variant>
        <vt:lpwstr>_Summary_of_payments</vt:lpwstr>
      </vt:variant>
      <vt:variant>
        <vt:i4>131130</vt:i4>
      </vt:variant>
      <vt:variant>
        <vt:i4>33</vt:i4>
      </vt:variant>
      <vt:variant>
        <vt:i4>0</vt:i4>
      </vt:variant>
      <vt:variant>
        <vt:i4>5</vt:i4>
      </vt:variant>
      <vt:variant>
        <vt:lpwstr/>
      </vt:variant>
      <vt:variant>
        <vt:lpwstr>_Further_extension_to</vt:lpwstr>
      </vt:variant>
      <vt:variant>
        <vt:i4>6619215</vt:i4>
      </vt:variant>
      <vt:variant>
        <vt:i4>30</vt:i4>
      </vt:variant>
      <vt:variant>
        <vt:i4>0</vt:i4>
      </vt:variant>
      <vt:variant>
        <vt:i4>5</vt:i4>
      </vt:variant>
      <vt:variant>
        <vt:lpwstr/>
      </vt:variant>
      <vt:variant>
        <vt:lpwstr>_New_SSP_issued</vt:lpwstr>
      </vt:variant>
      <vt:variant>
        <vt:i4>327721</vt:i4>
      </vt:variant>
      <vt:variant>
        <vt:i4>27</vt:i4>
      </vt:variant>
      <vt:variant>
        <vt:i4>0</vt:i4>
      </vt:variant>
      <vt:variant>
        <vt:i4>5</vt:i4>
      </vt:variant>
      <vt:variant>
        <vt:lpwstr/>
      </vt:variant>
      <vt:variant>
        <vt:lpwstr>_Updated_SSP_endorsement</vt:lpwstr>
      </vt:variant>
      <vt:variant>
        <vt:i4>3932214</vt:i4>
      </vt:variant>
      <vt:variant>
        <vt:i4>24</vt:i4>
      </vt:variant>
      <vt:variant>
        <vt:i4>0</vt:i4>
      </vt:variant>
      <vt:variant>
        <vt:i4>5</vt:i4>
      </vt:variant>
      <vt:variant>
        <vt:lpwstr/>
      </vt:variant>
      <vt:variant>
        <vt:lpwstr>_Adjusted_price_for_1</vt:lpwstr>
      </vt:variant>
      <vt:variant>
        <vt:i4>6488132</vt:i4>
      </vt:variant>
      <vt:variant>
        <vt:i4>21</vt:i4>
      </vt:variant>
      <vt:variant>
        <vt:i4>0</vt:i4>
      </vt:variant>
      <vt:variant>
        <vt:i4>5</vt:i4>
      </vt:variant>
      <vt:variant>
        <vt:lpwstr/>
      </vt:variant>
      <vt:variant>
        <vt:lpwstr>_Adjusted_price_for</vt:lpwstr>
      </vt:variant>
      <vt:variant>
        <vt:i4>1507364</vt:i4>
      </vt:variant>
      <vt:variant>
        <vt:i4>18</vt:i4>
      </vt:variant>
      <vt:variant>
        <vt:i4>0</vt:i4>
      </vt:variant>
      <vt:variant>
        <vt:i4>5</vt:i4>
      </vt:variant>
      <vt:variant>
        <vt:lpwstr/>
      </vt:variant>
      <vt:variant>
        <vt:lpwstr>_Venlafaxine_37.5mg/5ml_and</vt:lpwstr>
      </vt:variant>
      <vt:variant>
        <vt:i4>6422598</vt:i4>
      </vt:variant>
      <vt:variant>
        <vt:i4>15</vt:i4>
      </vt:variant>
      <vt:variant>
        <vt:i4>0</vt:i4>
      </vt:variant>
      <vt:variant>
        <vt:i4>5</vt:i4>
      </vt:variant>
      <vt:variant>
        <vt:lpwstr/>
      </vt:variant>
      <vt:variant>
        <vt:lpwstr>_Post_Payment_Verification</vt:lpwstr>
      </vt:variant>
      <vt:variant>
        <vt:i4>4522091</vt:i4>
      </vt:variant>
      <vt:variant>
        <vt:i4>12</vt:i4>
      </vt:variant>
      <vt:variant>
        <vt:i4>0</vt:i4>
      </vt:variant>
      <vt:variant>
        <vt:i4>5</vt:i4>
      </vt:variant>
      <vt:variant>
        <vt:lpwstr/>
      </vt:variant>
      <vt:variant>
        <vt:lpwstr>_Updated_paper_FP34C</vt:lpwstr>
      </vt:variant>
      <vt:variant>
        <vt:i4>3080216</vt:i4>
      </vt:variant>
      <vt:variant>
        <vt:i4>9</vt:i4>
      </vt:variant>
      <vt:variant>
        <vt:i4>0</vt:i4>
      </vt:variant>
      <vt:variant>
        <vt:i4>5</vt:i4>
      </vt:variant>
      <vt:variant>
        <vt:lpwstr/>
      </vt:variant>
      <vt:variant>
        <vt:lpwstr>_Updated_prescription_sorting</vt:lpwstr>
      </vt:variant>
      <vt:variant>
        <vt:i4>2621470</vt:i4>
      </vt:variant>
      <vt:variant>
        <vt:i4>6</vt:i4>
      </vt:variant>
      <vt:variant>
        <vt:i4>0</vt:i4>
      </vt:variant>
      <vt:variant>
        <vt:i4>5</vt:i4>
      </vt:variant>
      <vt:variant>
        <vt:lpwstr/>
      </vt:variant>
      <vt:variant>
        <vt:lpwstr>_End_to_Pharmacy</vt:lpwstr>
      </vt:variant>
      <vt:variant>
        <vt:i4>6094964</vt:i4>
      </vt:variant>
      <vt:variant>
        <vt:i4>3</vt:i4>
      </vt:variant>
      <vt:variant>
        <vt:i4>0</vt:i4>
      </vt:variant>
      <vt:variant>
        <vt:i4>5</vt:i4>
      </vt:variant>
      <vt:variant>
        <vt:lpwstr/>
      </vt:variant>
      <vt:variant>
        <vt:lpwstr>_Extended_submission_deadlines</vt:lpwstr>
      </vt:variant>
      <vt:variant>
        <vt:i4>3997696</vt:i4>
      </vt:variant>
      <vt:variant>
        <vt:i4>0</vt:i4>
      </vt:variant>
      <vt:variant>
        <vt:i4>0</vt:i4>
      </vt:variant>
      <vt:variant>
        <vt:i4>5</vt:i4>
      </vt:variant>
      <vt:variant>
        <vt:lpwstr/>
      </vt:variant>
      <vt:variant>
        <vt:lpwstr>_Over_half_of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29</cp:revision>
  <dcterms:created xsi:type="dcterms:W3CDTF">2021-11-05T06:05:00Z</dcterms:created>
  <dcterms:modified xsi:type="dcterms:W3CDTF">2022-01-10T12:29:00Z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0x01010006D813DC406C074D9866DD3C8CD8714E</vt:lpwstr>
  </property>
</Properties>
</file>