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2DD8" w14:textId="0E382670" w:rsidR="00D01891" w:rsidRPr="00907E6A" w:rsidRDefault="3C1BBFB4" w:rsidP="00F83A5B">
      <w:pPr>
        <w:pStyle w:val="Heading1"/>
        <w:spacing w:before="14"/>
        <w:ind w:left="1134" w:right="1134"/>
      </w:pPr>
      <w:bookmarkStart w:id="0" w:name="_bookmark0"/>
      <w:bookmarkStart w:id="1" w:name="_top"/>
      <w:bookmarkEnd w:id="0"/>
      <w:bookmarkEnd w:id="1"/>
      <w:r w:rsidRPr="3C1BBFB4">
        <w:rPr>
          <w:color w:val="5B518E"/>
        </w:rPr>
        <w:t xml:space="preserve">Pharmaceutical Services Negotiating Committee </w:t>
      </w:r>
      <w:r w:rsidR="00D57E60">
        <w:br/>
      </w:r>
      <w:r w:rsidRPr="3C1BBFB4">
        <w:rPr>
          <w:color w:val="5B518E"/>
        </w:rPr>
        <w:t>Funding and Contract Subcommittee Minutes</w:t>
      </w:r>
    </w:p>
    <w:p w14:paraId="5367AB88" w14:textId="77777777" w:rsidR="00D01891" w:rsidRPr="00907E6A" w:rsidRDefault="00D01891" w:rsidP="00F83A5B">
      <w:pPr>
        <w:pStyle w:val="BodyText"/>
        <w:ind w:left="1134" w:right="1134"/>
        <w:jc w:val="center"/>
        <w:rPr>
          <w:b/>
          <w:sz w:val="28"/>
          <w:szCs w:val="28"/>
        </w:rPr>
      </w:pPr>
    </w:p>
    <w:p w14:paraId="10374230" w14:textId="7A07E0F3" w:rsidR="00795871" w:rsidRPr="00907E6A" w:rsidRDefault="01E3182D" w:rsidP="3024FC78">
      <w:pPr>
        <w:spacing w:line="463" w:lineRule="auto"/>
        <w:ind w:left="1134" w:right="1134"/>
        <w:jc w:val="center"/>
        <w:rPr>
          <w:b/>
          <w:bCs/>
          <w:color w:val="5B518E"/>
          <w:sz w:val="28"/>
          <w:szCs w:val="28"/>
        </w:rPr>
      </w:pPr>
      <w:r w:rsidRPr="01E3182D">
        <w:rPr>
          <w:b/>
          <w:bCs/>
          <w:color w:val="5B518E"/>
          <w:sz w:val="28"/>
          <w:szCs w:val="28"/>
        </w:rPr>
        <w:t xml:space="preserve">Zoom virtual meeting held on </w:t>
      </w:r>
      <w:r w:rsidR="006769B3">
        <w:rPr>
          <w:b/>
          <w:bCs/>
          <w:color w:val="5B518E"/>
          <w:sz w:val="28"/>
          <w:szCs w:val="28"/>
        </w:rPr>
        <w:t>Wednesday</w:t>
      </w:r>
      <w:r w:rsidRPr="01E3182D">
        <w:rPr>
          <w:b/>
          <w:bCs/>
          <w:color w:val="5B518E"/>
          <w:sz w:val="28"/>
          <w:szCs w:val="28"/>
        </w:rPr>
        <w:t xml:space="preserve"> </w:t>
      </w:r>
      <w:r w:rsidR="006769B3">
        <w:rPr>
          <w:b/>
          <w:bCs/>
          <w:color w:val="5B518E"/>
          <w:sz w:val="28"/>
          <w:szCs w:val="28"/>
        </w:rPr>
        <w:t>3</w:t>
      </w:r>
      <w:r w:rsidR="006769B3" w:rsidRPr="006769B3">
        <w:rPr>
          <w:b/>
          <w:bCs/>
          <w:color w:val="5B518E"/>
          <w:sz w:val="28"/>
          <w:szCs w:val="28"/>
          <w:vertAlign w:val="superscript"/>
        </w:rPr>
        <w:t>rd</w:t>
      </w:r>
      <w:r w:rsidR="006769B3">
        <w:rPr>
          <w:b/>
          <w:bCs/>
          <w:color w:val="5B518E"/>
          <w:sz w:val="28"/>
          <w:szCs w:val="28"/>
        </w:rPr>
        <w:t xml:space="preserve"> February</w:t>
      </w:r>
      <w:r w:rsidRPr="01E3182D">
        <w:rPr>
          <w:b/>
          <w:bCs/>
          <w:color w:val="5B518E"/>
          <w:sz w:val="28"/>
          <w:szCs w:val="28"/>
        </w:rPr>
        <w:t xml:space="preserve"> 202</w:t>
      </w:r>
      <w:r w:rsidR="006769B3">
        <w:rPr>
          <w:b/>
          <w:bCs/>
          <w:color w:val="5B518E"/>
          <w:sz w:val="28"/>
          <w:szCs w:val="28"/>
        </w:rPr>
        <w:t>1</w:t>
      </w:r>
      <w:r w:rsidRPr="01E3182D">
        <w:rPr>
          <w:b/>
          <w:bCs/>
          <w:color w:val="5B518E"/>
          <w:sz w:val="28"/>
          <w:szCs w:val="28"/>
        </w:rPr>
        <w:t xml:space="preserve"> at 13.</w:t>
      </w:r>
      <w:r w:rsidR="006769B3">
        <w:rPr>
          <w:b/>
          <w:bCs/>
          <w:color w:val="5B518E"/>
          <w:sz w:val="28"/>
          <w:szCs w:val="28"/>
        </w:rPr>
        <w:t>45</w:t>
      </w:r>
      <w:r w:rsidRPr="01E3182D">
        <w:rPr>
          <w:b/>
          <w:bCs/>
          <w:color w:val="5B518E"/>
          <w:sz w:val="28"/>
          <w:szCs w:val="28"/>
        </w:rPr>
        <w:t>pm</w:t>
      </w:r>
    </w:p>
    <w:p w14:paraId="15CD9209" w14:textId="4CD403E3" w:rsidR="00F83A5B" w:rsidRPr="00633027" w:rsidRDefault="00D57E60" w:rsidP="00F83A5B">
      <w:pPr>
        <w:spacing w:line="463" w:lineRule="auto"/>
        <w:ind w:left="1134" w:right="1134"/>
        <w:jc w:val="center"/>
        <w:rPr>
          <w:b/>
          <w:sz w:val="24"/>
          <w:szCs w:val="24"/>
        </w:rPr>
      </w:pPr>
      <w:r w:rsidRPr="00633027">
        <w:rPr>
          <w:b/>
          <w:color w:val="5B518E"/>
          <w:sz w:val="24"/>
          <w:szCs w:val="24"/>
        </w:rPr>
        <w:t>Items are confidential where marked</w:t>
      </w:r>
    </w:p>
    <w:p w14:paraId="5B2B711C" w14:textId="34D547E8" w:rsidR="00D01891" w:rsidRPr="00907E6A" w:rsidRDefault="00D57E60" w:rsidP="346DBE52">
      <w:pPr>
        <w:tabs>
          <w:tab w:val="left" w:pos="2297"/>
          <w:tab w:val="left" w:pos="10206"/>
        </w:tabs>
        <w:spacing w:before="20"/>
        <w:ind w:left="1134" w:right="1134"/>
      </w:pPr>
      <w:r w:rsidRPr="00907E6A">
        <w:rPr>
          <w:rFonts w:eastAsia="Times New Roman"/>
          <w:b/>
          <w:bCs/>
          <w:color w:val="5B518E"/>
          <w:lang w:eastAsia="en-GB" w:bidi="ar-SA"/>
        </w:rPr>
        <w:t xml:space="preserve">Members: </w:t>
      </w:r>
      <w:r w:rsidRPr="00907E6A">
        <w:rPr>
          <w:b/>
          <w:color w:val="5B518E"/>
        </w:rPr>
        <w:tab/>
      </w:r>
      <w:r w:rsidRPr="00907E6A">
        <w:t xml:space="preserve">David Broome, Peter Cattee (Chairman), </w:t>
      </w:r>
      <w:r w:rsidR="6E238D47">
        <w:t>Jas Heer</w:t>
      </w:r>
      <w:r w:rsidR="6E238D47" w:rsidRPr="00907E6A">
        <w:t xml:space="preserve">, </w:t>
      </w:r>
      <w:r w:rsidRPr="00907E6A">
        <w:rPr>
          <w:spacing w:val="-1"/>
        </w:rPr>
        <w:t>Tricia Kennerley, Margaret MacRury,</w:t>
      </w:r>
      <w:r w:rsidRPr="00907E6A">
        <w:t xml:space="preserve"> </w:t>
      </w:r>
      <w:r w:rsidRPr="00907E6A">
        <w:rPr>
          <w:spacing w:val="-11"/>
        </w:rPr>
        <w:t>Has</w:t>
      </w:r>
      <w:r w:rsidRPr="00907E6A">
        <w:t xml:space="preserve"> </w:t>
      </w:r>
      <w:r w:rsidRPr="00907E6A">
        <w:rPr>
          <w:spacing w:val="-3"/>
        </w:rPr>
        <w:t>Modi,</w:t>
      </w:r>
      <w:r w:rsidRPr="00907E6A">
        <w:t xml:space="preserve"> </w:t>
      </w:r>
      <w:r w:rsidRPr="00907E6A">
        <w:rPr>
          <w:spacing w:val="-8"/>
        </w:rPr>
        <w:t>Garry</w:t>
      </w:r>
      <w:r w:rsidRPr="00907E6A">
        <w:t xml:space="preserve"> </w:t>
      </w:r>
      <w:r w:rsidRPr="00907E6A">
        <w:rPr>
          <w:spacing w:val="-8"/>
        </w:rPr>
        <w:t>Myers</w:t>
      </w:r>
      <w:r w:rsidRPr="00907E6A">
        <w:t xml:space="preserve"> </w:t>
      </w:r>
      <w:r w:rsidRPr="00907E6A">
        <w:rPr>
          <w:spacing w:val="-9"/>
        </w:rPr>
        <w:t>(Vice</w:t>
      </w:r>
      <w:r w:rsidRPr="00907E6A">
        <w:t xml:space="preserve"> </w:t>
      </w:r>
      <w:r w:rsidRPr="00907E6A">
        <w:rPr>
          <w:spacing w:val="-10"/>
        </w:rPr>
        <w:t>-</w:t>
      </w:r>
      <w:r w:rsidRPr="00907E6A">
        <w:t xml:space="preserve"> </w:t>
      </w:r>
      <w:r w:rsidRPr="00907E6A">
        <w:rPr>
          <w:spacing w:val="-10"/>
        </w:rPr>
        <w:t>Chair),</w:t>
      </w:r>
      <w:r w:rsidRPr="00907E6A">
        <w:t xml:space="preserve"> </w:t>
      </w:r>
      <w:r w:rsidRPr="00907E6A">
        <w:rPr>
          <w:spacing w:val="-9"/>
        </w:rPr>
        <w:t>Bharat</w:t>
      </w:r>
      <w:r w:rsidRPr="00907E6A">
        <w:t xml:space="preserve"> </w:t>
      </w:r>
      <w:r w:rsidRPr="00907E6A">
        <w:rPr>
          <w:spacing w:val="-7"/>
        </w:rPr>
        <w:t>Patel,</w:t>
      </w:r>
      <w:r w:rsidRPr="00907E6A">
        <w:t xml:space="preserve"> </w:t>
      </w:r>
      <w:r w:rsidRPr="00907E6A">
        <w:rPr>
          <w:spacing w:val="-10"/>
        </w:rPr>
        <w:t>Adrian</w:t>
      </w:r>
      <w:r w:rsidRPr="00907E6A">
        <w:t xml:space="preserve"> </w:t>
      </w:r>
      <w:r w:rsidRPr="00907E6A">
        <w:rPr>
          <w:spacing w:val="-9"/>
        </w:rPr>
        <w:t>Price,</w:t>
      </w:r>
      <w:r w:rsidRPr="00907E6A">
        <w:t xml:space="preserve"> </w:t>
      </w:r>
      <w:r w:rsidRPr="00907E6A">
        <w:rPr>
          <w:spacing w:val="-9"/>
        </w:rPr>
        <w:t>Anil</w:t>
      </w:r>
      <w:r w:rsidRPr="00907E6A">
        <w:t xml:space="preserve"> </w:t>
      </w:r>
      <w:r>
        <w:t>Sharma</w:t>
      </w:r>
      <w:r w:rsidR="5573A45D">
        <w:t>.</w:t>
      </w:r>
    </w:p>
    <w:p w14:paraId="52129513" w14:textId="77777777" w:rsidR="00F83A5B" w:rsidRPr="00907E6A" w:rsidRDefault="00F83A5B" w:rsidP="00315268">
      <w:pPr>
        <w:pStyle w:val="BodyText"/>
        <w:tabs>
          <w:tab w:val="left" w:pos="10206"/>
        </w:tabs>
        <w:ind w:left="1134" w:right="1134"/>
      </w:pPr>
    </w:p>
    <w:p w14:paraId="32FBB822" w14:textId="478FB0DB" w:rsidR="01E3182D" w:rsidRDefault="01E3182D" w:rsidP="111BE125">
      <w:pPr>
        <w:tabs>
          <w:tab w:val="left" w:pos="10206"/>
        </w:tabs>
        <w:ind w:left="1134" w:right="1134"/>
      </w:pPr>
      <w:r w:rsidRPr="346DBE52">
        <w:rPr>
          <w:rFonts w:eastAsia="Times New Roman"/>
          <w:b/>
          <w:bCs/>
          <w:color w:val="5B518E"/>
          <w:lang w:eastAsia="en-GB" w:bidi="ar-SA"/>
        </w:rPr>
        <w:t>In attendance:</w:t>
      </w:r>
      <w:r w:rsidRPr="346DBE52">
        <w:rPr>
          <w:b/>
          <w:bCs/>
          <w:color w:val="5B518E"/>
        </w:rPr>
        <w:t xml:space="preserve"> </w:t>
      </w:r>
      <w:r w:rsidR="7FD90A18">
        <w:t>Richard Bradley, Prakash Patel, Mark Griffiths</w:t>
      </w:r>
      <w:r w:rsidR="2179924C">
        <w:t xml:space="preserve">, Stephen Thomas, Sunil Kochhar, Mark Burdon, Janice Perkins, Niamh McMillan, </w:t>
      </w:r>
      <w:r w:rsidR="38A82A84">
        <w:t xml:space="preserve">Clare Kerr, Reena </w:t>
      </w:r>
      <w:proofErr w:type="spellStart"/>
      <w:r w:rsidR="38A82A84">
        <w:t>Barai</w:t>
      </w:r>
      <w:proofErr w:type="spellEnd"/>
      <w:r w:rsidR="38A82A84">
        <w:t>, Sian Retallick, Samantha Fisher</w:t>
      </w:r>
      <w:r w:rsidR="50C2B9C1">
        <w:t>, Ian Cubbin, Jay Patel</w:t>
      </w:r>
      <w:r w:rsidR="41CF823E">
        <w:t xml:space="preserve">, </w:t>
      </w:r>
      <w:r w:rsidR="453D6ECE">
        <w:t xml:space="preserve">Umesh Patel, </w:t>
      </w:r>
      <w:proofErr w:type="spellStart"/>
      <w:r w:rsidR="28A0F200">
        <w:t>Indrajit</w:t>
      </w:r>
      <w:proofErr w:type="spellEnd"/>
      <w:r w:rsidR="28A0F200">
        <w:t xml:space="preserve"> Patel, </w:t>
      </w:r>
      <w:r w:rsidR="3D70FAE4">
        <w:t xml:space="preserve">Sue </w:t>
      </w:r>
      <w:r w:rsidR="7ED2C668">
        <w:t>Killen</w:t>
      </w:r>
      <w:r w:rsidR="3D70FAE4">
        <w:t xml:space="preserve">, </w:t>
      </w:r>
      <w:r w:rsidR="41CF823E">
        <w:t>Simon Dukes, Mike Dent, Jack Cresswell, Suraj Shah, Rob Thomas, Michael Digby, Sarah Welbourne</w:t>
      </w:r>
      <w:r w:rsidR="22F05DB5">
        <w:t>.</w:t>
      </w:r>
    </w:p>
    <w:p w14:paraId="1689EBE6" w14:textId="679AA2E1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7D4A2E3E" w14:textId="77777777" w:rsidR="00D01891" w:rsidRPr="00907E6A" w:rsidRDefault="00D57E60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ind w:left="1134" w:right="1134" w:firstLine="0"/>
      </w:pPr>
      <w:r w:rsidRPr="00907E6A">
        <w:t>Welcome from Chair</w:t>
      </w:r>
    </w:p>
    <w:p w14:paraId="21DCEB60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333E7640" w14:textId="26EC3981" w:rsidR="00D01891" w:rsidRDefault="00D57E60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Apologies for</w:t>
      </w:r>
      <w:r w:rsidRPr="00907E6A">
        <w:rPr>
          <w:spacing w:val="-2"/>
        </w:rPr>
        <w:t xml:space="preserve"> </w:t>
      </w:r>
      <w:r w:rsidRPr="00907E6A">
        <w:t>absence</w:t>
      </w:r>
    </w:p>
    <w:p w14:paraId="392BE2B6" w14:textId="77777777" w:rsidR="00D04BEE" w:rsidRDefault="00D04BEE" w:rsidP="00D04BEE">
      <w:pPr>
        <w:pStyle w:val="ListParagraph"/>
      </w:pPr>
    </w:p>
    <w:p w14:paraId="4F66E354" w14:textId="59F7B85C" w:rsidR="00D04BEE" w:rsidRPr="00907E6A" w:rsidRDefault="00D04BEE" w:rsidP="2D871EA6">
      <w:pPr>
        <w:pStyle w:val="ListParagraph"/>
        <w:tabs>
          <w:tab w:val="left" w:pos="1579"/>
          <w:tab w:val="left" w:pos="10206"/>
        </w:tabs>
        <w:spacing w:before="1"/>
        <w:ind w:left="1134" w:right="1134" w:firstLine="444"/>
      </w:pPr>
      <w:r>
        <w:t>No apologies were received</w:t>
      </w:r>
      <w:r w:rsidR="292C23F9">
        <w:t>.</w:t>
      </w:r>
    </w:p>
    <w:p w14:paraId="7E4B4DD0" w14:textId="77777777" w:rsidR="00D01891" w:rsidRPr="00907E6A" w:rsidRDefault="00D01891" w:rsidP="00315268">
      <w:pPr>
        <w:pStyle w:val="BodyText"/>
        <w:tabs>
          <w:tab w:val="left" w:pos="10206"/>
        </w:tabs>
        <w:spacing w:before="11"/>
        <w:ind w:left="1134" w:right="1134"/>
      </w:pPr>
    </w:p>
    <w:p w14:paraId="29F5193A" w14:textId="4757CCA1" w:rsidR="00D01891" w:rsidRDefault="00D57E60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spacing w:before="1"/>
        <w:ind w:left="1134" w:right="1134" w:firstLine="0"/>
      </w:pPr>
      <w:r w:rsidRPr="00907E6A">
        <w:t>Declarations or conflicts of</w:t>
      </w:r>
      <w:r w:rsidRPr="00907E6A">
        <w:rPr>
          <w:spacing w:val="-5"/>
        </w:rPr>
        <w:t xml:space="preserve"> </w:t>
      </w:r>
      <w:r w:rsidRPr="00907E6A">
        <w:t>interest</w:t>
      </w:r>
    </w:p>
    <w:p w14:paraId="0E5215A8" w14:textId="79EA74DF" w:rsidR="00D04BEE" w:rsidRDefault="00D04BEE" w:rsidP="00D04BEE">
      <w:pPr>
        <w:tabs>
          <w:tab w:val="left" w:pos="1579"/>
          <w:tab w:val="left" w:pos="10206"/>
        </w:tabs>
        <w:spacing w:before="1"/>
        <w:ind w:right="1134"/>
      </w:pPr>
    </w:p>
    <w:p w14:paraId="32928DA4" w14:textId="21DAC956" w:rsidR="00D04BEE" w:rsidRPr="00907E6A" w:rsidRDefault="00D04BEE" w:rsidP="00D04BEE">
      <w:pPr>
        <w:tabs>
          <w:tab w:val="left" w:pos="1579"/>
          <w:tab w:val="left" w:pos="10206"/>
        </w:tabs>
        <w:spacing w:before="1"/>
        <w:ind w:right="1134"/>
      </w:pPr>
      <w:r>
        <w:tab/>
      </w:r>
      <w:r w:rsidRPr="111BE125">
        <w:t xml:space="preserve">No </w:t>
      </w:r>
      <w:r w:rsidR="00E933C2" w:rsidRPr="111BE125">
        <w:t>conflicts or interests were declared</w:t>
      </w:r>
      <w:r w:rsidR="6AC9161D" w:rsidRPr="111BE125">
        <w:t>.</w:t>
      </w:r>
    </w:p>
    <w:p w14:paraId="3AD598DE" w14:textId="77777777" w:rsidR="00D01891" w:rsidRPr="00907E6A" w:rsidRDefault="00D01891" w:rsidP="00315268">
      <w:pPr>
        <w:pStyle w:val="BodyText"/>
        <w:tabs>
          <w:tab w:val="left" w:pos="10206"/>
        </w:tabs>
        <w:spacing w:before="2"/>
        <w:ind w:left="1134" w:right="1134"/>
      </w:pPr>
    </w:p>
    <w:p w14:paraId="2F564B79" w14:textId="3DA09096" w:rsidR="00D01891" w:rsidRDefault="00265F3F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ind w:left="1134" w:right="1134" w:firstLine="0"/>
      </w:pPr>
      <w:r w:rsidRPr="00907E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147E5" wp14:editId="683024A8">
                <wp:simplePos x="0" y="0"/>
                <wp:positionH relativeFrom="page">
                  <wp:posOffset>2651125</wp:posOffset>
                </wp:positionH>
                <wp:positionV relativeFrom="paragraph">
                  <wp:posOffset>161925</wp:posOffset>
                </wp:positionV>
                <wp:extent cx="45720" cy="10795"/>
                <wp:effectExtent l="0" t="0" r="0" b="0"/>
                <wp:wrapNone/>
                <wp:docPr id="45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0795"/>
                        </a:xfrm>
                        <a:prstGeom prst="rect">
                          <a:avLst/>
                        </a:prstGeom>
                        <a:solidFill>
                          <a:srgbClr val="5B5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7C90DCD6" id="Rectangle 439" o:spid="_x0000_s1026" style="position:absolute;margin-left:208.75pt;margin-top:12.75pt;width:3.6pt;height: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" fillcolor="#5b518e" stroked="f">
                <w10:wrap anchorx="page"/>
              </v:rect>
            </w:pict>
          </mc:Fallback>
        </mc:AlternateContent>
      </w:r>
      <w:r w:rsidR="00D57E60" w:rsidRPr="00907E6A">
        <w:t>Minutes of last meeting</w:t>
      </w:r>
      <w:r w:rsidR="00E933C2">
        <w:t xml:space="preserve"> and matters arising</w:t>
      </w:r>
    </w:p>
    <w:p w14:paraId="53D79678" w14:textId="29DA91BC" w:rsidR="00E933C2" w:rsidRDefault="00E933C2" w:rsidP="00E933C2">
      <w:pPr>
        <w:tabs>
          <w:tab w:val="left" w:pos="1579"/>
          <w:tab w:val="left" w:pos="10206"/>
        </w:tabs>
        <w:ind w:right="1134"/>
      </w:pPr>
    </w:p>
    <w:p w14:paraId="4115A6B3" w14:textId="47C38E8F" w:rsidR="00E933C2" w:rsidRPr="00907E6A" w:rsidRDefault="00E933C2" w:rsidP="00E933C2">
      <w:pPr>
        <w:tabs>
          <w:tab w:val="left" w:pos="1579"/>
          <w:tab w:val="left" w:pos="10206"/>
        </w:tabs>
        <w:ind w:right="1134"/>
      </w:pPr>
      <w:r>
        <w:tab/>
      </w:r>
      <w:r w:rsidRPr="111BE125">
        <w:t>The minutes of the meeting held on 2</w:t>
      </w:r>
      <w:r w:rsidR="7576050A" w:rsidRPr="111BE125">
        <w:t>0</w:t>
      </w:r>
      <w:r w:rsidR="7576050A" w:rsidRPr="111BE125">
        <w:rPr>
          <w:vertAlign w:val="superscript"/>
        </w:rPr>
        <w:t>th</w:t>
      </w:r>
      <w:r w:rsidR="7576050A" w:rsidRPr="111BE125">
        <w:t xml:space="preserve"> November</w:t>
      </w:r>
      <w:r w:rsidRPr="111BE125">
        <w:t xml:space="preserve"> 2020 were approved</w:t>
      </w:r>
      <w:r w:rsidR="2C42CBDC" w:rsidRPr="111BE125">
        <w:t>.</w:t>
      </w:r>
    </w:p>
    <w:p w14:paraId="1C9A3E18" w14:textId="77777777" w:rsidR="00D01891" w:rsidRPr="00907E6A" w:rsidRDefault="00D01891" w:rsidP="00315268">
      <w:pPr>
        <w:pStyle w:val="BodyText"/>
        <w:tabs>
          <w:tab w:val="left" w:pos="10206"/>
        </w:tabs>
        <w:ind w:left="1134" w:right="1134"/>
      </w:pPr>
    </w:p>
    <w:p w14:paraId="644CF017" w14:textId="77777777" w:rsidR="00D01891" w:rsidRPr="00907E6A" w:rsidRDefault="00D01891" w:rsidP="00315268">
      <w:pPr>
        <w:pStyle w:val="BodyText"/>
        <w:tabs>
          <w:tab w:val="left" w:pos="10206"/>
        </w:tabs>
        <w:spacing w:before="9"/>
        <w:ind w:left="1134" w:right="1134"/>
      </w:pPr>
    </w:p>
    <w:p w14:paraId="7A618A81" w14:textId="663D5A2A" w:rsidR="00D01891" w:rsidRPr="00E933C2" w:rsidRDefault="00D57E60" w:rsidP="00E933C2">
      <w:pPr>
        <w:tabs>
          <w:tab w:val="left" w:pos="10206"/>
        </w:tabs>
        <w:ind w:left="1134" w:right="1134"/>
        <w:rPr>
          <w:rFonts w:eastAsia="Times New Roman"/>
          <w:b/>
          <w:bCs/>
          <w:color w:val="5B518E"/>
          <w:lang w:eastAsia="en-GB" w:bidi="ar-SA"/>
        </w:rPr>
      </w:pPr>
      <w:r w:rsidRPr="00E933C2">
        <w:rPr>
          <w:rFonts w:eastAsia="Times New Roman"/>
          <w:b/>
          <w:bCs/>
          <w:color w:val="5B518E"/>
          <w:lang w:eastAsia="en-GB" w:bidi="ar-SA"/>
        </w:rPr>
        <w:t>ACTION</w:t>
      </w:r>
    </w:p>
    <w:p w14:paraId="58DCDEE8" w14:textId="6CB5F223" w:rsidR="3C1BBFB4" w:rsidRDefault="3C1BBFB4" w:rsidP="3C1BBFB4">
      <w:pPr>
        <w:pStyle w:val="BodyText"/>
        <w:spacing w:before="11"/>
        <w:ind w:left="1134" w:right="1134"/>
        <w:rPr>
          <w:b/>
          <w:bCs/>
        </w:rPr>
      </w:pPr>
    </w:p>
    <w:p w14:paraId="0B0B677C" w14:textId="13070060" w:rsidR="00D01891" w:rsidRPr="00907E6A" w:rsidRDefault="00D57E60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ind w:left="1134" w:right="1134" w:firstLine="0"/>
      </w:pPr>
      <w:r w:rsidRPr="00907E6A">
        <w:t>Remuneration</w:t>
      </w:r>
      <w:r w:rsidR="00E933C2">
        <w:br/>
      </w:r>
    </w:p>
    <w:p w14:paraId="4146B0BA" w14:textId="77777777" w:rsidR="002A54F7" w:rsidRPr="002A54F7" w:rsidRDefault="01E3182D" w:rsidP="00FD20FD">
      <w:pPr>
        <w:pStyle w:val="ListParagraph"/>
        <w:numPr>
          <w:ilvl w:val="1"/>
          <w:numId w:val="1"/>
        </w:numPr>
        <w:tabs>
          <w:tab w:val="left" w:pos="1560"/>
          <w:tab w:val="left" w:pos="10206"/>
        </w:tabs>
        <w:ind w:left="1701" w:right="1134" w:hanging="283"/>
        <w:rPr>
          <w:b/>
          <w:bCs/>
        </w:rPr>
      </w:pPr>
      <w:r>
        <w:t>2020/21 contract sum forecast out-turn</w:t>
      </w:r>
      <w:r w:rsidRPr="01E3182D">
        <w:rPr>
          <w:color w:val="0000FF"/>
        </w:rPr>
        <w:t xml:space="preserve"> </w:t>
      </w:r>
    </w:p>
    <w:p w14:paraId="735200F3" w14:textId="6C74FDD0" w:rsidR="007E2E7E" w:rsidRDefault="00550290" w:rsidP="002A54F7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  <w:r>
        <w:rPr>
          <w:rFonts w:eastAsia="Times New Roman"/>
          <w:lang w:eastAsia="en-GB" w:bidi="ar-SA"/>
        </w:rPr>
        <w:t>The</w:t>
      </w:r>
      <w:r w:rsidR="00C75B78">
        <w:rPr>
          <w:rFonts w:eastAsia="Times New Roman"/>
          <w:lang w:eastAsia="en-GB" w:bidi="ar-SA"/>
        </w:rPr>
        <w:t xml:space="preserve"> </w:t>
      </w:r>
      <w:r w:rsidR="00097952">
        <w:rPr>
          <w:rFonts w:eastAsia="Times New Roman"/>
          <w:lang w:eastAsia="en-GB" w:bidi="ar-SA"/>
        </w:rPr>
        <w:t xml:space="preserve">latest </w:t>
      </w:r>
      <w:r w:rsidR="00C75B78">
        <w:rPr>
          <w:rFonts w:eastAsia="Times New Roman"/>
          <w:lang w:eastAsia="en-GB" w:bidi="ar-SA"/>
        </w:rPr>
        <w:t xml:space="preserve">projected volume outturn for 20/21 is </w:t>
      </w:r>
      <w:r w:rsidR="00150E01">
        <w:rPr>
          <w:rFonts w:eastAsia="Times New Roman"/>
          <w:lang w:eastAsia="en-GB" w:bidi="ar-SA"/>
        </w:rPr>
        <w:t>significantly lower than the previous year</w:t>
      </w:r>
      <w:r w:rsidR="00986841">
        <w:rPr>
          <w:rFonts w:eastAsia="Times New Roman"/>
          <w:lang w:eastAsia="en-GB" w:bidi="ar-SA"/>
        </w:rPr>
        <w:t>.</w:t>
      </w:r>
      <w:r w:rsidR="00C67A6A">
        <w:rPr>
          <w:rFonts w:eastAsia="Times New Roman"/>
          <w:lang w:eastAsia="en-GB" w:bidi="ar-SA"/>
        </w:rPr>
        <w:br/>
      </w:r>
      <w:r w:rsidR="00C67A6A">
        <w:rPr>
          <w:rFonts w:eastAsia="Times New Roman"/>
          <w:lang w:eastAsia="en-GB" w:bidi="ar-SA"/>
        </w:rPr>
        <w:br/>
        <w:t>A c</w:t>
      </w:r>
      <w:r w:rsidR="007E2E7E">
        <w:rPr>
          <w:rFonts w:eastAsia="Times New Roman"/>
          <w:lang w:eastAsia="en-GB" w:bidi="ar-SA"/>
        </w:rPr>
        <w:t>onsequence of this low outturn is that we would not receive any benefit from the ring fenced £24m HMT funding that was put aside to cover vol increase due to C-19.</w:t>
      </w:r>
    </w:p>
    <w:p w14:paraId="62DE144B" w14:textId="77777777" w:rsidR="007E2E7E" w:rsidRDefault="007E2E7E" w:rsidP="002A54F7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</w:p>
    <w:p w14:paraId="7869BFDD" w14:textId="77777777" w:rsidR="005F0B0B" w:rsidRDefault="00C2723E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 xml:space="preserve">Volumes for existing services (MUR, NMS etc) appear </w:t>
      </w:r>
      <w:r w:rsidR="00C9235E">
        <w:t>stable wi</w:t>
      </w:r>
      <w:r w:rsidR="00835CD4">
        <w:t>th previous expectations. New services are harder to project as we have little data to go on</w:t>
      </w:r>
      <w:r w:rsidR="00564506">
        <w:t xml:space="preserve"> but </w:t>
      </w:r>
      <w:r w:rsidR="00DC1720">
        <w:t>currently included in outturn forecast at £12m.</w:t>
      </w:r>
    </w:p>
    <w:p w14:paraId="71EE23B0" w14:textId="77777777" w:rsidR="005F0B0B" w:rsidRDefault="005F0B0B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2B7A028F" w14:textId="77777777" w:rsidR="004F19B0" w:rsidRDefault="005F0B0B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 xml:space="preserve">The overall outturn projection is for a </w:t>
      </w:r>
      <w:r w:rsidR="0048603D">
        <w:t>shortfall of approx. £28m in year.</w:t>
      </w:r>
    </w:p>
    <w:p w14:paraId="40E19A64" w14:textId="77777777" w:rsidR="004F19B0" w:rsidRDefault="004F19B0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46908448" w14:textId="19F742DF" w:rsidR="00114D17" w:rsidRDefault="4FA30A82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>A committee member noted that based on their own data they felt the outturn may be even lower than</w:t>
      </w:r>
      <w:r w:rsidR="682AE864">
        <w:t xml:space="preserve"> we have projected, especially January</w:t>
      </w:r>
      <w:r w:rsidR="13B62C38">
        <w:t>,</w:t>
      </w:r>
      <w:r w:rsidR="6DDF3D4D">
        <w:t xml:space="preserve"> so the shortfall could be </w:t>
      </w:r>
      <w:r w:rsidR="703464CE">
        <w:t>up to £40m.</w:t>
      </w:r>
    </w:p>
    <w:p w14:paraId="08F56E2D" w14:textId="77777777" w:rsidR="00114D17" w:rsidRDefault="00114D17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26987998" w14:textId="173353D4" w:rsidR="007C012F" w:rsidRDefault="3E350440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 xml:space="preserve">It was noted that there is a significant difference in the number of items for August this year and last year – we understand that </w:t>
      </w:r>
      <w:r w:rsidR="22860D23">
        <w:t>month</w:t>
      </w:r>
      <w:r w:rsidR="036F1698">
        <w:t>ly volume</w:t>
      </w:r>
      <w:r w:rsidR="22860D23">
        <w:t xml:space="preserve">s can fluctuate </w:t>
      </w:r>
      <w:r w:rsidR="1A784D8F">
        <w:t xml:space="preserve">and so work on a </w:t>
      </w:r>
      <w:r w:rsidR="22860D23">
        <w:t xml:space="preserve">dispensing day </w:t>
      </w:r>
      <w:r w:rsidR="6DDE3D8C">
        <w:t>basis</w:t>
      </w:r>
      <w:r w:rsidR="6A0A2449">
        <w:t>.</w:t>
      </w:r>
    </w:p>
    <w:p w14:paraId="65A68E0E" w14:textId="77777777" w:rsidR="007C012F" w:rsidRDefault="007C012F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1620C7BE" w14:textId="7F247E44" w:rsidR="00786E58" w:rsidRDefault="497CCB00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>T</w:t>
      </w:r>
      <w:r w:rsidR="004636C6">
        <w:t xml:space="preserve">he total </w:t>
      </w:r>
      <w:proofErr w:type="gramStart"/>
      <w:r w:rsidR="004636C6">
        <w:t>spend</w:t>
      </w:r>
      <w:proofErr w:type="gramEnd"/>
      <w:r w:rsidR="004636C6">
        <w:t xml:space="preserve"> for SSPs and AURs is extremely low so in the table they round to £0m.</w:t>
      </w:r>
    </w:p>
    <w:p w14:paraId="2435594A" w14:textId="77777777" w:rsidR="00786E58" w:rsidRDefault="00786E58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52373664" w14:textId="692F81B4" w:rsidR="00797EC1" w:rsidRDefault="01FEF50E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lastRenderedPageBreak/>
        <w:t xml:space="preserve">It was noted that GPs may be prescribing less </w:t>
      </w:r>
      <w:r w:rsidR="179B12A3">
        <w:t xml:space="preserve">currently </w:t>
      </w:r>
      <w:r>
        <w:t xml:space="preserve">due to seeing less patients and doing other things such as vaccinations – if pharmacy </w:t>
      </w:r>
      <w:r w:rsidR="7C611717">
        <w:t xml:space="preserve">starts taking on the vaccination </w:t>
      </w:r>
      <w:proofErr w:type="gramStart"/>
      <w:r w:rsidR="7C611717">
        <w:t>burden</w:t>
      </w:r>
      <w:proofErr w:type="gramEnd"/>
      <w:r w:rsidR="7C611717">
        <w:t xml:space="preserve"> then may also lead to a reversal in prescribing decline.</w:t>
      </w:r>
    </w:p>
    <w:p w14:paraId="314ADA5D" w14:textId="77777777" w:rsidR="00797EC1" w:rsidRDefault="00797EC1" w:rsidP="002A54F7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32801C33" w14:textId="40BAEA9C" w:rsidR="3DF12900" w:rsidRDefault="3DF12900" w:rsidP="346DBE52">
      <w:pPr>
        <w:pStyle w:val="ListParagraph"/>
        <w:tabs>
          <w:tab w:val="left" w:pos="1560"/>
          <w:tab w:val="left" w:pos="10206"/>
        </w:tabs>
        <w:ind w:left="1701" w:right="1134" w:firstLine="0"/>
      </w:pPr>
      <w:r>
        <w:t>NT have discussed the potential shortfall in CPCF funding delivery including the extent to which we think it is real and what po</w:t>
      </w:r>
      <w:r w:rsidR="5C21A74E">
        <w:t xml:space="preserve">ssible </w:t>
      </w:r>
      <w:r>
        <w:t>mitigation we should seek.</w:t>
      </w:r>
      <w:r w:rsidR="502312A3">
        <w:t xml:space="preserve"> NHS’ desire to separate fee and service reconciliations was highlighted.</w:t>
      </w:r>
    </w:p>
    <w:p w14:paraId="7A1D4E00" w14:textId="2F7883AB" w:rsidR="346DBE52" w:rsidRDefault="346DBE52" w:rsidP="346DBE52">
      <w:pPr>
        <w:pStyle w:val="ListParagraph"/>
        <w:tabs>
          <w:tab w:val="left" w:pos="1560"/>
          <w:tab w:val="left" w:pos="10206"/>
        </w:tabs>
        <w:ind w:left="1701" w:right="1134" w:firstLine="0"/>
      </w:pPr>
    </w:p>
    <w:p w14:paraId="7017DA2C" w14:textId="47602EC9" w:rsidR="00D04BEE" w:rsidRDefault="00D04BEE" w:rsidP="002A54F7">
      <w:pPr>
        <w:pStyle w:val="ListParagraph"/>
        <w:tabs>
          <w:tab w:val="left" w:pos="1560"/>
          <w:tab w:val="left" w:pos="10206"/>
        </w:tabs>
        <w:ind w:left="1701" w:right="1134" w:firstLine="0"/>
        <w:rPr>
          <w:b/>
          <w:bCs/>
        </w:rPr>
      </w:pPr>
    </w:p>
    <w:p w14:paraId="3CA79662" w14:textId="55148D81" w:rsidR="00B610F3" w:rsidRPr="00FA7936" w:rsidRDefault="01E3182D" w:rsidP="346DBE52">
      <w:pPr>
        <w:pStyle w:val="ListParagraph"/>
        <w:numPr>
          <w:ilvl w:val="1"/>
          <w:numId w:val="1"/>
        </w:numPr>
        <w:tabs>
          <w:tab w:val="left" w:pos="1560"/>
          <w:tab w:val="left" w:pos="10206"/>
        </w:tabs>
        <w:ind w:left="1701" w:right="1134" w:hanging="283"/>
        <w:rPr>
          <w:rFonts w:asciiTheme="minorHAnsi" w:eastAsiaTheme="minorEastAsia" w:hAnsiTheme="minorHAnsi" w:cstheme="minorBidi"/>
          <w:b/>
          <w:bCs/>
        </w:rPr>
      </w:pPr>
      <w:r w:rsidRPr="346DBE52">
        <w:rPr>
          <w:rFonts w:eastAsia="Times New Roman"/>
          <w:lang w:eastAsia="en-GB" w:bidi="ar-SA"/>
        </w:rPr>
        <w:t xml:space="preserve">C-19 operating cost survey </w:t>
      </w:r>
      <w:r>
        <w:br/>
      </w:r>
      <w:r w:rsidR="00BD566F" w:rsidRPr="346DBE52">
        <w:rPr>
          <w:rFonts w:eastAsia="Times New Roman"/>
          <w:lang w:eastAsia="en-GB" w:bidi="ar-SA"/>
        </w:rPr>
        <w:t xml:space="preserve">The </w:t>
      </w:r>
      <w:r w:rsidR="007E39D7" w:rsidRPr="346DBE52">
        <w:rPr>
          <w:rFonts w:eastAsia="Times New Roman"/>
          <w:lang w:eastAsia="en-GB" w:bidi="ar-SA"/>
        </w:rPr>
        <w:t>overall impact table to the end of November</w:t>
      </w:r>
      <w:r w:rsidR="08DF08D8" w:rsidRPr="346DBE52">
        <w:rPr>
          <w:rFonts w:eastAsia="Times New Roman"/>
          <w:lang w:eastAsia="en-GB" w:bidi="ar-SA"/>
        </w:rPr>
        <w:t xml:space="preserve"> </w:t>
      </w:r>
      <w:r w:rsidR="00915493" w:rsidRPr="346DBE52">
        <w:rPr>
          <w:rFonts w:eastAsia="Times New Roman"/>
          <w:lang w:eastAsia="en-GB" w:bidi="ar-SA"/>
        </w:rPr>
        <w:t>was noted</w:t>
      </w:r>
      <w:r w:rsidR="005B19BD" w:rsidRPr="346DBE52">
        <w:rPr>
          <w:rFonts w:eastAsia="Times New Roman"/>
          <w:lang w:eastAsia="en-GB" w:bidi="ar-SA"/>
        </w:rPr>
        <w:t xml:space="preserve"> </w:t>
      </w:r>
      <w:r w:rsidR="6B1D5333" w:rsidRPr="346DBE52">
        <w:rPr>
          <w:rFonts w:eastAsia="Times New Roman"/>
          <w:lang w:eastAsia="en-GB" w:bidi="ar-SA"/>
        </w:rPr>
        <w:t xml:space="preserve">by the subcommittee. </w:t>
      </w:r>
      <w:r w:rsidR="00A349A7" w:rsidRPr="346DBE52">
        <w:rPr>
          <w:rFonts w:eastAsia="Times New Roman"/>
          <w:lang w:eastAsia="en-GB" w:bidi="ar-SA"/>
        </w:rPr>
        <w:t xml:space="preserve">The </w:t>
      </w:r>
      <w:r w:rsidR="00DD338F" w:rsidRPr="346DBE52">
        <w:rPr>
          <w:rFonts w:eastAsia="Times New Roman"/>
          <w:lang w:eastAsia="en-GB" w:bidi="ar-SA"/>
        </w:rPr>
        <w:t xml:space="preserve">financial </w:t>
      </w:r>
      <w:r w:rsidR="00A349A7" w:rsidRPr="346DBE52">
        <w:rPr>
          <w:rFonts w:eastAsia="Times New Roman"/>
          <w:lang w:eastAsia="en-GB" w:bidi="ar-SA"/>
        </w:rPr>
        <w:t xml:space="preserve">impact </w:t>
      </w:r>
      <w:r w:rsidR="00DD338F" w:rsidRPr="346DBE52">
        <w:rPr>
          <w:rFonts w:eastAsia="Times New Roman"/>
          <w:lang w:eastAsia="en-GB" w:bidi="ar-SA"/>
        </w:rPr>
        <w:t>of</w:t>
      </w:r>
      <w:r w:rsidR="00A349A7" w:rsidRPr="346DBE52">
        <w:rPr>
          <w:rFonts w:eastAsia="Times New Roman"/>
          <w:lang w:eastAsia="en-GB" w:bidi="ar-SA"/>
        </w:rPr>
        <w:t xml:space="preserve"> the second </w:t>
      </w:r>
      <w:r w:rsidR="00F42369" w:rsidRPr="346DBE52">
        <w:rPr>
          <w:rFonts w:eastAsia="Times New Roman"/>
          <w:lang w:eastAsia="en-GB" w:bidi="ar-SA"/>
        </w:rPr>
        <w:t xml:space="preserve">peak was </w:t>
      </w:r>
      <w:r w:rsidR="003D3155" w:rsidRPr="346DBE52">
        <w:rPr>
          <w:rFonts w:eastAsia="Times New Roman"/>
          <w:lang w:eastAsia="en-GB" w:bidi="ar-SA"/>
        </w:rPr>
        <w:t>(</w:t>
      </w:r>
      <w:r w:rsidR="00DD338F" w:rsidRPr="346DBE52">
        <w:rPr>
          <w:rFonts w:eastAsia="Times New Roman"/>
          <w:lang w:eastAsia="en-GB" w:bidi="ar-SA"/>
        </w:rPr>
        <w:t>so far</w:t>
      </w:r>
      <w:r w:rsidR="003D3155" w:rsidRPr="346DBE52">
        <w:rPr>
          <w:rFonts w:eastAsia="Times New Roman"/>
          <w:lang w:eastAsia="en-GB" w:bidi="ar-SA"/>
        </w:rPr>
        <w:t>)</w:t>
      </w:r>
      <w:r w:rsidR="00DD338F" w:rsidRPr="346DBE52">
        <w:rPr>
          <w:rFonts w:eastAsia="Times New Roman"/>
          <w:lang w:eastAsia="en-GB" w:bidi="ar-SA"/>
        </w:rPr>
        <w:t xml:space="preserve"> much lower</w:t>
      </w:r>
      <w:r w:rsidR="00FA7936" w:rsidRPr="346DBE52">
        <w:rPr>
          <w:rFonts w:eastAsia="Times New Roman"/>
          <w:lang w:eastAsia="en-GB" w:bidi="ar-SA"/>
        </w:rPr>
        <w:t xml:space="preserve"> when compared to the </w:t>
      </w:r>
      <w:r w:rsidR="00B422D3" w:rsidRPr="346DBE52">
        <w:rPr>
          <w:rFonts w:eastAsia="Times New Roman"/>
          <w:lang w:eastAsia="en-GB" w:bidi="ar-SA"/>
        </w:rPr>
        <w:t>first peak</w:t>
      </w:r>
      <w:r w:rsidR="00DD338F" w:rsidRPr="346DBE52">
        <w:rPr>
          <w:rFonts w:eastAsia="Times New Roman"/>
          <w:lang w:eastAsia="en-GB" w:bidi="ar-SA"/>
        </w:rPr>
        <w:t xml:space="preserve">, although the ongoing run rate of £15m per month </w:t>
      </w:r>
      <w:r w:rsidR="00671CE9" w:rsidRPr="346DBE52">
        <w:rPr>
          <w:rFonts w:eastAsia="Times New Roman"/>
          <w:lang w:eastAsia="en-GB" w:bidi="ar-SA"/>
        </w:rPr>
        <w:t xml:space="preserve">is </w:t>
      </w:r>
      <w:r w:rsidR="008F0A5C" w:rsidRPr="346DBE52">
        <w:rPr>
          <w:rFonts w:eastAsia="Times New Roman"/>
          <w:lang w:eastAsia="en-GB" w:bidi="ar-SA"/>
        </w:rPr>
        <w:t xml:space="preserve">significant in the context of the </w:t>
      </w:r>
      <w:r w:rsidR="00B610F3" w:rsidRPr="346DBE52">
        <w:rPr>
          <w:rFonts w:eastAsia="Times New Roman"/>
          <w:lang w:eastAsia="en-GB" w:bidi="ar-SA"/>
        </w:rPr>
        <w:t>annual £2.592bn funding.</w:t>
      </w:r>
    </w:p>
    <w:p w14:paraId="332C75C8" w14:textId="77777777" w:rsidR="00FA7936" w:rsidRPr="00B610F3" w:rsidRDefault="00FA7936" w:rsidP="00B422D3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asciiTheme="minorHAnsi" w:eastAsiaTheme="minorEastAsia" w:hAnsiTheme="minorHAnsi" w:cstheme="minorBidi"/>
          <w:b/>
          <w:bCs/>
        </w:rPr>
      </w:pPr>
    </w:p>
    <w:p w14:paraId="1D7963A7" w14:textId="6E8D93AA" w:rsidR="003C30FE" w:rsidRDefault="683901E5" w:rsidP="28C543B8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December figures were shared, as these had just been </w:t>
      </w:r>
      <w:r w:rsidR="0F8B037D" w:rsidRPr="28C543B8">
        <w:rPr>
          <w:rFonts w:eastAsia="Times New Roman"/>
          <w:lang w:eastAsia="en-GB" w:bidi="ar-SA"/>
        </w:rPr>
        <w:t xml:space="preserve">finalised and </w:t>
      </w:r>
      <w:r w:rsidR="3FC8BAE3" w:rsidRPr="28C543B8">
        <w:rPr>
          <w:rFonts w:eastAsia="Times New Roman"/>
          <w:lang w:eastAsia="en-GB" w:bidi="ar-SA"/>
        </w:rPr>
        <w:t xml:space="preserve">totalled £15.1m for the month. The mix had changed, with ~90% of the impact being transferred costs </w:t>
      </w:r>
      <w:proofErr w:type="gramStart"/>
      <w:r w:rsidR="3FC8BAE3" w:rsidRPr="28C543B8">
        <w:rPr>
          <w:rFonts w:eastAsia="Times New Roman"/>
          <w:lang w:eastAsia="en-GB" w:bidi="ar-SA"/>
        </w:rPr>
        <w:t>as a result of</w:t>
      </w:r>
      <w:proofErr w:type="gramEnd"/>
      <w:r w:rsidR="3FC8BAE3" w:rsidRPr="28C543B8">
        <w:rPr>
          <w:rFonts w:eastAsia="Times New Roman"/>
          <w:lang w:eastAsia="en-GB" w:bidi="ar-SA"/>
        </w:rPr>
        <w:t xml:space="preserve"> reduced OTC and LES activity </w:t>
      </w:r>
      <w:r w:rsidR="463B5356" w:rsidRPr="28C543B8">
        <w:rPr>
          <w:rFonts w:eastAsia="Times New Roman"/>
          <w:lang w:eastAsia="en-GB" w:bidi="ar-SA"/>
        </w:rPr>
        <w:t xml:space="preserve">meaning the need to spend </w:t>
      </w:r>
      <w:r w:rsidR="2D515D4E" w:rsidRPr="28C543B8">
        <w:rPr>
          <w:rFonts w:eastAsia="Times New Roman"/>
          <w:lang w:eastAsia="en-GB" w:bidi="ar-SA"/>
        </w:rPr>
        <w:t xml:space="preserve">directly </w:t>
      </w:r>
      <w:r w:rsidR="7BB1E347" w:rsidRPr="28C543B8">
        <w:rPr>
          <w:rFonts w:eastAsia="Times New Roman"/>
          <w:lang w:eastAsia="en-GB" w:bidi="ar-SA"/>
        </w:rPr>
        <w:t xml:space="preserve">on staff </w:t>
      </w:r>
      <w:r w:rsidR="463B5356" w:rsidRPr="28C543B8">
        <w:rPr>
          <w:rFonts w:eastAsia="Times New Roman"/>
          <w:lang w:eastAsia="en-GB" w:bidi="ar-SA"/>
        </w:rPr>
        <w:t>was dampened.</w:t>
      </w:r>
      <w:r w:rsidR="7BB1E347" w:rsidRPr="28C543B8">
        <w:rPr>
          <w:rFonts w:eastAsia="Times New Roman"/>
          <w:lang w:eastAsia="en-GB" w:bidi="ar-SA"/>
        </w:rPr>
        <w:t xml:space="preserve"> </w:t>
      </w:r>
    </w:p>
    <w:p w14:paraId="38C3FFCD" w14:textId="58DFF33D" w:rsidR="003C30FE" w:rsidRDefault="003C30FE" w:rsidP="28C543B8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</w:p>
    <w:p w14:paraId="499B5E69" w14:textId="26E68334" w:rsidR="003C30FE" w:rsidRDefault="3A525B05" w:rsidP="00B610F3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>Incremental n</w:t>
      </w:r>
      <w:r w:rsidR="7BB1E347" w:rsidRPr="28C543B8">
        <w:rPr>
          <w:rFonts w:eastAsia="Times New Roman"/>
          <w:lang w:eastAsia="en-GB" w:bidi="ar-SA"/>
        </w:rPr>
        <w:t xml:space="preserve">on-staff costs </w:t>
      </w:r>
      <w:r w:rsidR="7E070C5F" w:rsidRPr="28C543B8">
        <w:rPr>
          <w:rFonts w:eastAsia="Times New Roman"/>
          <w:lang w:eastAsia="en-GB" w:bidi="ar-SA"/>
        </w:rPr>
        <w:t xml:space="preserve">are </w:t>
      </w:r>
      <w:r w:rsidR="67CD3941" w:rsidRPr="28C543B8">
        <w:rPr>
          <w:rFonts w:eastAsia="Times New Roman"/>
          <w:lang w:eastAsia="en-GB" w:bidi="ar-SA"/>
        </w:rPr>
        <w:t xml:space="preserve">also </w:t>
      </w:r>
      <w:r w:rsidR="7E070C5F" w:rsidRPr="28C543B8">
        <w:rPr>
          <w:rFonts w:eastAsia="Times New Roman"/>
          <w:lang w:eastAsia="en-GB" w:bidi="ar-SA"/>
        </w:rPr>
        <w:t>relatively low, primarily as PPE</w:t>
      </w:r>
      <w:r w:rsidR="71D631F5" w:rsidRPr="28C543B8">
        <w:rPr>
          <w:rFonts w:eastAsia="Times New Roman"/>
          <w:lang w:eastAsia="en-GB" w:bidi="ar-SA"/>
        </w:rPr>
        <w:t xml:space="preserve"> </w:t>
      </w:r>
      <w:r w:rsidR="7F3344F0" w:rsidRPr="28C543B8">
        <w:rPr>
          <w:rFonts w:eastAsia="Times New Roman"/>
          <w:lang w:eastAsia="en-GB" w:bidi="ar-SA"/>
        </w:rPr>
        <w:t>i</w:t>
      </w:r>
      <w:r w:rsidR="71D631F5" w:rsidRPr="28C543B8">
        <w:rPr>
          <w:rFonts w:eastAsia="Times New Roman"/>
          <w:lang w:eastAsia="en-GB" w:bidi="ar-SA"/>
        </w:rPr>
        <w:t xml:space="preserve">s increasingly provided </w:t>
      </w:r>
      <w:r w:rsidR="7F3344F0" w:rsidRPr="28C543B8">
        <w:rPr>
          <w:rFonts w:eastAsia="Times New Roman"/>
          <w:lang w:eastAsia="en-GB" w:bidi="ar-SA"/>
        </w:rPr>
        <w:t>through</w:t>
      </w:r>
      <w:r w:rsidR="71D631F5" w:rsidRPr="28C543B8">
        <w:rPr>
          <w:rFonts w:eastAsia="Times New Roman"/>
          <w:lang w:eastAsia="en-GB" w:bidi="ar-SA"/>
        </w:rPr>
        <w:t xml:space="preserve"> the portal to many respondents.</w:t>
      </w:r>
    </w:p>
    <w:p w14:paraId="52CDD2F6" w14:textId="77777777" w:rsidR="003C30FE" w:rsidRDefault="003C30FE" w:rsidP="00B610F3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</w:p>
    <w:p w14:paraId="4B51C80B" w14:textId="1255543B" w:rsidR="00B610F3" w:rsidRDefault="560DA2FD" w:rsidP="00B610F3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In questions the building of </w:t>
      </w:r>
      <w:r w:rsidR="0F5BB106" w:rsidRPr="28C543B8">
        <w:rPr>
          <w:rFonts w:eastAsia="Times New Roman"/>
          <w:lang w:eastAsia="en-GB" w:bidi="ar-SA"/>
        </w:rPr>
        <w:t xml:space="preserve">cost in untaken staff holidays was highlighted. This is within the ‘non capture recognition’ and </w:t>
      </w:r>
      <w:r w:rsidR="48931122" w:rsidRPr="28C543B8">
        <w:rPr>
          <w:rFonts w:eastAsia="Times New Roman"/>
          <w:lang w:eastAsia="en-GB" w:bidi="ar-SA"/>
        </w:rPr>
        <w:t xml:space="preserve">has been highlighted to DHSC as a major </w:t>
      </w:r>
      <w:r w:rsidR="6195F154" w:rsidRPr="28C543B8">
        <w:rPr>
          <w:rFonts w:eastAsia="Times New Roman"/>
          <w:lang w:eastAsia="en-GB" w:bidi="ar-SA"/>
        </w:rPr>
        <w:t>concern</w:t>
      </w:r>
      <w:r w:rsidR="48931122" w:rsidRPr="28C543B8">
        <w:rPr>
          <w:rFonts w:eastAsia="Times New Roman"/>
          <w:lang w:eastAsia="en-GB" w:bidi="ar-SA"/>
        </w:rPr>
        <w:t xml:space="preserve">. </w:t>
      </w:r>
    </w:p>
    <w:p w14:paraId="71933903" w14:textId="0440F709" w:rsidR="00D04BEE" w:rsidRPr="006769B3" w:rsidRDefault="006769B3" w:rsidP="00B610F3">
      <w:pPr>
        <w:pStyle w:val="ListParagraph"/>
        <w:tabs>
          <w:tab w:val="left" w:pos="1560"/>
          <w:tab w:val="left" w:pos="10206"/>
        </w:tabs>
        <w:ind w:left="1701" w:right="1134" w:firstLine="0"/>
        <w:rPr>
          <w:rFonts w:asciiTheme="minorHAnsi" w:eastAsiaTheme="minorEastAsia" w:hAnsiTheme="minorHAnsi" w:cstheme="minorBidi"/>
          <w:b/>
          <w:bCs/>
        </w:rPr>
      </w:pPr>
      <w:r>
        <w:rPr>
          <w:rFonts w:eastAsia="Times New Roman"/>
          <w:lang w:eastAsia="en-GB" w:bidi="ar-SA"/>
        </w:rPr>
        <w:br/>
      </w:r>
    </w:p>
    <w:p w14:paraId="0EA34D5F" w14:textId="68CF76C2" w:rsidR="006769B3" w:rsidRPr="006769B3" w:rsidRDefault="0D17A3C8" w:rsidP="28C543B8">
      <w:pPr>
        <w:pStyle w:val="ListParagraph"/>
        <w:numPr>
          <w:ilvl w:val="1"/>
          <w:numId w:val="1"/>
        </w:numPr>
        <w:ind w:left="1701" w:right="1134" w:hanging="283"/>
        <w:rPr>
          <w:rFonts w:asciiTheme="minorHAnsi" w:eastAsiaTheme="minorEastAsia" w:hAnsiTheme="minorHAnsi" w:cstheme="minorBidi"/>
          <w:b/>
          <w:bCs/>
          <w:color w:val="0000FF"/>
        </w:rPr>
      </w:pPr>
      <w:r w:rsidRPr="28C543B8">
        <w:rPr>
          <w:rFonts w:eastAsia="Times New Roman"/>
          <w:lang w:eastAsia="en-GB" w:bidi="ar-SA"/>
        </w:rPr>
        <w:t>C-19 primary care contractors’ payments</w:t>
      </w:r>
      <w:r w:rsidR="006769B3">
        <w:br/>
      </w:r>
      <w:r w:rsidR="2496A535" w:rsidRPr="28C543B8">
        <w:rPr>
          <w:rFonts w:eastAsia="Times New Roman"/>
          <w:lang w:eastAsia="en-GB" w:bidi="ar-SA"/>
        </w:rPr>
        <w:t xml:space="preserve">The information was </w:t>
      </w:r>
      <w:r w:rsidR="3425B3DB" w:rsidRPr="28C543B8">
        <w:rPr>
          <w:rFonts w:eastAsia="Times New Roman"/>
          <w:lang w:eastAsia="en-GB" w:bidi="ar-SA"/>
        </w:rPr>
        <w:t>noted and</w:t>
      </w:r>
      <w:r w:rsidR="59A5A427" w:rsidRPr="28C543B8">
        <w:rPr>
          <w:rFonts w:eastAsia="Times New Roman"/>
          <w:lang w:eastAsia="en-GB" w:bidi="ar-SA"/>
        </w:rPr>
        <w:t xml:space="preserve"> </w:t>
      </w:r>
      <w:r w:rsidR="55093663" w:rsidRPr="28C543B8">
        <w:rPr>
          <w:rFonts w:eastAsia="Times New Roman"/>
          <w:lang w:eastAsia="en-GB" w:bidi="ar-SA"/>
        </w:rPr>
        <w:t>will</w:t>
      </w:r>
      <w:r w:rsidR="59A5A427" w:rsidRPr="28C543B8">
        <w:rPr>
          <w:rFonts w:eastAsia="Times New Roman"/>
          <w:lang w:eastAsia="en-GB" w:bidi="ar-SA"/>
        </w:rPr>
        <w:t xml:space="preserve"> be updated for each </w:t>
      </w:r>
      <w:proofErr w:type="spellStart"/>
      <w:r w:rsidR="59A5A427" w:rsidRPr="28C543B8">
        <w:rPr>
          <w:rFonts w:eastAsia="Times New Roman"/>
          <w:lang w:eastAsia="en-GB" w:bidi="ar-SA"/>
        </w:rPr>
        <w:t>Fun</w:t>
      </w:r>
      <w:r w:rsidR="7474DE83" w:rsidRPr="28C543B8">
        <w:rPr>
          <w:rFonts w:eastAsia="Times New Roman"/>
          <w:lang w:eastAsia="en-GB" w:bidi="ar-SA"/>
        </w:rPr>
        <w:t>C</w:t>
      </w:r>
      <w:r w:rsidR="59A5A427" w:rsidRPr="28C543B8">
        <w:rPr>
          <w:rFonts w:eastAsia="Times New Roman"/>
          <w:lang w:eastAsia="en-GB" w:bidi="ar-SA"/>
        </w:rPr>
        <w:t>on</w:t>
      </w:r>
      <w:proofErr w:type="spellEnd"/>
      <w:r w:rsidR="59A5A427" w:rsidRPr="28C543B8">
        <w:rPr>
          <w:rFonts w:eastAsia="Times New Roman"/>
          <w:lang w:eastAsia="en-GB" w:bidi="ar-SA"/>
        </w:rPr>
        <w:t xml:space="preserve"> on an ongoing basis to </w:t>
      </w:r>
      <w:r w:rsidR="0E871ACB" w:rsidRPr="28C543B8">
        <w:rPr>
          <w:rFonts w:eastAsia="Times New Roman"/>
          <w:lang w:eastAsia="en-GB" w:bidi="ar-SA"/>
        </w:rPr>
        <w:t xml:space="preserve">provide background for </w:t>
      </w:r>
      <w:r w:rsidR="00589B09" w:rsidRPr="28C543B8">
        <w:rPr>
          <w:rFonts w:eastAsia="Times New Roman"/>
          <w:lang w:eastAsia="en-GB" w:bidi="ar-SA"/>
        </w:rPr>
        <w:t>negotiations.</w:t>
      </w:r>
    </w:p>
    <w:p w14:paraId="466E0CB4" w14:textId="45890243" w:rsidR="28C543B8" w:rsidRDefault="28C543B8" w:rsidP="28C543B8">
      <w:pPr>
        <w:ind w:left="1058" w:right="1134"/>
        <w:rPr>
          <w:rFonts w:eastAsia="Times New Roman"/>
          <w:lang w:eastAsia="en-GB" w:bidi="ar-SA"/>
        </w:rPr>
      </w:pPr>
    </w:p>
    <w:p w14:paraId="29DBE29F" w14:textId="77777777" w:rsidR="006769B3" w:rsidRPr="006769B3" w:rsidRDefault="006769B3" w:rsidP="006769B3">
      <w:pPr>
        <w:pStyle w:val="ListParagraph"/>
        <w:rPr>
          <w:rFonts w:eastAsia="Times New Roman"/>
          <w:lang w:eastAsia="en-GB" w:bidi="ar-SA"/>
        </w:rPr>
      </w:pPr>
    </w:p>
    <w:p w14:paraId="5F28F393" w14:textId="77777777" w:rsidR="00DA0296" w:rsidRPr="00DA0296" w:rsidRDefault="0D17A3C8" w:rsidP="28C543B8">
      <w:pPr>
        <w:pStyle w:val="ListParagraph"/>
        <w:numPr>
          <w:ilvl w:val="1"/>
          <w:numId w:val="1"/>
        </w:numPr>
        <w:ind w:left="1701" w:right="1134" w:hanging="283"/>
        <w:rPr>
          <w:rFonts w:asciiTheme="minorHAnsi" w:eastAsiaTheme="minorEastAsia" w:hAnsiTheme="minorHAnsi" w:cstheme="minorBidi"/>
          <w:b/>
          <w:bCs/>
          <w:color w:val="0000FF"/>
        </w:rPr>
      </w:pPr>
      <w:r w:rsidRPr="28C543B8">
        <w:rPr>
          <w:rFonts w:eastAsia="Times New Roman"/>
          <w:lang w:eastAsia="en-GB" w:bidi="ar-SA"/>
        </w:rPr>
        <w:t>C-19 home countries’ payments</w:t>
      </w:r>
      <w:r w:rsidR="006769B3">
        <w:br/>
      </w:r>
      <w:r w:rsidR="0BCF8515" w:rsidRPr="28C543B8">
        <w:rPr>
          <w:rFonts w:eastAsia="Times New Roman"/>
          <w:lang w:eastAsia="en-GB" w:bidi="ar-SA"/>
        </w:rPr>
        <w:t>It was noted by Mike that the information presented on Northern Ireland should</w:t>
      </w:r>
      <w:r w:rsidR="529F467B" w:rsidRPr="28C543B8">
        <w:rPr>
          <w:rFonts w:eastAsia="Times New Roman"/>
          <w:lang w:eastAsia="en-GB" w:bidi="ar-SA"/>
        </w:rPr>
        <w:t xml:space="preserve"> b</w:t>
      </w:r>
      <w:r w:rsidR="5681AE90" w:rsidRPr="28C543B8">
        <w:rPr>
          <w:rFonts w:eastAsia="Times New Roman"/>
          <w:lang w:eastAsia="en-GB" w:bidi="ar-SA"/>
        </w:rPr>
        <w:t xml:space="preserve">e considered </w:t>
      </w:r>
      <w:r w:rsidR="4E023FC3" w:rsidRPr="28C543B8">
        <w:rPr>
          <w:rFonts w:eastAsia="Times New Roman"/>
          <w:lang w:eastAsia="en-GB" w:bidi="ar-SA"/>
        </w:rPr>
        <w:t>as WIP and that we will be meeting with CPN to clarify some figures</w:t>
      </w:r>
      <w:r w:rsidR="4F62E2DB" w:rsidRPr="28C543B8">
        <w:rPr>
          <w:rFonts w:eastAsia="Times New Roman"/>
          <w:lang w:eastAsia="en-GB" w:bidi="ar-SA"/>
        </w:rPr>
        <w:t>.</w:t>
      </w:r>
    </w:p>
    <w:p w14:paraId="41152B8A" w14:textId="77777777" w:rsidR="00DA0296" w:rsidRPr="00DA0296" w:rsidRDefault="00DA0296" w:rsidP="00DA0296">
      <w:pPr>
        <w:pStyle w:val="ListParagraph"/>
        <w:rPr>
          <w:rFonts w:asciiTheme="minorHAnsi" w:eastAsiaTheme="minorEastAsia" w:hAnsiTheme="minorHAnsi" w:cstheme="minorBidi"/>
          <w:b/>
          <w:bCs/>
          <w:color w:val="0000FF"/>
        </w:rPr>
      </w:pPr>
    </w:p>
    <w:p w14:paraId="009E31F5" w14:textId="5F3A0CD2" w:rsidR="00A049DE" w:rsidRDefault="2C0A1BC0" w:rsidP="00DA0296">
      <w:pPr>
        <w:pStyle w:val="ListParagraph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>As requested by NT we have also started gathering data on payments per head of population across the 4 home countries.</w:t>
      </w:r>
    </w:p>
    <w:p w14:paraId="257B4F04" w14:textId="77777777" w:rsidR="00A049DE" w:rsidRDefault="00A049DE" w:rsidP="00DA0296">
      <w:pPr>
        <w:pStyle w:val="ListParagraph"/>
        <w:ind w:left="1701" w:right="1134" w:firstLine="0"/>
        <w:rPr>
          <w:rFonts w:eastAsia="Times New Roman"/>
          <w:lang w:eastAsia="en-GB" w:bidi="ar-SA"/>
        </w:rPr>
      </w:pPr>
    </w:p>
    <w:p w14:paraId="17AFA5CC" w14:textId="0EF6671E" w:rsidR="0058042B" w:rsidRDefault="6E24EB44" w:rsidP="00DA0296">
      <w:pPr>
        <w:pStyle w:val="ListParagraph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There were general comments from the </w:t>
      </w:r>
      <w:r w:rsidR="4481952C" w:rsidRPr="28C543B8">
        <w:rPr>
          <w:rFonts w:eastAsia="Times New Roman"/>
          <w:lang w:eastAsia="en-GB" w:bidi="ar-SA"/>
        </w:rPr>
        <w:t>sub</w:t>
      </w:r>
      <w:r w:rsidRPr="28C543B8">
        <w:rPr>
          <w:rFonts w:eastAsia="Times New Roman"/>
          <w:lang w:eastAsia="en-GB" w:bidi="ar-SA"/>
        </w:rPr>
        <w:t>committee that the apparent large gap in funding support between the rest of the home countries and England</w:t>
      </w:r>
      <w:r w:rsidR="0F15F214" w:rsidRPr="28C543B8">
        <w:rPr>
          <w:rFonts w:eastAsia="Times New Roman"/>
          <w:lang w:eastAsia="en-GB" w:bidi="ar-SA"/>
        </w:rPr>
        <w:t xml:space="preserve"> was very concerning.</w:t>
      </w:r>
    </w:p>
    <w:p w14:paraId="4959AD11" w14:textId="77777777" w:rsidR="0058042B" w:rsidRDefault="0058042B" w:rsidP="00DA0296">
      <w:pPr>
        <w:pStyle w:val="ListParagraph"/>
        <w:ind w:left="1701" w:right="1134" w:firstLine="0"/>
        <w:rPr>
          <w:rFonts w:eastAsia="Times New Roman"/>
          <w:lang w:eastAsia="en-GB" w:bidi="ar-SA"/>
        </w:rPr>
      </w:pPr>
    </w:p>
    <w:p w14:paraId="3561D85B" w14:textId="6A05A466" w:rsidR="00C81F78" w:rsidRPr="00A049DE" w:rsidRDefault="3AFB12E9" w:rsidP="003743A5">
      <w:pPr>
        <w:pStyle w:val="ListParagraph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The office was requested to </w:t>
      </w:r>
      <w:r w:rsidR="4C8FFAD5" w:rsidRPr="28C543B8">
        <w:rPr>
          <w:rFonts w:eastAsia="Times New Roman"/>
          <w:lang w:eastAsia="en-GB" w:bidi="ar-SA"/>
        </w:rPr>
        <w:t>investigate the different payment levels between the different primary care contractors in the other home countries.</w:t>
      </w:r>
    </w:p>
    <w:p w14:paraId="53151635" w14:textId="0084F944" w:rsidR="28C543B8" w:rsidRDefault="28C543B8" w:rsidP="28C543B8">
      <w:pPr>
        <w:pStyle w:val="ListParagraph"/>
        <w:ind w:left="1701" w:right="1134" w:firstLine="0"/>
        <w:rPr>
          <w:rFonts w:eastAsia="Times New Roman"/>
          <w:lang w:eastAsia="en-GB" w:bidi="ar-SA"/>
        </w:rPr>
      </w:pPr>
    </w:p>
    <w:p w14:paraId="2F981F7A" w14:textId="77777777" w:rsidR="00E933C2" w:rsidRPr="00E933C2" w:rsidRDefault="00E933C2" w:rsidP="00E933C2">
      <w:pPr>
        <w:pStyle w:val="ListParagraph"/>
        <w:rPr>
          <w:rFonts w:eastAsia="Times New Roman"/>
          <w:lang w:eastAsia="en-GB" w:bidi="ar-SA"/>
        </w:rPr>
      </w:pPr>
    </w:p>
    <w:p w14:paraId="3B8F45D4" w14:textId="77777777" w:rsidR="00235AE1" w:rsidRPr="00235AE1" w:rsidRDefault="0D17A3C8" w:rsidP="28C543B8">
      <w:pPr>
        <w:pStyle w:val="ListParagraph"/>
        <w:numPr>
          <w:ilvl w:val="1"/>
          <w:numId w:val="1"/>
        </w:numPr>
        <w:spacing w:line="259" w:lineRule="auto"/>
        <w:ind w:left="1701" w:right="1134" w:hanging="283"/>
        <w:rPr>
          <w:rFonts w:asciiTheme="minorHAnsi" w:eastAsiaTheme="minorEastAsia" w:hAnsiTheme="minorHAnsi" w:cstheme="minorBidi"/>
          <w:b/>
          <w:bCs/>
          <w:color w:val="0000FF"/>
        </w:rPr>
      </w:pPr>
      <w:r w:rsidRPr="28C543B8">
        <w:rPr>
          <w:rFonts w:eastAsia="Times New Roman"/>
          <w:lang w:eastAsia="en-GB" w:bidi="ar-SA"/>
        </w:rPr>
        <w:t>Services flat payments</w:t>
      </w:r>
    </w:p>
    <w:p w14:paraId="4D5A3361" w14:textId="28C5D4C3" w:rsidR="00C92303" w:rsidRDefault="097F2291" w:rsidP="00235AE1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>M</w:t>
      </w:r>
      <w:r w:rsidR="14BBBD97" w:rsidRPr="28C543B8">
        <w:rPr>
          <w:rFonts w:eastAsia="Times New Roman"/>
          <w:lang w:eastAsia="en-GB" w:bidi="ar-SA"/>
        </w:rPr>
        <w:t>ike</w:t>
      </w:r>
      <w:r w:rsidRPr="28C543B8">
        <w:rPr>
          <w:rFonts w:eastAsia="Times New Roman"/>
          <w:lang w:eastAsia="en-GB" w:bidi="ar-SA"/>
        </w:rPr>
        <w:t xml:space="preserve"> stepped through the paper on service flat payments</w:t>
      </w:r>
      <w:r w:rsidR="6AFB946D" w:rsidRPr="28C543B8">
        <w:rPr>
          <w:rFonts w:eastAsia="Times New Roman"/>
          <w:lang w:eastAsia="en-GB" w:bidi="ar-SA"/>
        </w:rPr>
        <w:t xml:space="preserve">. </w:t>
      </w:r>
      <w:r w:rsidR="023FC258" w:rsidRPr="28C543B8">
        <w:rPr>
          <w:rFonts w:eastAsia="Times New Roman"/>
          <w:lang w:eastAsia="en-GB" w:bidi="ar-SA"/>
        </w:rPr>
        <w:t xml:space="preserve">This covered broad objectives </w:t>
      </w:r>
      <w:r w:rsidR="6AFB946D" w:rsidRPr="28C543B8">
        <w:rPr>
          <w:rFonts w:eastAsia="Times New Roman"/>
          <w:lang w:eastAsia="en-GB" w:bidi="ar-SA"/>
        </w:rPr>
        <w:t>and what we could seek to achieve</w:t>
      </w:r>
      <w:r w:rsidR="46C70BCB" w:rsidRPr="28C543B8">
        <w:rPr>
          <w:rFonts w:eastAsia="Times New Roman"/>
          <w:lang w:eastAsia="en-GB" w:bidi="ar-SA"/>
        </w:rPr>
        <w:t xml:space="preserve"> for each</w:t>
      </w:r>
      <w:r w:rsidR="4A845229" w:rsidRPr="28C543B8">
        <w:rPr>
          <w:rFonts w:eastAsia="Times New Roman"/>
          <w:lang w:eastAsia="en-GB" w:bidi="ar-SA"/>
        </w:rPr>
        <w:t>, a</w:t>
      </w:r>
      <w:r w:rsidR="13E94B4B" w:rsidRPr="28C543B8">
        <w:rPr>
          <w:rFonts w:eastAsia="Times New Roman"/>
          <w:lang w:eastAsia="en-GB" w:bidi="ar-SA"/>
        </w:rPr>
        <w:t xml:space="preserve">long with </w:t>
      </w:r>
      <w:r w:rsidR="1A78E59A" w:rsidRPr="28C543B8">
        <w:rPr>
          <w:rFonts w:eastAsia="Times New Roman"/>
          <w:lang w:eastAsia="en-GB" w:bidi="ar-SA"/>
        </w:rPr>
        <w:t>some illustrative payment designs</w:t>
      </w:r>
      <w:r w:rsidR="564AF771" w:rsidRPr="28C543B8">
        <w:rPr>
          <w:rFonts w:eastAsia="Times New Roman"/>
          <w:lang w:eastAsia="en-GB" w:bidi="ar-SA"/>
        </w:rPr>
        <w:t>.</w:t>
      </w:r>
      <w:r w:rsidR="0B51B6E7" w:rsidRPr="28C543B8">
        <w:rPr>
          <w:rFonts w:eastAsia="Times New Roman"/>
          <w:lang w:eastAsia="en-GB" w:bidi="ar-SA"/>
        </w:rPr>
        <w:t xml:space="preserve"> </w:t>
      </w:r>
      <w:r w:rsidR="725EF97F" w:rsidRPr="28C543B8">
        <w:rPr>
          <w:rFonts w:eastAsia="Times New Roman"/>
          <w:lang w:eastAsia="en-GB" w:bidi="ar-SA"/>
        </w:rPr>
        <w:t xml:space="preserve">The risk around the </w:t>
      </w:r>
      <w:r w:rsidR="0B51B6E7" w:rsidRPr="28C543B8">
        <w:rPr>
          <w:rFonts w:eastAsia="Times New Roman"/>
          <w:lang w:eastAsia="en-GB" w:bidi="ar-SA"/>
        </w:rPr>
        <w:t xml:space="preserve">significant sum of unallocated funding </w:t>
      </w:r>
      <w:r w:rsidR="349BACE3" w:rsidRPr="28C543B8">
        <w:rPr>
          <w:rFonts w:eastAsia="Times New Roman"/>
          <w:lang w:eastAsia="en-GB" w:bidi="ar-SA"/>
        </w:rPr>
        <w:t>was highlighted</w:t>
      </w:r>
      <w:r w:rsidR="71E68B66" w:rsidRPr="28C543B8">
        <w:rPr>
          <w:rFonts w:eastAsia="Times New Roman"/>
          <w:lang w:eastAsia="en-GB" w:bidi="ar-SA"/>
        </w:rPr>
        <w:t>.</w:t>
      </w:r>
    </w:p>
    <w:p w14:paraId="48800C30" w14:textId="77777777" w:rsidR="000C4470" w:rsidRDefault="000C4470" w:rsidP="00235AE1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677278D0" w14:textId="77777777" w:rsidR="00C92303" w:rsidRDefault="00C92303" w:rsidP="00235AE1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2F67ADCB" w14:textId="625104E7" w:rsidR="00A0154F" w:rsidRDefault="6378522A" w:rsidP="00235AE1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It was noted that when Monitor have previously looked at this issue of payments to NHS </w:t>
      </w:r>
      <w:r w:rsidR="6341193E" w:rsidRPr="28C543B8">
        <w:rPr>
          <w:rFonts w:eastAsia="Times New Roman"/>
          <w:lang w:eastAsia="en-GB" w:bidi="ar-SA"/>
        </w:rPr>
        <w:t>contractors,</w:t>
      </w:r>
      <w:r w:rsidRPr="28C543B8">
        <w:rPr>
          <w:rFonts w:eastAsia="Times New Roman"/>
          <w:lang w:eastAsia="en-GB" w:bidi="ar-SA"/>
        </w:rPr>
        <w:t xml:space="preserve"> they have supported the idea of capacity payments, and Simon Stevens has recently stated that there needs to be a buffer / spare capacity built into the NHS.</w:t>
      </w:r>
    </w:p>
    <w:p w14:paraId="3950B3A9" w14:textId="77777777" w:rsidR="00A0154F" w:rsidRDefault="00A0154F" w:rsidP="00235AE1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1258261B" w14:textId="3C776A7A" w:rsidR="4503F89C" w:rsidRDefault="4503F89C" w:rsidP="28C543B8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It was noted that </w:t>
      </w:r>
      <w:r w:rsidR="0D7C2F17" w:rsidRPr="28C543B8">
        <w:rPr>
          <w:rFonts w:eastAsia="Times New Roman"/>
          <w:lang w:eastAsia="en-GB" w:bidi="ar-SA"/>
        </w:rPr>
        <w:t>although we have used the current T</w:t>
      </w:r>
      <w:r w:rsidR="3AAAC80E" w:rsidRPr="28C543B8">
        <w:rPr>
          <w:rFonts w:eastAsia="Times New Roman"/>
          <w:lang w:eastAsia="en-GB" w:bidi="ar-SA"/>
        </w:rPr>
        <w:t xml:space="preserve">ransitional </w:t>
      </w:r>
      <w:r w:rsidR="0D7C2F17" w:rsidRPr="28C543B8">
        <w:rPr>
          <w:rFonts w:eastAsia="Times New Roman"/>
          <w:lang w:eastAsia="en-GB" w:bidi="ar-SA"/>
        </w:rPr>
        <w:t>P</w:t>
      </w:r>
      <w:r w:rsidR="1C4B3F64" w:rsidRPr="28C543B8">
        <w:rPr>
          <w:rFonts w:eastAsia="Times New Roman"/>
          <w:lang w:eastAsia="en-GB" w:bidi="ar-SA"/>
        </w:rPr>
        <w:t>ayment</w:t>
      </w:r>
      <w:r w:rsidR="0D7C2F17" w:rsidRPr="28C543B8">
        <w:rPr>
          <w:rFonts w:eastAsia="Times New Roman"/>
          <w:lang w:eastAsia="en-GB" w:bidi="ar-SA"/>
        </w:rPr>
        <w:t xml:space="preserve"> bandings as a reference </w:t>
      </w:r>
      <w:r w:rsidR="0D7C2F17" w:rsidRPr="28C543B8">
        <w:rPr>
          <w:rFonts w:eastAsia="Times New Roman"/>
          <w:lang w:eastAsia="en-GB" w:bidi="ar-SA"/>
        </w:rPr>
        <w:lastRenderedPageBreak/>
        <w:t xml:space="preserve">for the illustrative payment designs, originally these were said to be a temporary mechanism and that long term we would seek to move away from </w:t>
      </w:r>
      <w:r w:rsidR="3B89C531" w:rsidRPr="28C543B8">
        <w:rPr>
          <w:rFonts w:eastAsia="Times New Roman"/>
          <w:lang w:eastAsia="en-GB" w:bidi="ar-SA"/>
        </w:rPr>
        <w:t>items-based</w:t>
      </w:r>
      <w:r w:rsidR="0D7C2F17" w:rsidRPr="28C543B8">
        <w:rPr>
          <w:rFonts w:eastAsia="Times New Roman"/>
          <w:lang w:eastAsia="en-GB" w:bidi="ar-SA"/>
        </w:rPr>
        <w:t xml:space="preserve"> funding distribution.</w:t>
      </w:r>
      <w:r w:rsidR="0FF1D874" w:rsidRPr="28C543B8">
        <w:rPr>
          <w:rFonts w:eastAsia="Times New Roman"/>
          <w:lang w:eastAsia="en-GB" w:bidi="ar-SA"/>
        </w:rPr>
        <w:t xml:space="preserve"> A committee member noted that the payments based on patients not items would be more equitable due to various factors that affect income such as differences in </w:t>
      </w:r>
      <w:proofErr w:type="spellStart"/>
      <w:r w:rsidR="0FF1D874" w:rsidRPr="28C543B8">
        <w:rPr>
          <w:rFonts w:eastAsia="Times New Roman"/>
          <w:lang w:eastAsia="en-GB" w:bidi="ar-SA"/>
        </w:rPr>
        <w:t>PoT</w:t>
      </w:r>
      <w:proofErr w:type="spellEnd"/>
      <w:r w:rsidR="0FF1D874" w:rsidRPr="28C543B8">
        <w:rPr>
          <w:rFonts w:eastAsia="Times New Roman"/>
          <w:lang w:eastAsia="en-GB" w:bidi="ar-SA"/>
        </w:rPr>
        <w:t xml:space="preserve"> / prescribing habits.</w:t>
      </w:r>
    </w:p>
    <w:p w14:paraId="38FC1DDF" w14:textId="77777777" w:rsidR="28C543B8" w:rsidRDefault="28C543B8" w:rsidP="28C543B8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43AED988" w14:textId="684BCB78" w:rsidR="001C364C" w:rsidRDefault="0F740B2A" w:rsidP="00DD285C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A query was raised about </w:t>
      </w:r>
      <w:r w:rsidR="4AD0090A" w:rsidRPr="28C543B8">
        <w:rPr>
          <w:rFonts w:eastAsia="Times New Roman"/>
          <w:lang w:eastAsia="en-GB" w:bidi="ar-SA"/>
        </w:rPr>
        <w:t>long-term</w:t>
      </w:r>
      <w:r w:rsidRPr="28C543B8">
        <w:rPr>
          <w:rFonts w:eastAsia="Times New Roman"/>
          <w:lang w:eastAsia="en-GB" w:bidi="ar-SA"/>
        </w:rPr>
        <w:t xml:space="preserve"> prospects for TP. MD explained that </w:t>
      </w:r>
      <w:r w:rsidR="0DAA756C" w:rsidRPr="28C543B8">
        <w:rPr>
          <w:rFonts w:eastAsia="Times New Roman"/>
          <w:lang w:eastAsia="en-GB" w:bidi="ar-SA"/>
        </w:rPr>
        <w:t xml:space="preserve">this </w:t>
      </w:r>
      <w:r w:rsidR="309F65DB" w:rsidRPr="28C543B8">
        <w:rPr>
          <w:rFonts w:eastAsia="Times New Roman"/>
          <w:lang w:eastAsia="en-GB" w:bidi="ar-SA"/>
        </w:rPr>
        <w:t xml:space="preserve">had only been guaranteed until </w:t>
      </w:r>
      <w:r w:rsidR="0D4C37B6" w:rsidRPr="28C543B8">
        <w:rPr>
          <w:rFonts w:eastAsia="Times New Roman"/>
          <w:lang w:eastAsia="en-GB" w:bidi="ar-SA"/>
        </w:rPr>
        <w:t xml:space="preserve">March </w:t>
      </w:r>
      <w:proofErr w:type="gramStart"/>
      <w:r w:rsidR="0D4C37B6" w:rsidRPr="28C543B8">
        <w:rPr>
          <w:rFonts w:eastAsia="Times New Roman"/>
          <w:lang w:eastAsia="en-GB" w:bidi="ar-SA"/>
        </w:rPr>
        <w:t>21</w:t>
      </w:r>
      <w:proofErr w:type="gramEnd"/>
      <w:r w:rsidR="0D4C37B6" w:rsidRPr="28C543B8">
        <w:rPr>
          <w:rFonts w:eastAsia="Times New Roman"/>
          <w:lang w:eastAsia="en-GB" w:bidi="ar-SA"/>
        </w:rPr>
        <w:t xml:space="preserve"> but we have stated to Govt that it needs to continue. The planned savings and transition of funding </w:t>
      </w:r>
      <w:r w:rsidR="7C7A896B" w:rsidRPr="28C543B8">
        <w:rPr>
          <w:rFonts w:eastAsia="Times New Roman"/>
          <w:lang w:eastAsia="en-GB" w:bidi="ar-SA"/>
        </w:rPr>
        <w:t xml:space="preserve">into services hasn’t happened for various reasons such as C-19 and lack of </w:t>
      </w:r>
      <w:r w:rsidR="55F0BEE1" w:rsidRPr="28C543B8">
        <w:rPr>
          <w:rFonts w:eastAsia="Times New Roman"/>
          <w:lang w:eastAsia="en-GB" w:bidi="ar-SA"/>
        </w:rPr>
        <w:t>opportunities to reduce dispensing cost.</w:t>
      </w:r>
      <w:r w:rsidR="21519BC0" w:rsidRPr="28C543B8">
        <w:rPr>
          <w:rFonts w:eastAsia="Times New Roman"/>
          <w:lang w:eastAsia="en-GB" w:bidi="ar-SA"/>
        </w:rPr>
        <w:t xml:space="preserve"> Re-badging some of the money as capacity / service payme</w:t>
      </w:r>
      <w:r w:rsidR="34D00950" w:rsidRPr="28C543B8">
        <w:rPr>
          <w:rFonts w:eastAsia="Times New Roman"/>
          <w:lang w:eastAsia="en-GB" w:bidi="ar-SA"/>
        </w:rPr>
        <w:t xml:space="preserve">nts was a way to </w:t>
      </w:r>
      <w:r w:rsidR="7CA0BD42" w:rsidRPr="28C543B8">
        <w:rPr>
          <w:rFonts w:eastAsia="Times New Roman"/>
          <w:lang w:eastAsia="en-GB" w:bidi="ar-SA"/>
        </w:rPr>
        <w:t>help secure some of the funding.</w:t>
      </w:r>
    </w:p>
    <w:p w14:paraId="0445EB22" w14:textId="77777777" w:rsidR="001C364C" w:rsidRDefault="001C364C" w:rsidP="00DD285C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4E75FE14" w14:textId="3AC9FACD" w:rsidR="00F6760D" w:rsidRDefault="681788C2" w:rsidP="28C543B8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>There was a genera</w:t>
      </w:r>
      <w:r w:rsidR="4137C595" w:rsidRPr="28C543B8">
        <w:rPr>
          <w:rFonts w:eastAsia="Times New Roman"/>
          <w:lang w:eastAsia="en-GB" w:bidi="ar-SA"/>
        </w:rPr>
        <w:t xml:space="preserve">l </w:t>
      </w:r>
      <w:r w:rsidR="09C3B986" w:rsidRPr="28C543B8">
        <w:rPr>
          <w:rFonts w:eastAsia="Times New Roman"/>
          <w:lang w:eastAsia="en-GB" w:bidi="ar-SA"/>
        </w:rPr>
        <w:t xml:space="preserve">sentiment that capacity payments would help to alleviate funding </w:t>
      </w:r>
      <w:r w:rsidR="30B480E3" w:rsidRPr="28C543B8">
        <w:rPr>
          <w:rFonts w:eastAsia="Times New Roman"/>
          <w:lang w:eastAsia="en-GB" w:bidi="ar-SA"/>
        </w:rPr>
        <w:t xml:space="preserve">distribution concerns due to uneven rollout of 3rd party dependent services. </w:t>
      </w:r>
      <w:r w:rsidR="45ECF29D" w:rsidRPr="28C543B8">
        <w:rPr>
          <w:rFonts w:eastAsia="Times New Roman"/>
          <w:lang w:eastAsia="en-GB" w:bidi="ar-SA"/>
        </w:rPr>
        <w:t xml:space="preserve">We need to seek a reasonable </w:t>
      </w:r>
      <w:r w:rsidR="30B480E3" w:rsidRPr="28C543B8">
        <w:rPr>
          <w:rFonts w:eastAsia="Times New Roman"/>
          <w:lang w:eastAsia="en-GB" w:bidi="ar-SA"/>
        </w:rPr>
        <w:t>weighting between paying for capacity and paying for activity.</w:t>
      </w:r>
    </w:p>
    <w:p w14:paraId="035E3E8B" w14:textId="77777777" w:rsidR="00F6760D" w:rsidRDefault="00F6760D" w:rsidP="28C543B8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6FDCC29C" w14:textId="6878D548" w:rsidR="006769B3" w:rsidRPr="00DD285C" w:rsidRDefault="006769B3" w:rsidP="00DD285C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</w:p>
    <w:p w14:paraId="6D35D007" w14:textId="75C5ECF5" w:rsidR="006769B3" w:rsidRPr="006769B3" w:rsidRDefault="0D17A3C8" w:rsidP="28C543B8">
      <w:pPr>
        <w:pStyle w:val="ListParagraph"/>
        <w:numPr>
          <w:ilvl w:val="1"/>
          <w:numId w:val="1"/>
        </w:numPr>
        <w:spacing w:line="259" w:lineRule="auto"/>
        <w:ind w:left="1701" w:right="1134" w:hanging="283"/>
        <w:rPr>
          <w:rFonts w:asciiTheme="minorHAnsi" w:eastAsiaTheme="minorEastAsia" w:hAnsiTheme="minorHAnsi" w:cstheme="minorBidi"/>
          <w:b/>
          <w:bCs/>
          <w:color w:val="0000FF"/>
        </w:rPr>
      </w:pPr>
      <w:r w:rsidRPr="28C543B8">
        <w:rPr>
          <w:rFonts w:eastAsia="Times New Roman"/>
          <w:lang w:eastAsia="en-GB" w:bidi="ar-SA"/>
        </w:rPr>
        <w:t>New funding model</w:t>
      </w:r>
      <w:r w:rsidRPr="28C543B8">
        <w:rPr>
          <w:rFonts w:asciiTheme="minorHAnsi" w:eastAsiaTheme="minorEastAsia" w:hAnsiTheme="minorHAnsi" w:cstheme="minorBidi"/>
          <w:lang w:eastAsia="en-GB" w:bidi="ar-SA"/>
        </w:rPr>
        <w:t xml:space="preserve">s </w:t>
      </w:r>
      <w:r w:rsidR="7D258BD0" w:rsidRPr="28C543B8">
        <w:rPr>
          <w:rFonts w:asciiTheme="minorHAnsi" w:eastAsiaTheme="minorEastAsia" w:hAnsiTheme="minorHAnsi" w:cstheme="minorBidi"/>
          <w:lang w:eastAsia="en-GB" w:bidi="ar-SA"/>
        </w:rPr>
        <w:t>- verbal update</w:t>
      </w:r>
    </w:p>
    <w:p w14:paraId="0F232A86" w14:textId="496344E7" w:rsidR="006B2348" w:rsidRDefault="000A7D8F" w:rsidP="000E292C">
      <w:pPr>
        <w:pStyle w:val="ListParagraph"/>
        <w:spacing w:line="259" w:lineRule="auto"/>
        <w:ind w:left="1701" w:right="1134" w:firstLine="0"/>
        <w:rPr>
          <w:rFonts w:eastAsia="Times New Roman"/>
          <w:lang w:eastAsia="en-GB" w:bidi="ar-SA"/>
        </w:rPr>
      </w:pPr>
      <w:r w:rsidRPr="000A7D8F">
        <w:rPr>
          <w:rFonts w:eastAsia="Times New Roman"/>
          <w:lang w:eastAsia="en-GB" w:bidi="ar-SA"/>
        </w:rPr>
        <w:t>An update</w:t>
      </w:r>
      <w:r>
        <w:rPr>
          <w:rFonts w:eastAsia="Times New Roman"/>
          <w:lang w:eastAsia="en-GB" w:bidi="ar-SA"/>
        </w:rPr>
        <w:t xml:space="preserve"> was provided on the </w:t>
      </w:r>
      <w:r w:rsidR="004F10E2">
        <w:rPr>
          <w:rFonts w:eastAsia="Times New Roman"/>
          <w:lang w:eastAsia="en-GB" w:bidi="ar-SA"/>
        </w:rPr>
        <w:t xml:space="preserve">work ongoing on </w:t>
      </w:r>
      <w:r w:rsidR="007B4D64">
        <w:rPr>
          <w:rFonts w:eastAsia="Times New Roman"/>
          <w:lang w:eastAsia="en-GB" w:bidi="ar-SA"/>
        </w:rPr>
        <w:t>the New Funding Model</w:t>
      </w:r>
      <w:r w:rsidR="000E292C">
        <w:rPr>
          <w:rFonts w:eastAsia="Times New Roman"/>
          <w:lang w:eastAsia="en-GB" w:bidi="ar-SA"/>
        </w:rPr>
        <w:t>s.</w:t>
      </w:r>
      <w:r w:rsidR="007B4D64">
        <w:rPr>
          <w:rFonts w:eastAsia="Times New Roman"/>
          <w:lang w:eastAsia="en-GB" w:bidi="ar-SA"/>
        </w:rPr>
        <w:t xml:space="preserve"> </w:t>
      </w:r>
    </w:p>
    <w:p w14:paraId="1FA8CA56" w14:textId="77777777" w:rsidR="00E933C2" w:rsidRPr="00E933C2" w:rsidRDefault="00E933C2" w:rsidP="00E933C2">
      <w:pPr>
        <w:pStyle w:val="ListParagraph"/>
        <w:ind w:left="1701" w:right="1134" w:firstLine="0"/>
        <w:rPr>
          <w:rFonts w:asciiTheme="minorHAnsi" w:eastAsiaTheme="minorEastAsia" w:hAnsiTheme="minorHAnsi" w:cstheme="minorBidi"/>
          <w:b/>
          <w:bCs/>
          <w:color w:val="0000FF"/>
        </w:rPr>
      </w:pPr>
    </w:p>
    <w:p w14:paraId="5C7FDB61" w14:textId="77777777" w:rsidR="00D04BEE" w:rsidRPr="00907E6A" w:rsidRDefault="00D04BEE" w:rsidP="00315268">
      <w:pPr>
        <w:pStyle w:val="BodyText"/>
        <w:tabs>
          <w:tab w:val="left" w:pos="10206"/>
        </w:tabs>
        <w:spacing w:before="9"/>
        <w:ind w:left="1134" w:right="1134"/>
        <w:rPr>
          <w:b/>
        </w:rPr>
      </w:pPr>
    </w:p>
    <w:p w14:paraId="07A30CF4" w14:textId="15E90B44" w:rsidR="00D04BEE" w:rsidRDefault="3C1BBFB4" w:rsidP="00FD20FD">
      <w:pPr>
        <w:pStyle w:val="ListParagraph"/>
        <w:numPr>
          <w:ilvl w:val="0"/>
          <w:numId w:val="1"/>
        </w:numPr>
        <w:tabs>
          <w:tab w:val="left" w:pos="1579"/>
          <w:tab w:val="left" w:pos="10206"/>
        </w:tabs>
        <w:spacing w:before="51"/>
        <w:ind w:left="1134" w:right="1134" w:firstLine="0"/>
      </w:pPr>
      <w:r>
        <w:t>Reimbursement</w:t>
      </w:r>
      <w:r w:rsidR="00E933C2">
        <w:br/>
      </w:r>
    </w:p>
    <w:p w14:paraId="2213BE1F" w14:textId="77777777" w:rsidR="00C860C6" w:rsidRPr="00C860C6" w:rsidRDefault="01E3182D" w:rsidP="00FD20FD">
      <w:pPr>
        <w:pStyle w:val="ListParagraph"/>
        <w:numPr>
          <w:ilvl w:val="0"/>
          <w:numId w:val="2"/>
        </w:numPr>
        <w:tabs>
          <w:tab w:val="left" w:pos="1579"/>
          <w:tab w:val="left" w:pos="10206"/>
        </w:tabs>
        <w:ind w:left="1834" w:right="1134"/>
      </w:pPr>
      <w:r w:rsidRPr="01E3182D">
        <w:rPr>
          <w:rFonts w:eastAsia="Times New Roman"/>
          <w:lang w:eastAsia="en-GB" w:bidi="ar-SA"/>
        </w:rPr>
        <w:t xml:space="preserve">Category M </w:t>
      </w:r>
      <w:r w:rsidR="006769B3">
        <w:rPr>
          <w:rFonts w:eastAsia="Times New Roman"/>
          <w:lang w:eastAsia="en-GB" w:bidi="ar-SA"/>
        </w:rPr>
        <w:t>January 2021</w:t>
      </w:r>
    </w:p>
    <w:p w14:paraId="7E9E2ED7" w14:textId="2B38AFB5" w:rsidR="006727E2" w:rsidRDefault="33D29D3C" w:rsidP="00C860C6">
      <w:pPr>
        <w:pStyle w:val="ListParagraph"/>
        <w:tabs>
          <w:tab w:val="left" w:pos="1579"/>
          <w:tab w:val="left" w:pos="10206"/>
        </w:tabs>
        <w:ind w:left="1834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>T</w:t>
      </w:r>
      <w:r w:rsidR="29C56B28" w:rsidRPr="28C543B8">
        <w:rPr>
          <w:rFonts w:eastAsia="Times New Roman"/>
          <w:lang w:eastAsia="en-GB" w:bidi="ar-SA"/>
        </w:rPr>
        <w:t>he information in the agenda was noted</w:t>
      </w:r>
      <w:r w:rsidR="54802AA3" w:rsidRPr="28C543B8">
        <w:rPr>
          <w:rFonts w:eastAsia="Times New Roman"/>
          <w:lang w:eastAsia="en-GB" w:bidi="ar-SA"/>
        </w:rPr>
        <w:t xml:space="preserve">. </w:t>
      </w:r>
      <w:r w:rsidR="28EEA7DC" w:rsidRPr="28C543B8">
        <w:rPr>
          <w:rFonts w:eastAsia="Times New Roman"/>
          <w:lang w:eastAsia="en-GB" w:bidi="ar-SA"/>
        </w:rPr>
        <w:t>W</w:t>
      </w:r>
      <w:r w:rsidR="54802AA3" w:rsidRPr="28C543B8">
        <w:rPr>
          <w:rFonts w:eastAsia="Times New Roman"/>
          <w:lang w:eastAsia="en-GB" w:bidi="ar-SA"/>
        </w:rPr>
        <w:t xml:space="preserve">e had asked DHSC to leave </w:t>
      </w:r>
      <w:r w:rsidR="360154B7" w:rsidRPr="28C543B8">
        <w:rPr>
          <w:rFonts w:eastAsia="Times New Roman"/>
          <w:lang w:eastAsia="en-GB" w:bidi="ar-SA"/>
        </w:rPr>
        <w:t>in</w:t>
      </w:r>
      <w:r w:rsidR="59E58D21" w:rsidRPr="28C543B8">
        <w:rPr>
          <w:rFonts w:eastAsia="Times New Roman"/>
          <w:lang w:eastAsia="en-GB" w:bidi="ar-SA"/>
        </w:rPr>
        <w:t xml:space="preserve"> place</w:t>
      </w:r>
      <w:r w:rsidR="360154B7" w:rsidRPr="28C543B8">
        <w:rPr>
          <w:rFonts w:eastAsia="Times New Roman"/>
          <w:lang w:eastAsia="en-GB" w:bidi="ar-SA"/>
        </w:rPr>
        <w:t xml:space="preserve"> </w:t>
      </w:r>
      <w:r w:rsidR="54802AA3" w:rsidRPr="28C543B8">
        <w:rPr>
          <w:rFonts w:eastAsia="Times New Roman"/>
          <w:lang w:eastAsia="en-GB" w:bidi="ar-SA"/>
        </w:rPr>
        <w:t xml:space="preserve">the uplift in the DT from </w:t>
      </w:r>
      <w:r w:rsidR="36653624" w:rsidRPr="28C543B8">
        <w:rPr>
          <w:rFonts w:eastAsia="Times New Roman"/>
          <w:lang w:eastAsia="en-GB" w:bidi="ar-SA"/>
        </w:rPr>
        <w:t xml:space="preserve">October </w:t>
      </w:r>
      <w:r w:rsidR="54802AA3" w:rsidRPr="28C543B8">
        <w:rPr>
          <w:rFonts w:eastAsia="Times New Roman"/>
          <w:lang w:eastAsia="en-GB" w:bidi="ar-SA"/>
        </w:rPr>
        <w:t xml:space="preserve">(£5m per month) as DHSC had </w:t>
      </w:r>
      <w:r w:rsidR="25BF3767" w:rsidRPr="28C543B8">
        <w:rPr>
          <w:rFonts w:eastAsia="Times New Roman"/>
          <w:lang w:eastAsia="en-GB" w:bidi="ar-SA"/>
        </w:rPr>
        <w:t xml:space="preserve">calculated </w:t>
      </w:r>
      <w:r w:rsidR="54802AA3" w:rsidRPr="28C543B8">
        <w:rPr>
          <w:rFonts w:eastAsia="Times New Roman"/>
          <w:lang w:eastAsia="en-GB" w:bidi="ar-SA"/>
        </w:rPr>
        <w:t xml:space="preserve">a </w:t>
      </w:r>
      <w:r w:rsidR="39028606" w:rsidRPr="28C543B8">
        <w:rPr>
          <w:rFonts w:eastAsia="Times New Roman"/>
          <w:lang w:eastAsia="en-GB" w:bidi="ar-SA"/>
        </w:rPr>
        <w:t xml:space="preserve">significant </w:t>
      </w:r>
      <w:r w:rsidR="54802AA3" w:rsidRPr="28C543B8">
        <w:rPr>
          <w:rFonts w:eastAsia="Times New Roman"/>
          <w:lang w:eastAsia="en-GB" w:bidi="ar-SA"/>
        </w:rPr>
        <w:t xml:space="preserve">decrease in underlying market prices </w:t>
      </w:r>
      <w:r w:rsidR="039FFDB0" w:rsidRPr="28C543B8">
        <w:rPr>
          <w:rFonts w:eastAsia="Times New Roman"/>
          <w:lang w:eastAsia="en-GB" w:bidi="ar-SA"/>
        </w:rPr>
        <w:t xml:space="preserve">that </w:t>
      </w:r>
      <w:r w:rsidR="54802AA3" w:rsidRPr="28C543B8">
        <w:rPr>
          <w:rFonts w:eastAsia="Times New Roman"/>
          <w:lang w:eastAsia="en-GB" w:bidi="ar-SA"/>
        </w:rPr>
        <w:t>would flow through in</w:t>
      </w:r>
      <w:r w:rsidR="51C9F506" w:rsidRPr="28C543B8">
        <w:rPr>
          <w:rFonts w:eastAsia="Times New Roman"/>
          <w:lang w:eastAsia="en-GB" w:bidi="ar-SA"/>
        </w:rPr>
        <w:t>to</w:t>
      </w:r>
      <w:r w:rsidR="54802AA3" w:rsidRPr="28C543B8">
        <w:rPr>
          <w:rFonts w:eastAsia="Times New Roman"/>
          <w:lang w:eastAsia="en-GB" w:bidi="ar-SA"/>
        </w:rPr>
        <w:t xml:space="preserve"> the DT.</w:t>
      </w:r>
    </w:p>
    <w:p w14:paraId="36BE8A46" w14:textId="77777777" w:rsidR="006727E2" w:rsidRDefault="006727E2" w:rsidP="00C860C6">
      <w:pPr>
        <w:pStyle w:val="ListParagraph"/>
        <w:tabs>
          <w:tab w:val="left" w:pos="1579"/>
          <w:tab w:val="left" w:pos="10206"/>
        </w:tabs>
        <w:ind w:left="1834" w:right="1134" w:firstLine="0"/>
        <w:rPr>
          <w:rFonts w:eastAsia="Times New Roman"/>
          <w:lang w:eastAsia="en-GB" w:bidi="ar-SA"/>
        </w:rPr>
      </w:pPr>
    </w:p>
    <w:p w14:paraId="5674E8CC" w14:textId="77777777" w:rsidR="000C4470" w:rsidRDefault="54802AA3" w:rsidP="00C860C6">
      <w:pPr>
        <w:pStyle w:val="ListParagraph"/>
        <w:tabs>
          <w:tab w:val="left" w:pos="1579"/>
          <w:tab w:val="left" w:pos="10206"/>
        </w:tabs>
        <w:ind w:left="1834" w:right="1134" w:firstLine="0"/>
      </w:pPr>
      <w:r w:rsidRPr="28C543B8">
        <w:rPr>
          <w:rFonts w:eastAsia="Times New Roman"/>
          <w:lang w:eastAsia="en-GB" w:bidi="ar-SA"/>
        </w:rPr>
        <w:t xml:space="preserve">In </w:t>
      </w:r>
      <w:r w:rsidR="67428A30" w:rsidRPr="28C543B8">
        <w:rPr>
          <w:rFonts w:eastAsia="Times New Roman"/>
          <w:lang w:eastAsia="en-GB" w:bidi="ar-SA"/>
        </w:rPr>
        <w:t xml:space="preserve">practice the DT </w:t>
      </w:r>
      <w:r w:rsidR="4D20ADC2" w:rsidRPr="28C543B8">
        <w:rPr>
          <w:rFonts w:eastAsia="Times New Roman"/>
          <w:lang w:eastAsia="en-GB" w:bidi="ar-SA"/>
        </w:rPr>
        <w:t>increased</w:t>
      </w:r>
      <w:r w:rsidR="67428A30" w:rsidRPr="28C543B8">
        <w:rPr>
          <w:rFonts w:eastAsia="Times New Roman"/>
          <w:lang w:eastAsia="en-GB" w:bidi="ar-SA"/>
        </w:rPr>
        <w:t xml:space="preserve"> significantly in Jan 21. </w:t>
      </w:r>
      <w:r w:rsidR="7F04816B" w:rsidRPr="28C543B8">
        <w:rPr>
          <w:rFonts w:eastAsia="Times New Roman"/>
          <w:lang w:eastAsia="en-GB" w:bidi="ar-SA"/>
        </w:rPr>
        <w:t xml:space="preserve">This is helpful </w:t>
      </w:r>
      <w:r w:rsidR="41A00958" w:rsidRPr="28C543B8">
        <w:rPr>
          <w:rFonts w:eastAsia="Times New Roman"/>
          <w:lang w:eastAsia="en-GB" w:bidi="ar-SA"/>
        </w:rPr>
        <w:t xml:space="preserve">in the </w:t>
      </w:r>
      <w:r w:rsidR="7F04816B" w:rsidRPr="28C543B8">
        <w:rPr>
          <w:rFonts w:eastAsia="Times New Roman"/>
          <w:lang w:eastAsia="en-GB" w:bidi="ar-SA"/>
        </w:rPr>
        <w:t xml:space="preserve">short term </w:t>
      </w:r>
      <w:r w:rsidR="714E0E0E" w:rsidRPr="28C543B8">
        <w:rPr>
          <w:rFonts w:eastAsia="Times New Roman"/>
          <w:lang w:eastAsia="en-GB" w:bidi="ar-SA"/>
        </w:rPr>
        <w:t xml:space="preserve">(given Brexit) </w:t>
      </w:r>
      <w:r w:rsidR="7F04816B" w:rsidRPr="28C543B8">
        <w:rPr>
          <w:rFonts w:eastAsia="Times New Roman"/>
          <w:lang w:eastAsia="en-GB" w:bidi="ar-SA"/>
        </w:rPr>
        <w:t xml:space="preserve">but could lead to longer term issues </w:t>
      </w:r>
      <w:r w:rsidR="5A4BCCCA" w:rsidRPr="28C543B8">
        <w:rPr>
          <w:rFonts w:eastAsia="Times New Roman"/>
          <w:lang w:eastAsia="en-GB" w:bidi="ar-SA"/>
        </w:rPr>
        <w:t>if th</w:t>
      </w:r>
      <w:r w:rsidR="7C96768C" w:rsidRPr="28C543B8">
        <w:rPr>
          <w:rFonts w:eastAsia="Times New Roman"/>
          <w:lang w:eastAsia="en-GB" w:bidi="ar-SA"/>
        </w:rPr>
        <w:t xml:space="preserve">is contributes to </w:t>
      </w:r>
      <w:r w:rsidR="67DB9B39" w:rsidRPr="28C543B8">
        <w:rPr>
          <w:rFonts w:eastAsia="Times New Roman"/>
          <w:lang w:eastAsia="en-GB" w:bidi="ar-SA"/>
        </w:rPr>
        <w:t>excess margin</w:t>
      </w:r>
      <w:r w:rsidR="0A9EC32C" w:rsidRPr="28C543B8">
        <w:rPr>
          <w:rFonts w:eastAsia="Times New Roman"/>
          <w:lang w:eastAsia="en-GB" w:bidi="ar-SA"/>
        </w:rPr>
        <w:t>.</w:t>
      </w:r>
      <w:r w:rsidR="006727E2">
        <w:br/>
      </w:r>
    </w:p>
    <w:p w14:paraId="64F56D2F" w14:textId="736074FC" w:rsidR="00D04BEE" w:rsidRPr="00D04BEE" w:rsidRDefault="006727E2" w:rsidP="00C860C6">
      <w:pPr>
        <w:pStyle w:val="ListParagraph"/>
        <w:tabs>
          <w:tab w:val="left" w:pos="1579"/>
          <w:tab w:val="left" w:pos="10206"/>
        </w:tabs>
        <w:ind w:left="1834" w:right="1134" w:firstLine="0"/>
      </w:pPr>
      <w:r>
        <w:br/>
      </w:r>
    </w:p>
    <w:p w14:paraId="11BCDC75" w14:textId="6D5891B1" w:rsidR="2D871EA6" w:rsidRPr="00025BE3" w:rsidRDefault="01E3182D" w:rsidP="2D871EA6">
      <w:pPr>
        <w:pStyle w:val="ListParagraph"/>
        <w:numPr>
          <w:ilvl w:val="0"/>
          <w:numId w:val="2"/>
        </w:numPr>
        <w:spacing w:line="259" w:lineRule="auto"/>
        <w:ind w:left="1834" w:right="1134"/>
        <w:rPr>
          <w:rFonts w:asciiTheme="minorHAnsi" w:eastAsiaTheme="minorEastAsia" w:hAnsiTheme="minorHAnsi" w:cstheme="minorBidi"/>
        </w:rPr>
      </w:pPr>
      <w:r w:rsidRPr="01E3182D">
        <w:rPr>
          <w:rFonts w:eastAsia="Times New Roman"/>
          <w:lang w:eastAsia="en-GB" w:bidi="ar-SA"/>
        </w:rPr>
        <w:t>Margin update</w:t>
      </w:r>
    </w:p>
    <w:p w14:paraId="2AD0C154" w14:textId="7B01BA9A" w:rsidR="00025BE3" w:rsidRDefault="3B783C4F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The agreed </w:t>
      </w:r>
      <w:r w:rsidR="0BC44E47" w:rsidRPr="28C543B8">
        <w:rPr>
          <w:rFonts w:eastAsia="Times New Roman"/>
          <w:lang w:eastAsia="en-GB" w:bidi="ar-SA"/>
        </w:rPr>
        <w:t xml:space="preserve">Q1 outturn </w:t>
      </w:r>
      <w:r w:rsidR="02398A6B" w:rsidRPr="28C543B8">
        <w:rPr>
          <w:rFonts w:eastAsia="Times New Roman"/>
          <w:lang w:eastAsia="en-GB" w:bidi="ar-SA"/>
        </w:rPr>
        <w:t xml:space="preserve">is </w:t>
      </w:r>
      <w:r w:rsidR="0BC44E47" w:rsidRPr="28C543B8">
        <w:rPr>
          <w:rFonts w:eastAsia="Times New Roman"/>
          <w:lang w:eastAsia="en-GB" w:bidi="ar-SA"/>
        </w:rPr>
        <w:t xml:space="preserve">in the region of £160m and </w:t>
      </w:r>
      <w:r w:rsidR="7D66984C" w:rsidRPr="28C543B8">
        <w:rPr>
          <w:rFonts w:eastAsia="Times New Roman"/>
          <w:lang w:eastAsia="en-GB" w:bidi="ar-SA"/>
        </w:rPr>
        <w:t xml:space="preserve">the </w:t>
      </w:r>
      <w:r w:rsidR="0BC44E47" w:rsidRPr="28C543B8">
        <w:rPr>
          <w:rFonts w:eastAsia="Times New Roman"/>
          <w:lang w:eastAsia="en-GB" w:bidi="ar-SA"/>
        </w:rPr>
        <w:t xml:space="preserve">preliminary Q2 </w:t>
      </w:r>
      <w:r w:rsidR="288A29E0" w:rsidRPr="28C543B8">
        <w:rPr>
          <w:rFonts w:eastAsia="Times New Roman"/>
          <w:lang w:eastAsia="en-GB" w:bidi="ar-SA"/>
        </w:rPr>
        <w:t xml:space="preserve">figure </w:t>
      </w:r>
      <w:r w:rsidR="62F9B183" w:rsidRPr="28C543B8">
        <w:rPr>
          <w:rFonts w:eastAsia="Times New Roman"/>
          <w:lang w:eastAsia="en-GB" w:bidi="ar-SA"/>
        </w:rPr>
        <w:t xml:space="preserve">appears to be </w:t>
      </w:r>
      <w:r w:rsidR="0BC44E47" w:rsidRPr="28C543B8">
        <w:rPr>
          <w:rFonts w:eastAsia="Times New Roman"/>
          <w:lang w:eastAsia="en-GB" w:bidi="ar-SA"/>
        </w:rPr>
        <w:t xml:space="preserve">in the region of £250m so </w:t>
      </w:r>
      <w:r w:rsidR="6F9C8758" w:rsidRPr="28C543B8">
        <w:rPr>
          <w:rFonts w:eastAsia="Times New Roman"/>
          <w:lang w:eastAsia="en-GB" w:bidi="ar-SA"/>
        </w:rPr>
        <w:t xml:space="preserve">we are </w:t>
      </w:r>
      <w:r w:rsidR="0BC44E47" w:rsidRPr="28C543B8">
        <w:rPr>
          <w:rFonts w:eastAsia="Times New Roman"/>
          <w:lang w:eastAsia="en-GB" w:bidi="ar-SA"/>
        </w:rPr>
        <w:t>roughly even after H1. However</w:t>
      </w:r>
      <w:r w:rsidR="7EF7ACB6" w:rsidRPr="28C543B8">
        <w:rPr>
          <w:rFonts w:eastAsia="Times New Roman"/>
          <w:lang w:eastAsia="en-GB" w:bidi="ar-SA"/>
        </w:rPr>
        <w:t>,</w:t>
      </w:r>
      <w:r w:rsidR="0BC44E47" w:rsidRPr="28C543B8">
        <w:rPr>
          <w:rFonts w:eastAsia="Times New Roman"/>
          <w:lang w:eastAsia="en-GB" w:bidi="ar-SA"/>
        </w:rPr>
        <w:t xml:space="preserve"> run rates going into H2 look high given that prices have continued to decline according to buying group data.</w:t>
      </w:r>
    </w:p>
    <w:p w14:paraId="0DD7FF1B" w14:textId="77777777" w:rsidR="00BD1D42" w:rsidRDefault="00BD1D42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</w:p>
    <w:p w14:paraId="067218E4" w14:textId="0669F52A" w:rsidR="00BD1D42" w:rsidRDefault="1ACAAEE8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Currently we are projecting </w:t>
      </w:r>
      <w:r w:rsidR="3FE97944" w:rsidRPr="28C543B8">
        <w:rPr>
          <w:rFonts w:eastAsia="Times New Roman"/>
          <w:lang w:eastAsia="en-GB" w:bidi="ar-SA"/>
        </w:rPr>
        <w:t xml:space="preserve">excess </w:t>
      </w:r>
      <w:r w:rsidRPr="28C543B8">
        <w:rPr>
          <w:rFonts w:eastAsia="Times New Roman"/>
          <w:lang w:eastAsia="en-GB" w:bidi="ar-SA"/>
        </w:rPr>
        <w:t xml:space="preserve">over the allowed margin </w:t>
      </w:r>
      <w:r w:rsidR="045823FA" w:rsidRPr="28C543B8">
        <w:rPr>
          <w:rFonts w:eastAsia="Times New Roman"/>
          <w:lang w:eastAsia="en-GB" w:bidi="ar-SA"/>
        </w:rPr>
        <w:t>for the year</w:t>
      </w:r>
      <w:r w:rsidR="19F684CF" w:rsidRPr="28C543B8">
        <w:rPr>
          <w:rFonts w:eastAsia="Times New Roman"/>
          <w:lang w:eastAsia="en-GB" w:bidi="ar-SA"/>
        </w:rPr>
        <w:t>.</w:t>
      </w:r>
    </w:p>
    <w:p w14:paraId="2CFB1849" w14:textId="77777777" w:rsidR="00EC78F5" w:rsidRDefault="00EC78F5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</w:p>
    <w:p w14:paraId="142E79E2" w14:textId="382B2D8B" w:rsidR="00EC78F5" w:rsidRDefault="00EC78F5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  <w:r>
        <w:rPr>
          <w:rFonts w:eastAsia="Times New Roman"/>
          <w:lang w:eastAsia="en-GB" w:bidi="ar-SA"/>
        </w:rPr>
        <w:t xml:space="preserve">As per the quarterly margin survey process this means we would expect to see </w:t>
      </w:r>
      <w:r w:rsidR="00F11E84">
        <w:rPr>
          <w:rFonts w:eastAsia="Times New Roman"/>
          <w:lang w:eastAsia="en-GB" w:bidi="ar-SA"/>
        </w:rPr>
        <w:t>declines in the Jul and Oct DTs.</w:t>
      </w:r>
      <w:r w:rsidR="00440B1D">
        <w:rPr>
          <w:rFonts w:eastAsia="Times New Roman"/>
          <w:lang w:eastAsia="en-GB" w:bidi="ar-SA"/>
        </w:rPr>
        <w:t xml:space="preserve"> This could coinci</w:t>
      </w:r>
      <w:r w:rsidR="00393BD2">
        <w:rPr>
          <w:rFonts w:eastAsia="Times New Roman"/>
          <w:lang w:eastAsia="en-GB" w:bidi="ar-SA"/>
        </w:rPr>
        <w:t>de with any C-19 advance repayments that we are required to make.</w:t>
      </w:r>
    </w:p>
    <w:p w14:paraId="1B360A1A" w14:textId="77777777" w:rsidR="00D634F7" w:rsidRDefault="00D634F7" w:rsidP="00025BE3">
      <w:pPr>
        <w:pStyle w:val="ListParagraph"/>
        <w:spacing w:line="259" w:lineRule="auto"/>
        <w:ind w:left="1834" w:right="1134" w:firstLine="0"/>
        <w:rPr>
          <w:rFonts w:eastAsia="Times New Roman"/>
          <w:lang w:eastAsia="en-GB" w:bidi="ar-SA"/>
        </w:rPr>
      </w:pPr>
    </w:p>
    <w:p w14:paraId="3712A327" w14:textId="4241BBE4" w:rsidR="00E933C2" w:rsidRDefault="7A1D2180" w:rsidP="00146ABE">
      <w:pPr>
        <w:pStyle w:val="ListParagraph"/>
        <w:spacing w:line="259" w:lineRule="auto"/>
        <w:ind w:left="1834" w:right="1134" w:firstLine="0"/>
      </w:pPr>
      <w:r w:rsidRPr="28C543B8">
        <w:rPr>
          <w:rFonts w:eastAsia="Times New Roman"/>
          <w:lang w:eastAsia="en-GB" w:bidi="ar-SA"/>
        </w:rPr>
        <w:t>The NT has considered this</w:t>
      </w:r>
      <w:r w:rsidR="026C5A42" w:rsidRPr="28C543B8">
        <w:rPr>
          <w:rFonts w:eastAsia="Times New Roman"/>
          <w:lang w:eastAsia="en-GB" w:bidi="ar-SA"/>
        </w:rPr>
        <w:t xml:space="preserve"> within the context of our C-19 </w:t>
      </w:r>
      <w:r w:rsidR="76E2B9C1" w:rsidRPr="28C543B8">
        <w:rPr>
          <w:rFonts w:eastAsia="Times New Roman"/>
          <w:lang w:eastAsia="en-GB" w:bidi="ar-SA"/>
        </w:rPr>
        <w:t>impact figures</w:t>
      </w:r>
    </w:p>
    <w:p w14:paraId="369C2682" w14:textId="42B2B044" w:rsidR="00E933C2" w:rsidRDefault="00E933C2" w:rsidP="00E933C2">
      <w:pPr>
        <w:tabs>
          <w:tab w:val="left" w:pos="1579"/>
          <w:tab w:val="left" w:pos="10206"/>
        </w:tabs>
        <w:spacing w:before="52"/>
        <w:ind w:right="1134"/>
      </w:pPr>
      <w:r>
        <w:tab/>
      </w:r>
    </w:p>
    <w:p w14:paraId="09EDBBF6" w14:textId="0BE4533F" w:rsidR="01E3182D" w:rsidRDefault="01E3182D" w:rsidP="01E3182D">
      <w:pPr>
        <w:spacing w:before="52"/>
        <w:ind w:right="1134"/>
      </w:pPr>
    </w:p>
    <w:p w14:paraId="5C20F166" w14:textId="6B34DE34" w:rsidR="00E933C2" w:rsidRPr="00E933C2" w:rsidRDefault="00E933C2" w:rsidP="00E933C2">
      <w:pPr>
        <w:tabs>
          <w:tab w:val="left" w:pos="10206"/>
        </w:tabs>
        <w:ind w:left="1134" w:right="1134"/>
        <w:rPr>
          <w:rFonts w:eastAsia="Times New Roman"/>
          <w:b/>
          <w:bCs/>
          <w:color w:val="5B518E"/>
          <w:lang w:eastAsia="en-GB" w:bidi="ar-SA"/>
        </w:rPr>
      </w:pPr>
      <w:r>
        <w:rPr>
          <w:rFonts w:eastAsia="Times New Roman"/>
          <w:b/>
          <w:bCs/>
          <w:color w:val="5B518E"/>
          <w:lang w:eastAsia="en-GB" w:bidi="ar-SA"/>
        </w:rPr>
        <w:t>REPORT</w:t>
      </w:r>
    </w:p>
    <w:p w14:paraId="70C8DFC1" w14:textId="52BC6D97" w:rsidR="00583E64" w:rsidRPr="00583E64" w:rsidRDefault="13B9F8DA" w:rsidP="28C543B8">
      <w:pPr>
        <w:pStyle w:val="NormalWeb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ind w:right="1275"/>
        <w:rPr>
          <w:rFonts w:ascii="Calibri" w:eastAsia="Times New Roman" w:hAnsi="Calibri" w:cs="Calibri"/>
          <w:lang w:bidi="ar-SA"/>
        </w:rPr>
      </w:pPr>
      <w:r w:rsidRPr="28C543B8">
        <w:rPr>
          <w:rFonts w:ascii="Calibri" w:hAnsi="Calibri" w:cs="Calibri"/>
          <w:sz w:val="22"/>
          <w:szCs w:val="22"/>
        </w:rPr>
        <w:t xml:space="preserve">General funding </w:t>
      </w:r>
      <w:proofErr w:type="gramStart"/>
      <w:r w:rsidRPr="28C543B8">
        <w:rPr>
          <w:rFonts w:ascii="Calibri" w:hAnsi="Calibri" w:cs="Calibri"/>
          <w:sz w:val="22"/>
          <w:szCs w:val="22"/>
        </w:rPr>
        <w:t>update</w:t>
      </w:r>
      <w:proofErr w:type="gramEnd"/>
      <w:r w:rsidR="2D871EA6">
        <w:br/>
      </w:r>
      <w:r w:rsidR="2D871EA6">
        <w:br/>
      </w:r>
      <w:r w:rsidRPr="28C543B8">
        <w:rPr>
          <w:rFonts w:ascii="Calibri" w:hAnsi="Calibri" w:cs="Calibri"/>
          <w:sz w:val="22"/>
          <w:szCs w:val="22"/>
        </w:rPr>
        <w:t>The information in the agenda was noted</w:t>
      </w:r>
      <w:r w:rsidR="7922F656" w:rsidRPr="28C543B8">
        <w:rPr>
          <w:rFonts w:ascii="Calibri" w:hAnsi="Calibri" w:cs="Calibri"/>
          <w:sz w:val="22"/>
          <w:szCs w:val="22"/>
        </w:rPr>
        <w:t>. Mike explained the analysis of net change in contractor numbers is relatively robust</w:t>
      </w:r>
      <w:r w:rsidR="43597589" w:rsidRPr="28C543B8">
        <w:rPr>
          <w:rFonts w:ascii="Calibri" w:hAnsi="Calibri" w:cs="Calibri"/>
          <w:sz w:val="22"/>
          <w:szCs w:val="22"/>
        </w:rPr>
        <w:t>,</w:t>
      </w:r>
      <w:r w:rsidR="7922F656" w:rsidRPr="28C543B8">
        <w:rPr>
          <w:rFonts w:ascii="Calibri" w:hAnsi="Calibri" w:cs="Calibri"/>
          <w:sz w:val="22"/>
          <w:szCs w:val="22"/>
        </w:rPr>
        <w:t xml:space="preserve"> however </w:t>
      </w:r>
      <w:r w:rsidR="5B09E45F" w:rsidRPr="28C543B8">
        <w:rPr>
          <w:rFonts w:ascii="Calibri" w:hAnsi="Calibri" w:cs="Calibri"/>
          <w:sz w:val="22"/>
          <w:szCs w:val="22"/>
        </w:rPr>
        <w:t xml:space="preserve">getting more granular </w:t>
      </w:r>
      <w:r w:rsidR="7EB478AA" w:rsidRPr="28C543B8">
        <w:rPr>
          <w:rFonts w:ascii="Calibri" w:hAnsi="Calibri" w:cs="Calibri"/>
          <w:sz w:val="22"/>
          <w:szCs w:val="22"/>
        </w:rPr>
        <w:t>analysis</w:t>
      </w:r>
      <w:r w:rsidR="5B09E45F" w:rsidRPr="28C543B8">
        <w:rPr>
          <w:rFonts w:ascii="Calibri" w:hAnsi="Calibri" w:cs="Calibri"/>
          <w:sz w:val="22"/>
          <w:szCs w:val="22"/>
        </w:rPr>
        <w:t xml:space="preserve"> within that is trickier</w:t>
      </w:r>
      <w:r w:rsidR="3BF66FE3" w:rsidRPr="28C543B8">
        <w:rPr>
          <w:rFonts w:ascii="Calibri" w:hAnsi="Calibri" w:cs="Calibri"/>
          <w:sz w:val="22"/>
          <w:szCs w:val="22"/>
        </w:rPr>
        <w:t>.</w:t>
      </w:r>
      <w:r w:rsidR="7EB478AA" w:rsidRPr="28C543B8">
        <w:rPr>
          <w:rFonts w:ascii="Calibri" w:hAnsi="Calibri" w:cs="Calibri"/>
          <w:sz w:val="22"/>
          <w:szCs w:val="22"/>
        </w:rPr>
        <w:t xml:space="preserve"> The</w:t>
      </w:r>
      <w:r w:rsidR="248BC85E" w:rsidRPr="28C543B8">
        <w:rPr>
          <w:rFonts w:ascii="Calibri" w:hAnsi="Calibri" w:cs="Calibri"/>
          <w:sz w:val="22"/>
          <w:szCs w:val="22"/>
        </w:rPr>
        <w:t xml:space="preserve">re are a few different sources of data </w:t>
      </w:r>
      <w:r w:rsidR="71D01C5C" w:rsidRPr="28C543B8">
        <w:rPr>
          <w:rFonts w:ascii="Calibri" w:hAnsi="Calibri" w:cs="Calibri"/>
          <w:sz w:val="22"/>
          <w:szCs w:val="22"/>
        </w:rPr>
        <w:t xml:space="preserve">available for number of contractors </w:t>
      </w:r>
      <w:r w:rsidR="248BC85E" w:rsidRPr="28C543B8">
        <w:rPr>
          <w:rFonts w:ascii="Calibri" w:hAnsi="Calibri" w:cs="Calibri"/>
          <w:sz w:val="22"/>
          <w:szCs w:val="22"/>
        </w:rPr>
        <w:t xml:space="preserve">such as LPC stats </w:t>
      </w:r>
      <w:r w:rsidR="1CCF9614" w:rsidRPr="28C543B8">
        <w:rPr>
          <w:rFonts w:ascii="Calibri" w:hAnsi="Calibri" w:cs="Calibri"/>
          <w:sz w:val="22"/>
          <w:szCs w:val="22"/>
        </w:rPr>
        <w:t xml:space="preserve">/ monthly </w:t>
      </w:r>
      <w:r w:rsidR="1CCF9614" w:rsidRPr="28C543B8">
        <w:rPr>
          <w:rFonts w:ascii="Calibri" w:hAnsi="Calibri" w:cs="Calibri"/>
          <w:sz w:val="22"/>
          <w:szCs w:val="22"/>
        </w:rPr>
        <w:lastRenderedPageBreak/>
        <w:t xml:space="preserve">dispensing contractor stats from NHS BSA as well as a </w:t>
      </w:r>
      <w:r w:rsidR="4435DB79" w:rsidRPr="28C543B8">
        <w:rPr>
          <w:rFonts w:ascii="Calibri" w:hAnsi="Calibri" w:cs="Calibri"/>
          <w:sz w:val="22"/>
          <w:szCs w:val="22"/>
        </w:rPr>
        <w:t>quarterly contractor data set published by NHS Digital</w:t>
      </w:r>
      <w:r w:rsidR="71D01C5C" w:rsidRPr="28C543B8">
        <w:rPr>
          <w:rFonts w:ascii="Calibri" w:hAnsi="Calibri" w:cs="Calibri"/>
          <w:sz w:val="22"/>
          <w:szCs w:val="22"/>
        </w:rPr>
        <w:t>,</w:t>
      </w:r>
      <w:r w:rsidR="4435DB79" w:rsidRPr="28C543B8">
        <w:rPr>
          <w:rFonts w:ascii="Calibri" w:hAnsi="Calibri" w:cs="Calibri"/>
          <w:sz w:val="22"/>
          <w:szCs w:val="22"/>
        </w:rPr>
        <w:t xml:space="preserve"> which </w:t>
      </w:r>
      <w:r w:rsidR="6ECD1EEC" w:rsidRPr="28C543B8">
        <w:rPr>
          <w:rFonts w:ascii="Calibri" w:hAnsi="Calibri" w:cs="Calibri"/>
          <w:sz w:val="22"/>
          <w:szCs w:val="22"/>
        </w:rPr>
        <w:t xml:space="preserve">all give differing numbers of contractors. </w:t>
      </w:r>
    </w:p>
    <w:p w14:paraId="03E0D994" w14:textId="7C769A70" w:rsidR="00D04BEE" w:rsidRPr="004B2B42" w:rsidRDefault="6ECD1EEC" w:rsidP="28C543B8">
      <w:pPr>
        <w:pStyle w:val="NormalWeb"/>
        <w:widowControl/>
        <w:autoSpaceDE/>
        <w:autoSpaceDN/>
        <w:spacing w:before="100" w:beforeAutospacing="1" w:after="100" w:afterAutospacing="1"/>
        <w:ind w:left="1494" w:right="1275"/>
        <w:rPr>
          <w:rFonts w:ascii="Calibri" w:hAnsi="Calibri" w:cs="Calibri"/>
          <w:sz w:val="22"/>
          <w:szCs w:val="22"/>
        </w:rPr>
      </w:pPr>
      <w:r w:rsidRPr="28C543B8">
        <w:rPr>
          <w:rFonts w:ascii="Calibri" w:hAnsi="Calibri" w:cs="Calibri"/>
          <w:sz w:val="22"/>
          <w:szCs w:val="22"/>
        </w:rPr>
        <w:t xml:space="preserve">The data set we refer to for </w:t>
      </w:r>
      <w:r w:rsidR="1A54B5E0" w:rsidRPr="28C543B8">
        <w:rPr>
          <w:rFonts w:ascii="Calibri" w:hAnsi="Calibri" w:cs="Calibri"/>
          <w:sz w:val="22"/>
          <w:szCs w:val="22"/>
        </w:rPr>
        <w:t>analysis is the NHS Digital list</w:t>
      </w:r>
      <w:r w:rsidR="0138B6CE" w:rsidRPr="28C543B8">
        <w:rPr>
          <w:rFonts w:ascii="Calibri" w:hAnsi="Calibri" w:cs="Calibri"/>
          <w:sz w:val="22"/>
          <w:szCs w:val="22"/>
        </w:rPr>
        <w:t>,</w:t>
      </w:r>
      <w:r w:rsidR="1A54B5E0" w:rsidRPr="28C543B8">
        <w:rPr>
          <w:rFonts w:ascii="Calibri" w:hAnsi="Calibri" w:cs="Calibri"/>
          <w:sz w:val="22"/>
          <w:szCs w:val="22"/>
        </w:rPr>
        <w:t xml:space="preserve"> as it includes opening and closing dates for e</w:t>
      </w:r>
      <w:r w:rsidR="7DA3B2BE" w:rsidRPr="28C543B8">
        <w:rPr>
          <w:rFonts w:ascii="Calibri" w:hAnsi="Calibri" w:cs="Calibri"/>
          <w:sz w:val="22"/>
          <w:szCs w:val="22"/>
        </w:rPr>
        <w:t>ach</w:t>
      </w:r>
      <w:r w:rsidR="1A54B5E0" w:rsidRPr="28C543B8">
        <w:rPr>
          <w:rFonts w:ascii="Calibri" w:hAnsi="Calibri" w:cs="Calibri"/>
          <w:sz w:val="22"/>
          <w:szCs w:val="22"/>
        </w:rPr>
        <w:t xml:space="preserve"> contract, meaning we can </w:t>
      </w:r>
      <w:r w:rsidR="7CE95BFC" w:rsidRPr="28C543B8">
        <w:rPr>
          <w:rFonts w:ascii="Calibri" w:hAnsi="Calibri" w:cs="Calibri"/>
          <w:sz w:val="22"/>
          <w:szCs w:val="22"/>
        </w:rPr>
        <w:t xml:space="preserve">use these dates to </w:t>
      </w:r>
      <w:r w:rsidR="0138B6CE" w:rsidRPr="28C543B8">
        <w:rPr>
          <w:rFonts w:ascii="Calibri" w:hAnsi="Calibri" w:cs="Calibri"/>
          <w:sz w:val="22"/>
          <w:szCs w:val="22"/>
        </w:rPr>
        <w:t>estimate</w:t>
      </w:r>
      <w:r w:rsidR="7CE95BFC" w:rsidRPr="28C543B8">
        <w:rPr>
          <w:rFonts w:ascii="Calibri" w:hAnsi="Calibri" w:cs="Calibri"/>
          <w:sz w:val="22"/>
          <w:szCs w:val="22"/>
        </w:rPr>
        <w:t xml:space="preserve"> how many pharmacies are open during a given month</w:t>
      </w:r>
      <w:r w:rsidR="299EF659" w:rsidRPr="28C543B8">
        <w:rPr>
          <w:rFonts w:ascii="Calibri" w:hAnsi="Calibri" w:cs="Calibri"/>
          <w:sz w:val="22"/>
          <w:szCs w:val="22"/>
        </w:rPr>
        <w:t xml:space="preserve">. </w:t>
      </w:r>
      <w:r w:rsidR="29B55E43" w:rsidRPr="28C543B8">
        <w:rPr>
          <w:rFonts w:ascii="Calibri" w:hAnsi="Calibri" w:cs="Calibri"/>
          <w:sz w:val="22"/>
          <w:szCs w:val="22"/>
        </w:rPr>
        <w:t>As this number has declined over time</w:t>
      </w:r>
      <w:r w:rsidR="545F506B" w:rsidRPr="28C543B8">
        <w:rPr>
          <w:rFonts w:ascii="Calibri" w:hAnsi="Calibri" w:cs="Calibri"/>
          <w:sz w:val="22"/>
          <w:szCs w:val="22"/>
        </w:rPr>
        <w:t>,</w:t>
      </w:r>
      <w:r w:rsidR="29B55E43" w:rsidRPr="28C543B8">
        <w:rPr>
          <w:rFonts w:ascii="Calibri" w:hAnsi="Calibri" w:cs="Calibri"/>
          <w:sz w:val="22"/>
          <w:szCs w:val="22"/>
        </w:rPr>
        <w:t xml:space="preserve"> this gives as </w:t>
      </w:r>
      <w:r w:rsidR="545F506B" w:rsidRPr="28C543B8">
        <w:rPr>
          <w:rFonts w:ascii="Calibri" w:hAnsi="Calibri" w:cs="Calibri"/>
          <w:sz w:val="22"/>
          <w:szCs w:val="22"/>
        </w:rPr>
        <w:t>our</w:t>
      </w:r>
      <w:r w:rsidR="29B55E43" w:rsidRPr="28C543B8">
        <w:rPr>
          <w:rFonts w:ascii="Calibri" w:hAnsi="Calibri" w:cs="Calibri"/>
          <w:sz w:val="22"/>
          <w:szCs w:val="22"/>
        </w:rPr>
        <w:t xml:space="preserve"> net reduction in the overall number of pharmacies. </w:t>
      </w:r>
    </w:p>
    <w:p w14:paraId="3F1DC853" w14:textId="39AB522A" w:rsidR="00D04BEE" w:rsidRPr="004B2B42" w:rsidRDefault="29B55E43" w:rsidP="28C543B8">
      <w:pPr>
        <w:pStyle w:val="NormalWeb"/>
        <w:widowControl/>
        <w:autoSpaceDE/>
        <w:autoSpaceDN/>
        <w:spacing w:before="100" w:beforeAutospacing="1" w:after="100" w:afterAutospacing="1"/>
        <w:ind w:left="1494" w:right="1275"/>
        <w:rPr>
          <w:rFonts w:ascii="Calibri" w:hAnsi="Calibri" w:cs="Calibri"/>
          <w:sz w:val="22"/>
          <w:szCs w:val="22"/>
        </w:rPr>
      </w:pPr>
      <w:r w:rsidRPr="28C543B8">
        <w:rPr>
          <w:rFonts w:ascii="Calibri" w:hAnsi="Calibri" w:cs="Calibri"/>
          <w:sz w:val="22"/>
          <w:szCs w:val="22"/>
        </w:rPr>
        <w:t xml:space="preserve">We struggle to determine how many ‘true closures’ there have been as the data set </w:t>
      </w:r>
      <w:r w:rsidR="0CAA6048" w:rsidRPr="28C543B8">
        <w:rPr>
          <w:rFonts w:ascii="Calibri" w:hAnsi="Calibri" w:cs="Calibri"/>
          <w:sz w:val="22"/>
          <w:szCs w:val="22"/>
        </w:rPr>
        <w:t xml:space="preserve">doesn’t flag transfers of ownership or mergers. </w:t>
      </w:r>
      <w:r w:rsidR="7DA3B2BE" w:rsidRPr="28C543B8">
        <w:rPr>
          <w:rFonts w:ascii="Calibri" w:hAnsi="Calibri" w:cs="Calibri"/>
          <w:sz w:val="22"/>
          <w:szCs w:val="22"/>
        </w:rPr>
        <w:t>It also doesn’t flag type of contractor</w:t>
      </w:r>
      <w:r w:rsidR="79A72878" w:rsidRPr="28C543B8">
        <w:rPr>
          <w:rFonts w:ascii="Calibri" w:hAnsi="Calibri" w:cs="Calibri"/>
          <w:sz w:val="22"/>
          <w:szCs w:val="22"/>
        </w:rPr>
        <w:t>. W</w:t>
      </w:r>
      <w:r w:rsidR="7DA3B2BE" w:rsidRPr="28C543B8">
        <w:rPr>
          <w:rFonts w:ascii="Calibri" w:hAnsi="Calibri" w:cs="Calibri"/>
          <w:sz w:val="22"/>
          <w:szCs w:val="22"/>
        </w:rPr>
        <w:t>e use the contractor ownership code within the data to estimate which contracts are parts of groups</w:t>
      </w:r>
      <w:r w:rsidR="43BB97CB" w:rsidRPr="28C543B8">
        <w:rPr>
          <w:rFonts w:ascii="Calibri" w:hAnsi="Calibri" w:cs="Calibri"/>
          <w:sz w:val="22"/>
          <w:szCs w:val="22"/>
        </w:rPr>
        <w:t>;</w:t>
      </w:r>
      <w:r w:rsidR="7DA3B2BE" w:rsidRPr="28C543B8">
        <w:rPr>
          <w:rFonts w:ascii="Calibri" w:hAnsi="Calibri" w:cs="Calibri"/>
          <w:sz w:val="22"/>
          <w:szCs w:val="22"/>
        </w:rPr>
        <w:t xml:space="preserve"> however</w:t>
      </w:r>
      <w:r w:rsidR="5971ACD8" w:rsidRPr="28C543B8">
        <w:rPr>
          <w:rFonts w:ascii="Calibri" w:hAnsi="Calibri" w:cs="Calibri"/>
          <w:sz w:val="22"/>
          <w:szCs w:val="22"/>
        </w:rPr>
        <w:t>,</w:t>
      </w:r>
      <w:r w:rsidR="7DA3B2BE" w:rsidRPr="28C543B8">
        <w:rPr>
          <w:rFonts w:ascii="Calibri" w:hAnsi="Calibri" w:cs="Calibri"/>
          <w:sz w:val="22"/>
          <w:szCs w:val="22"/>
        </w:rPr>
        <w:t xml:space="preserve"> we know that some pharmacies within groups do not share the same code in the data</w:t>
      </w:r>
      <w:r w:rsidR="2C38B16A" w:rsidRPr="28C543B8">
        <w:rPr>
          <w:rFonts w:ascii="Calibri" w:hAnsi="Calibri" w:cs="Calibri"/>
          <w:sz w:val="22"/>
          <w:szCs w:val="22"/>
        </w:rPr>
        <w:t>,</w:t>
      </w:r>
      <w:r w:rsidR="7DA3B2BE" w:rsidRPr="28C543B8">
        <w:rPr>
          <w:rFonts w:ascii="Calibri" w:hAnsi="Calibri" w:cs="Calibri"/>
          <w:sz w:val="22"/>
          <w:szCs w:val="22"/>
        </w:rPr>
        <w:t xml:space="preserve"> so this is only a rough guide. We also cross reference against a list of DSPs we obtain via FOI request from NHS BSA.</w:t>
      </w:r>
      <w:r w:rsidR="561BFD74" w:rsidRPr="28C543B8">
        <w:rPr>
          <w:rFonts w:ascii="Calibri" w:hAnsi="Calibri" w:cs="Calibri"/>
          <w:sz w:val="22"/>
          <w:szCs w:val="22"/>
        </w:rPr>
        <w:t xml:space="preserve"> </w:t>
      </w:r>
    </w:p>
    <w:p w14:paraId="1223826F" w14:textId="0AD3DF25" w:rsidR="00D04BEE" w:rsidRPr="004B2B42" w:rsidRDefault="561BFD74" w:rsidP="28C543B8">
      <w:pPr>
        <w:pStyle w:val="NormalWeb"/>
        <w:widowControl/>
        <w:autoSpaceDE/>
        <w:autoSpaceDN/>
        <w:spacing w:before="100" w:beforeAutospacing="1" w:after="100" w:afterAutospacing="1"/>
        <w:ind w:left="1494" w:right="1275"/>
        <w:rPr>
          <w:rFonts w:ascii="Calibri" w:hAnsi="Calibri" w:cs="Calibri"/>
          <w:sz w:val="22"/>
          <w:szCs w:val="22"/>
        </w:rPr>
      </w:pPr>
      <w:r w:rsidRPr="28C543B8">
        <w:rPr>
          <w:rFonts w:ascii="Calibri" w:hAnsi="Calibri" w:cs="Calibri"/>
          <w:sz w:val="22"/>
          <w:szCs w:val="22"/>
        </w:rPr>
        <w:t xml:space="preserve">The data </w:t>
      </w:r>
      <w:r w:rsidR="2C6E04A7" w:rsidRPr="28C543B8">
        <w:rPr>
          <w:rFonts w:ascii="Calibri" w:hAnsi="Calibri" w:cs="Calibri"/>
          <w:sz w:val="22"/>
          <w:szCs w:val="22"/>
        </w:rPr>
        <w:t xml:space="preserve">set </w:t>
      </w:r>
      <w:r w:rsidRPr="28C543B8">
        <w:rPr>
          <w:rFonts w:ascii="Calibri" w:hAnsi="Calibri" w:cs="Calibri"/>
          <w:sz w:val="22"/>
          <w:szCs w:val="22"/>
        </w:rPr>
        <w:t xml:space="preserve">only includes the current state of each contract so if it has changed ownership / name / owner code this </w:t>
      </w:r>
      <w:r w:rsidR="64315833" w:rsidRPr="28C543B8">
        <w:rPr>
          <w:rFonts w:ascii="Calibri" w:hAnsi="Calibri" w:cs="Calibri"/>
          <w:sz w:val="22"/>
          <w:szCs w:val="22"/>
        </w:rPr>
        <w:t xml:space="preserve">change </w:t>
      </w:r>
      <w:r w:rsidRPr="28C543B8">
        <w:rPr>
          <w:rFonts w:ascii="Calibri" w:hAnsi="Calibri" w:cs="Calibri"/>
          <w:sz w:val="22"/>
          <w:szCs w:val="22"/>
        </w:rPr>
        <w:t xml:space="preserve">isn’t </w:t>
      </w:r>
      <w:r w:rsidR="64315833" w:rsidRPr="28C543B8">
        <w:rPr>
          <w:rFonts w:ascii="Calibri" w:hAnsi="Calibri" w:cs="Calibri"/>
          <w:sz w:val="22"/>
          <w:szCs w:val="22"/>
        </w:rPr>
        <w:t>shown</w:t>
      </w:r>
      <w:r w:rsidRPr="28C543B8">
        <w:rPr>
          <w:rFonts w:ascii="Calibri" w:hAnsi="Calibri" w:cs="Calibri"/>
          <w:sz w:val="22"/>
          <w:szCs w:val="22"/>
        </w:rPr>
        <w:t>. We can look at address details for each pharmacy and try to match post codes / address 1</w:t>
      </w:r>
      <w:r w:rsidRPr="28C543B8">
        <w:rPr>
          <w:rFonts w:ascii="Calibri" w:hAnsi="Calibri" w:cs="Calibri"/>
          <w:sz w:val="22"/>
          <w:szCs w:val="22"/>
          <w:vertAlign w:val="superscript"/>
        </w:rPr>
        <w:t>st</w:t>
      </w:r>
      <w:r w:rsidRPr="28C543B8">
        <w:rPr>
          <w:rFonts w:ascii="Calibri" w:hAnsi="Calibri" w:cs="Calibri"/>
          <w:sz w:val="22"/>
          <w:szCs w:val="22"/>
        </w:rPr>
        <w:t xml:space="preserve"> lines however we have found that these are not written consistently within the data so </w:t>
      </w:r>
      <w:r w:rsidR="414904B1" w:rsidRPr="28C543B8">
        <w:rPr>
          <w:rFonts w:ascii="Calibri" w:hAnsi="Calibri" w:cs="Calibri"/>
          <w:sz w:val="22"/>
          <w:szCs w:val="22"/>
        </w:rPr>
        <w:t xml:space="preserve">do not always match even when they are </w:t>
      </w:r>
      <w:r w:rsidR="44950850" w:rsidRPr="28C543B8">
        <w:rPr>
          <w:rFonts w:ascii="Calibri" w:hAnsi="Calibri" w:cs="Calibri"/>
          <w:sz w:val="22"/>
          <w:szCs w:val="22"/>
        </w:rPr>
        <w:t>the</w:t>
      </w:r>
      <w:r w:rsidR="414904B1" w:rsidRPr="28C543B8">
        <w:rPr>
          <w:rFonts w:ascii="Calibri" w:hAnsi="Calibri" w:cs="Calibri"/>
          <w:sz w:val="22"/>
          <w:szCs w:val="22"/>
        </w:rPr>
        <w:t xml:space="preserve"> same premises.</w:t>
      </w:r>
      <w:r w:rsidR="6C448A4C" w:rsidRPr="28C543B8">
        <w:rPr>
          <w:rFonts w:ascii="Calibri" w:hAnsi="Calibri" w:cs="Calibri"/>
          <w:sz w:val="22"/>
          <w:szCs w:val="22"/>
        </w:rPr>
        <w:t xml:space="preserve"> We are also aware the data set seems to include </w:t>
      </w:r>
      <w:r w:rsidR="1E56F16B" w:rsidRPr="28C543B8">
        <w:rPr>
          <w:rFonts w:ascii="Calibri" w:hAnsi="Calibri" w:cs="Calibri"/>
          <w:sz w:val="22"/>
          <w:szCs w:val="22"/>
        </w:rPr>
        <w:t>some</w:t>
      </w:r>
      <w:r w:rsidR="36D6F143" w:rsidRPr="28C543B8">
        <w:rPr>
          <w:rFonts w:ascii="Calibri" w:hAnsi="Calibri" w:cs="Calibri"/>
          <w:sz w:val="22"/>
          <w:szCs w:val="22"/>
        </w:rPr>
        <w:t xml:space="preserve"> pharmacies which </w:t>
      </w:r>
      <w:r w:rsidR="4933C41A" w:rsidRPr="28C543B8">
        <w:rPr>
          <w:rFonts w:ascii="Calibri" w:hAnsi="Calibri" w:cs="Calibri"/>
          <w:sz w:val="22"/>
          <w:szCs w:val="22"/>
        </w:rPr>
        <w:t>appear to open and close within only a few days</w:t>
      </w:r>
      <w:r w:rsidR="5FFEAA5F" w:rsidRPr="28C543B8">
        <w:rPr>
          <w:rFonts w:ascii="Calibri" w:hAnsi="Calibri" w:cs="Calibri"/>
          <w:sz w:val="22"/>
          <w:szCs w:val="22"/>
        </w:rPr>
        <w:t>;</w:t>
      </w:r>
      <w:r w:rsidR="4933C41A" w:rsidRPr="28C543B8">
        <w:rPr>
          <w:rFonts w:ascii="Calibri" w:hAnsi="Calibri" w:cs="Calibri"/>
          <w:sz w:val="22"/>
          <w:szCs w:val="22"/>
        </w:rPr>
        <w:t xml:space="preserve"> these might be intermediary </w:t>
      </w:r>
      <w:r w:rsidR="091C51C4" w:rsidRPr="28C543B8">
        <w:rPr>
          <w:rFonts w:ascii="Calibri" w:hAnsi="Calibri" w:cs="Calibri"/>
          <w:sz w:val="22"/>
          <w:szCs w:val="22"/>
        </w:rPr>
        <w:t xml:space="preserve">steps in </w:t>
      </w:r>
      <w:r w:rsidR="0716809D" w:rsidRPr="28C543B8">
        <w:rPr>
          <w:rFonts w:ascii="Calibri" w:hAnsi="Calibri" w:cs="Calibri"/>
          <w:sz w:val="22"/>
          <w:szCs w:val="22"/>
        </w:rPr>
        <w:t xml:space="preserve">a change in ownership. </w:t>
      </w:r>
    </w:p>
    <w:p w14:paraId="5643CCA0" w14:textId="6ED203C6" w:rsidR="00D04BEE" w:rsidRPr="004B2B42" w:rsidRDefault="4DF66E1A" w:rsidP="28C543B8">
      <w:pPr>
        <w:pStyle w:val="NormalWeb"/>
        <w:widowControl/>
        <w:autoSpaceDE/>
        <w:autoSpaceDN/>
        <w:spacing w:before="100" w:beforeAutospacing="1" w:after="100" w:afterAutospacing="1"/>
        <w:ind w:left="1494" w:right="1275"/>
      </w:pPr>
      <w:r w:rsidRPr="28C543B8">
        <w:rPr>
          <w:rFonts w:ascii="Calibri" w:hAnsi="Calibri" w:cs="Calibri"/>
          <w:sz w:val="22"/>
          <w:szCs w:val="22"/>
        </w:rPr>
        <w:t xml:space="preserve">Given </w:t>
      </w:r>
      <w:r w:rsidR="0716809D" w:rsidRPr="28C543B8">
        <w:rPr>
          <w:rFonts w:ascii="Calibri" w:hAnsi="Calibri" w:cs="Calibri"/>
          <w:sz w:val="22"/>
          <w:szCs w:val="22"/>
        </w:rPr>
        <w:t xml:space="preserve">the various anomalies in the data </w:t>
      </w:r>
      <w:r w:rsidR="58F3FF5B" w:rsidRPr="28C543B8">
        <w:rPr>
          <w:rFonts w:ascii="Calibri" w:hAnsi="Calibri" w:cs="Calibri"/>
          <w:sz w:val="22"/>
          <w:szCs w:val="22"/>
        </w:rPr>
        <w:t>any granular analysis can only be an estimate.</w:t>
      </w:r>
    </w:p>
    <w:p w14:paraId="77AB09A9" w14:textId="53881613" w:rsidR="28C543B8" w:rsidRDefault="28C543B8" w:rsidP="28C543B8">
      <w:pPr>
        <w:pStyle w:val="NormalWeb"/>
        <w:spacing w:beforeAutospacing="1" w:afterAutospacing="1"/>
        <w:ind w:left="1494" w:right="1275"/>
        <w:rPr>
          <w:rFonts w:ascii="Calibri" w:hAnsi="Calibri" w:cs="Calibri"/>
          <w:sz w:val="22"/>
          <w:szCs w:val="22"/>
        </w:rPr>
      </w:pPr>
    </w:p>
    <w:p w14:paraId="6F12454E" w14:textId="6BF84778" w:rsidR="28C543B8" w:rsidRDefault="28C543B8" w:rsidP="28C543B8">
      <w:pPr>
        <w:pStyle w:val="NormalWeb"/>
        <w:spacing w:beforeAutospacing="1" w:afterAutospacing="1"/>
        <w:ind w:left="1494" w:right="1275"/>
        <w:rPr>
          <w:rFonts w:ascii="Calibri" w:hAnsi="Calibri" w:cs="Calibri"/>
          <w:sz w:val="22"/>
          <w:szCs w:val="22"/>
        </w:rPr>
      </w:pPr>
    </w:p>
    <w:p w14:paraId="4534DA93" w14:textId="40053AF2" w:rsidR="28C543B8" w:rsidRDefault="13B9F8DA" w:rsidP="000C447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en-GB" w:bidi="ar-SA"/>
        </w:rPr>
      </w:pPr>
      <w:r w:rsidRPr="28C543B8">
        <w:rPr>
          <w:rFonts w:eastAsia="Times New Roman"/>
          <w:lang w:eastAsia="en-GB" w:bidi="ar-SA"/>
        </w:rPr>
        <w:t xml:space="preserve">Statistics </w:t>
      </w:r>
      <w:r w:rsidR="2D871EA6">
        <w:br/>
      </w:r>
      <w:r w:rsidR="2D871EA6">
        <w:br/>
      </w:r>
      <w:r w:rsidRPr="28C543B8">
        <w:rPr>
          <w:rFonts w:eastAsia="Times New Roman"/>
          <w:lang w:eastAsia="en-GB" w:bidi="ar-SA"/>
        </w:rPr>
        <w:t>The information in the agenda was noted</w:t>
      </w:r>
      <w:r w:rsidR="7B294FBE" w:rsidRPr="28C543B8">
        <w:rPr>
          <w:rFonts w:eastAsia="Times New Roman"/>
          <w:lang w:eastAsia="en-GB" w:bidi="ar-SA"/>
        </w:rPr>
        <w:t xml:space="preserve">. </w:t>
      </w:r>
      <w:r w:rsidR="2B94439D" w:rsidRPr="28C543B8">
        <w:rPr>
          <w:rFonts w:eastAsia="Times New Roman"/>
          <w:lang w:eastAsia="en-GB" w:bidi="ar-SA"/>
        </w:rPr>
        <w:t xml:space="preserve">The </w:t>
      </w:r>
      <w:r w:rsidR="7B294FBE" w:rsidRPr="28C543B8">
        <w:rPr>
          <w:rFonts w:eastAsia="Times New Roman"/>
          <w:lang w:eastAsia="en-GB" w:bidi="ar-SA"/>
        </w:rPr>
        <w:t xml:space="preserve">recent uptick in reimbursement </w:t>
      </w:r>
      <w:r w:rsidR="7A26D76B" w:rsidRPr="28C543B8">
        <w:rPr>
          <w:rFonts w:eastAsia="Times New Roman"/>
          <w:lang w:eastAsia="en-GB" w:bidi="ar-SA"/>
        </w:rPr>
        <w:t xml:space="preserve">per item </w:t>
      </w:r>
      <w:r w:rsidR="06607380" w:rsidRPr="28C543B8">
        <w:rPr>
          <w:rFonts w:eastAsia="Times New Roman"/>
          <w:lang w:eastAsia="en-GB" w:bidi="ar-SA"/>
        </w:rPr>
        <w:t>for</w:t>
      </w:r>
      <w:r w:rsidR="7B294FBE" w:rsidRPr="28C543B8">
        <w:rPr>
          <w:rFonts w:eastAsia="Times New Roman"/>
          <w:lang w:eastAsia="en-GB" w:bidi="ar-SA"/>
        </w:rPr>
        <w:t xml:space="preserve"> dispensing doctors</w:t>
      </w:r>
      <w:r w:rsidR="09A52605" w:rsidRPr="28C543B8">
        <w:rPr>
          <w:rFonts w:eastAsia="Times New Roman"/>
          <w:lang w:eastAsia="en-GB" w:bidi="ar-SA"/>
        </w:rPr>
        <w:t xml:space="preserve"> was highlighted</w:t>
      </w:r>
      <w:r w:rsidR="7B294FBE" w:rsidRPr="28C543B8">
        <w:rPr>
          <w:rFonts w:eastAsia="Times New Roman"/>
          <w:lang w:eastAsia="en-GB" w:bidi="ar-SA"/>
        </w:rPr>
        <w:t xml:space="preserve">. </w:t>
      </w:r>
      <w:r w:rsidR="2D871EA6">
        <w:br/>
      </w:r>
    </w:p>
    <w:p w14:paraId="273400FB" w14:textId="4C89DF2C" w:rsidR="00B106F3" w:rsidRPr="002B3901" w:rsidRDefault="13B9F8DA" w:rsidP="007A19A5">
      <w:pPr>
        <w:pStyle w:val="ListParagraph"/>
        <w:widowControl/>
        <w:numPr>
          <w:ilvl w:val="0"/>
          <w:numId w:val="1"/>
        </w:numPr>
        <w:tabs>
          <w:tab w:val="left" w:pos="1579"/>
        </w:tabs>
        <w:autoSpaceDE/>
        <w:autoSpaceDN/>
        <w:spacing w:before="51" w:beforeAutospacing="1" w:after="100" w:afterAutospacing="1"/>
        <w:ind w:right="1134"/>
        <w:rPr>
          <w:b/>
          <w:bCs/>
        </w:rPr>
      </w:pPr>
      <w:r w:rsidRPr="002B3901">
        <w:rPr>
          <w:rFonts w:eastAsia="Times New Roman"/>
          <w:lang w:eastAsia="en-GB" w:bidi="ar-SA"/>
        </w:rPr>
        <w:t xml:space="preserve">Any other business </w:t>
      </w:r>
      <w:r w:rsidR="2D871EA6">
        <w:br/>
      </w:r>
      <w:r w:rsidR="2D871EA6">
        <w:br/>
      </w:r>
      <w:r w:rsidRPr="002B3901">
        <w:rPr>
          <w:rFonts w:eastAsia="Times New Roman"/>
          <w:lang w:eastAsia="en-GB" w:bidi="ar-SA"/>
        </w:rPr>
        <w:t>No</w:t>
      </w:r>
      <w:r w:rsidR="08E36B83" w:rsidRPr="002B3901">
        <w:rPr>
          <w:rFonts w:eastAsia="Times New Roman"/>
          <w:lang w:eastAsia="en-GB" w:bidi="ar-SA"/>
        </w:rPr>
        <w:t>ne</w:t>
      </w:r>
      <w:bookmarkStart w:id="2" w:name="_bookmark2"/>
      <w:bookmarkEnd w:id="2"/>
    </w:p>
    <w:sectPr w:rsidR="00B106F3" w:rsidRPr="002B3901" w:rsidSect="00444D0B">
      <w:footerReference w:type="default" r:id="rId11"/>
      <w:pgSz w:w="11910" w:h="16840"/>
      <w:pgMar w:top="800" w:right="3" w:bottom="800" w:left="0" w:header="0" w:footer="6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AC53" w14:textId="77777777" w:rsidR="007A19A5" w:rsidRDefault="007A19A5">
      <w:r>
        <w:separator/>
      </w:r>
    </w:p>
  </w:endnote>
  <w:endnote w:type="continuationSeparator" w:id="0">
    <w:p w14:paraId="26035C30" w14:textId="77777777" w:rsidR="007A19A5" w:rsidRDefault="007A19A5">
      <w:r>
        <w:continuationSeparator/>
      </w:r>
    </w:p>
  </w:endnote>
  <w:endnote w:type="continuationNotice" w:id="1">
    <w:p w14:paraId="5D49AD3F" w14:textId="77777777" w:rsidR="007A19A5" w:rsidRDefault="007A1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6146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ADACD" w14:textId="2B2CA069" w:rsidR="000C4470" w:rsidRDefault="000C44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6EB221" w14:textId="2531377F" w:rsidR="00D96E59" w:rsidRDefault="00D96E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38D1" w14:textId="77777777" w:rsidR="007A19A5" w:rsidRDefault="007A19A5">
      <w:r>
        <w:separator/>
      </w:r>
    </w:p>
  </w:footnote>
  <w:footnote w:type="continuationSeparator" w:id="0">
    <w:p w14:paraId="4432625F" w14:textId="77777777" w:rsidR="007A19A5" w:rsidRDefault="007A19A5">
      <w:r>
        <w:continuationSeparator/>
      </w:r>
    </w:p>
  </w:footnote>
  <w:footnote w:type="continuationNotice" w:id="1">
    <w:p w14:paraId="542CC93B" w14:textId="77777777" w:rsidR="007A19A5" w:rsidRDefault="007A19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E7A"/>
    <w:multiLevelType w:val="hybridMultilevel"/>
    <w:tmpl w:val="8676ED8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A737F4F"/>
    <w:multiLevelType w:val="hybridMultilevel"/>
    <w:tmpl w:val="84E26492"/>
    <w:lvl w:ilvl="0" w:tplc="FFFFFFFF">
      <w:start w:val="1"/>
      <w:numFmt w:val="lowerLetter"/>
      <w:lvlText w:val="%1."/>
      <w:lvlJc w:val="left"/>
      <w:pPr>
        <w:ind w:left="2298" w:hanging="360"/>
      </w:pPr>
      <w:rPr>
        <w:b w:val="0"/>
        <w:bCs/>
        <w:color w:val="000000" w:themeColor="text1"/>
        <w:spacing w:val="-5"/>
        <w:w w:val="100"/>
        <w:sz w:val="22"/>
        <w:szCs w:val="22"/>
        <w:lang w:val="en-US" w:eastAsia="en-US" w:bidi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E4882"/>
    <w:multiLevelType w:val="hybridMultilevel"/>
    <w:tmpl w:val="679C4E50"/>
    <w:lvl w:ilvl="0" w:tplc="AE987BCA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  <w:b w:val="0"/>
        <w:bCs/>
        <w:spacing w:val="-4"/>
        <w:w w:val="100"/>
        <w:sz w:val="24"/>
        <w:szCs w:val="24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98" w:hanging="360"/>
      </w:pPr>
      <w:rPr>
        <w:b w:val="0"/>
        <w:bCs/>
        <w:color w:val="000000" w:themeColor="text1"/>
        <w:spacing w:val="-5"/>
        <w:w w:val="100"/>
        <w:sz w:val="22"/>
        <w:szCs w:val="22"/>
        <w:lang w:val="en-US" w:eastAsia="en-US" w:bidi="en-US"/>
      </w:rPr>
    </w:lvl>
    <w:lvl w:ilvl="2" w:tplc="1290A676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3" w:tplc="66BE0D52">
      <w:numFmt w:val="bullet"/>
      <w:lvlText w:val="•"/>
      <w:lvlJc w:val="left"/>
      <w:pPr>
        <w:ind w:left="4341" w:hanging="360"/>
      </w:pPr>
      <w:rPr>
        <w:rFonts w:hint="default"/>
        <w:lang w:val="en-US" w:eastAsia="en-US" w:bidi="en-US"/>
      </w:rPr>
    </w:lvl>
    <w:lvl w:ilvl="4" w:tplc="4D0E73B4">
      <w:numFmt w:val="bullet"/>
      <w:lvlText w:val="•"/>
      <w:lvlJc w:val="left"/>
      <w:pPr>
        <w:ind w:left="5362" w:hanging="360"/>
      </w:pPr>
      <w:rPr>
        <w:rFonts w:hint="default"/>
        <w:lang w:val="en-US" w:eastAsia="en-US" w:bidi="en-US"/>
      </w:rPr>
    </w:lvl>
    <w:lvl w:ilvl="5" w:tplc="53B26788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en-US"/>
      </w:rPr>
    </w:lvl>
    <w:lvl w:ilvl="6" w:tplc="293413C2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en-US"/>
      </w:rPr>
    </w:lvl>
    <w:lvl w:ilvl="7" w:tplc="5DE0C578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en-US"/>
      </w:rPr>
    </w:lvl>
    <w:lvl w:ilvl="8" w:tplc="FFDE9576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44C0AC6"/>
    <w:multiLevelType w:val="hybridMultilevel"/>
    <w:tmpl w:val="F0EAC35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1"/>
    <w:rsid w:val="00000F3B"/>
    <w:rsid w:val="000018A5"/>
    <w:rsid w:val="00003FCA"/>
    <w:rsid w:val="00005CB9"/>
    <w:rsid w:val="000105FE"/>
    <w:rsid w:val="00010DB6"/>
    <w:rsid w:val="000130F7"/>
    <w:rsid w:val="000200A8"/>
    <w:rsid w:val="00020F21"/>
    <w:rsid w:val="00023BAE"/>
    <w:rsid w:val="000240AB"/>
    <w:rsid w:val="000246A5"/>
    <w:rsid w:val="00025BE3"/>
    <w:rsid w:val="00026635"/>
    <w:rsid w:val="0003140A"/>
    <w:rsid w:val="000324C8"/>
    <w:rsid w:val="00032B51"/>
    <w:rsid w:val="00034D77"/>
    <w:rsid w:val="00041DB9"/>
    <w:rsid w:val="000465BC"/>
    <w:rsid w:val="00051051"/>
    <w:rsid w:val="000511C8"/>
    <w:rsid w:val="0005317A"/>
    <w:rsid w:val="00053308"/>
    <w:rsid w:val="00053D22"/>
    <w:rsid w:val="00053D72"/>
    <w:rsid w:val="000548DC"/>
    <w:rsid w:val="000552D0"/>
    <w:rsid w:val="0006520C"/>
    <w:rsid w:val="00065B26"/>
    <w:rsid w:val="00065CB8"/>
    <w:rsid w:val="0007352C"/>
    <w:rsid w:val="00076BD7"/>
    <w:rsid w:val="00077099"/>
    <w:rsid w:val="00080F17"/>
    <w:rsid w:val="00081192"/>
    <w:rsid w:val="00086C08"/>
    <w:rsid w:val="000906FA"/>
    <w:rsid w:val="00092386"/>
    <w:rsid w:val="00096B74"/>
    <w:rsid w:val="00096F46"/>
    <w:rsid w:val="00097952"/>
    <w:rsid w:val="000A1227"/>
    <w:rsid w:val="000A3CFF"/>
    <w:rsid w:val="000A7D8F"/>
    <w:rsid w:val="000B2714"/>
    <w:rsid w:val="000B4E35"/>
    <w:rsid w:val="000B6FCB"/>
    <w:rsid w:val="000B7510"/>
    <w:rsid w:val="000C4470"/>
    <w:rsid w:val="000D2B8F"/>
    <w:rsid w:val="000D4550"/>
    <w:rsid w:val="000E1D9E"/>
    <w:rsid w:val="000E1E7B"/>
    <w:rsid w:val="000E292C"/>
    <w:rsid w:val="000F17E9"/>
    <w:rsid w:val="000F2D6C"/>
    <w:rsid w:val="000F702F"/>
    <w:rsid w:val="000F7E75"/>
    <w:rsid w:val="00100080"/>
    <w:rsid w:val="00102C5F"/>
    <w:rsid w:val="00105EE9"/>
    <w:rsid w:val="001105FD"/>
    <w:rsid w:val="00113662"/>
    <w:rsid w:val="0011414E"/>
    <w:rsid w:val="00114D17"/>
    <w:rsid w:val="00116B04"/>
    <w:rsid w:val="001211A8"/>
    <w:rsid w:val="00123237"/>
    <w:rsid w:val="001267B7"/>
    <w:rsid w:val="00140D19"/>
    <w:rsid w:val="00141583"/>
    <w:rsid w:val="00145EAE"/>
    <w:rsid w:val="00145F32"/>
    <w:rsid w:val="00146679"/>
    <w:rsid w:val="00146ABE"/>
    <w:rsid w:val="00150E01"/>
    <w:rsid w:val="001519E3"/>
    <w:rsid w:val="00151CC5"/>
    <w:rsid w:val="0015636E"/>
    <w:rsid w:val="001568DB"/>
    <w:rsid w:val="00163521"/>
    <w:rsid w:val="00165F96"/>
    <w:rsid w:val="001668ED"/>
    <w:rsid w:val="00173500"/>
    <w:rsid w:val="00175655"/>
    <w:rsid w:val="00177734"/>
    <w:rsid w:val="001812FC"/>
    <w:rsid w:val="001814E3"/>
    <w:rsid w:val="001840FE"/>
    <w:rsid w:val="00187C25"/>
    <w:rsid w:val="001908CD"/>
    <w:rsid w:val="00191429"/>
    <w:rsid w:val="001922B3"/>
    <w:rsid w:val="00194DF8"/>
    <w:rsid w:val="00195EE4"/>
    <w:rsid w:val="00195EF6"/>
    <w:rsid w:val="001960AE"/>
    <w:rsid w:val="0019643D"/>
    <w:rsid w:val="00196BF2"/>
    <w:rsid w:val="001A6B0C"/>
    <w:rsid w:val="001B15A2"/>
    <w:rsid w:val="001B4A49"/>
    <w:rsid w:val="001B6FCD"/>
    <w:rsid w:val="001C0D8A"/>
    <w:rsid w:val="001C0DAA"/>
    <w:rsid w:val="001C23B4"/>
    <w:rsid w:val="001C27DD"/>
    <w:rsid w:val="001C364C"/>
    <w:rsid w:val="001C3C27"/>
    <w:rsid w:val="001C6200"/>
    <w:rsid w:val="001D06A4"/>
    <w:rsid w:val="001D081D"/>
    <w:rsid w:val="001D38FC"/>
    <w:rsid w:val="001D5B68"/>
    <w:rsid w:val="001D5B99"/>
    <w:rsid w:val="001D6A79"/>
    <w:rsid w:val="001D6D12"/>
    <w:rsid w:val="001D6FE3"/>
    <w:rsid w:val="001D7129"/>
    <w:rsid w:val="001E4E7D"/>
    <w:rsid w:val="001F0D81"/>
    <w:rsid w:val="001F3F25"/>
    <w:rsid w:val="001F7DE8"/>
    <w:rsid w:val="002007CF"/>
    <w:rsid w:val="00206DF7"/>
    <w:rsid w:val="002131BB"/>
    <w:rsid w:val="00221A25"/>
    <w:rsid w:val="002328C8"/>
    <w:rsid w:val="00233B26"/>
    <w:rsid w:val="00233F56"/>
    <w:rsid w:val="00234537"/>
    <w:rsid w:val="00235AE1"/>
    <w:rsid w:val="00237FE8"/>
    <w:rsid w:val="00240889"/>
    <w:rsid w:val="0024190B"/>
    <w:rsid w:val="00241B44"/>
    <w:rsid w:val="00242931"/>
    <w:rsid w:val="00243E30"/>
    <w:rsid w:val="002448C8"/>
    <w:rsid w:val="00246BD1"/>
    <w:rsid w:val="00252F72"/>
    <w:rsid w:val="002564D9"/>
    <w:rsid w:val="00263F9B"/>
    <w:rsid w:val="0026448B"/>
    <w:rsid w:val="00264C32"/>
    <w:rsid w:val="002651C5"/>
    <w:rsid w:val="00265F3F"/>
    <w:rsid w:val="0026611B"/>
    <w:rsid w:val="002673B7"/>
    <w:rsid w:val="00271270"/>
    <w:rsid w:val="00272685"/>
    <w:rsid w:val="00272FEC"/>
    <w:rsid w:val="002736E8"/>
    <w:rsid w:val="002740A1"/>
    <w:rsid w:val="00275919"/>
    <w:rsid w:val="00280102"/>
    <w:rsid w:val="0028417C"/>
    <w:rsid w:val="00285214"/>
    <w:rsid w:val="0029296D"/>
    <w:rsid w:val="00294B96"/>
    <w:rsid w:val="00295A21"/>
    <w:rsid w:val="002A4075"/>
    <w:rsid w:val="002A54F7"/>
    <w:rsid w:val="002B3601"/>
    <w:rsid w:val="002B3901"/>
    <w:rsid w:val="002B7641"/>
    <w:rsid w:val="002C1917"/>
    <w:rsid w:val="002C48AD"/>
    <w:rsid w:val="002C64BA"/>
    <w:rsid w:val="002C722A"/>
    <w:rsid w:val="002D2CF1"/>
    <w:rsid w:val="002D3332"/>
    <w:rsid w:val="002D4F0B"/>
    <w:rsid w:val="002E5557"/>
    <w:rsid w:val="002F275A"/>
    <w:rsid w:val="002F560B"/>
    <w:rsid w:val="002F61B6"/>
    <w:rsid w:val="002F6790"/>
    <w:rsid w:val="002F69F5"/>
    <w:rsid w:val="002F76DD"/>
    <w:rsid w:val="00302871"/>
    <w:rsid w:val="00315268"/>
    <w:rsid w:val="0031697B"/>
    <w:rsid w:val="00317463"/>
    <w:rsid w:val="00324F03"/>
    <w:rsid w:val="00327ED8"/>
    <w:rsid w:val="003326D3"/>
    <w:rsid w:val="00337C96"/>
    <w:rsid w:val="00342F2D"/>
    <w:rsid w:val="00344785"/>
    <w:rsid w:val="00350742"/>
    <w:rsid w:val="00355481"/>
    <w:rsid w:val="00355C4D"/>
    <w:rsid w:val="003574C6"/>
    <w:rsid w:val="00360000"/>
    <w:rsid w:val="0036633F"/>
    <w:rsid w:val="00367CFC"/>
    <w:rsid w:val="00367FD9"/>
    <w:rsid w:val="003738FE"/>
    <w:rsid w:val="003743A5"/>
    <w:rsid w:val="0037771F"/>
    <w:rsid w:val="00387F43"/>
    <w:rsid w:val="003901C0"/>
    <w:rsid w:val="00390A6F"/>
    <w:rsid w:val="00391981"/>
    <w:rsid w:val="00391D2F"/>
    <w:rsid w:val="003935DA"/>
    <w:rsid w:val="00393BD2"/>
    <w:rsid w:val="0039550D"/>
    <w:rsid w:val="00396EED"/>
    <w:rsid w:val="003A2296"/>
    <w:rsid w:val="003A3C9A"/>
    <w:rsid w:val="003B324D"/>
    <w:rsid w:val="003B43EA"/>
    <w:rsid w:val="003B641B"/>
    <w:rsid w:val="003B686E"/>
    <w:rsid w:val="003B7BEF"/>
    <w:rsid w:val="003C2AE7"/>
    <w:rsid w:val="003C2EB3"/>
    <w:rsid w:val="003C30FE"/>
    <w:rsid w:val="003C7DDE"/>
    <w:rsid w:val="003D0C8F"/>
    <w:rsid w:val="003D3155"/>
    <w:rsid w:val="003D5F91"/>
    <w:rsid w:val="003E189C"/>
    <w:rsid w:val="003E41FB"/>
    <w:rsid w:val="003E7323"/>
    <w:rsid w:val="003F4790"/>
    <w:rsid w:val="003F4D6E"/>
    <w:rsid w:val="003F4FAA"/>
    <w:rsid w:val="003F5C2E"/>
    <w:rsid w:val="00402441"/>
    <w:rsid w:val="00405A4C"/>
    <w:rsid w:val="0040625D"/>
    <w:rsid w:val="00406643"/>
    <w:rsid w:val="00415FE6"/>
    <w:rsid w:val="004167A4"/>
    <w:rsid w:val="004213F9"/>
    <w:rsid w:val="0042179F"/>
    <w:rsid w:val="004226EA"/>
    <w:rsid w:val="00422CC6"/>
    <w:rsid w:val="0042635D"/>
    <w:rsid w:val="004310DA"/>
    <w:rsid w:val="004352CF"/>
    <w:rsid w:val="00440B1D"/>
    <w:rsid w:val="004436AD"/>
    <w:rsid w:val="00444D0B"/>
    <w:rsid w:val="0044622B"/>
    <w:rsid w:val="0044694C"/>
    <w:rsid w:val="00447205"/>
    <w:rsid w:val="00460CE6"/>
    <w:rsid w:val="00461488"/>
    <w:rsid w:val="004636C6"/>
    <w:rsid w:val="00467D93"/>
    <w:rsid w:val="00470FAE"/>
    <w:rsid w:val="00471154"/>
    <w:rsid w:val="00471559"/>
    <w:rsid w:val="004729C7"/>
    <w:rsid w:val="00473584"/>
    <w:rsid w:val="004809E6"/>
    <w:rsid w:val="004847C8"/>
    <w:rsid w:val="00484A85"/>
    <w:rsid w:val="00485D30"/>
    <w:rsid w:val="0048603D"/>
    <w:rsid w:val="00492CD3"/>
    <w:rsid w:val="0049500F"/>
    <w:rsid w:val="004A0784"/>
    <w:rsid w:val="004A0F37"/>
    <w:rsid w:val="004A3C53"/>
    <w:rsid w:val="004A6557"/>
    <w:rsid w:val="004A7710"/>
    <w:rsid w:val="004B2B42"/>
    <w:rsid w:val="004B6C65"/>
    <w:rsid w:val="004C2995"/>
    <w:rsid w:val="004C56DA"/>
    <w:rsid w:val="004C5799"/>
    <w:rsid w:val="004D45FE"/>
    <w:rsid w:val="004E0CA0"/>
    <w:rsid w:val="004E16F4"/>
    <w:rsid w:val="004E18A5"/>
    <w:rsid w:val="004E296E"/>
    <w:rsid w:val="004F0625"/>
    <w:rsid w:val="004F1036"/>
    <w:rsid w:val="004F10E2"/>
    <w:rsid w:val="004F19B0"/>
    <w:rsid w:val="004F2869"/>
    <w:rsid w:val="004F2899"/>
    <w:rsid w:val="00500717"/>
    <w:rsid w:val="00501C41"/>
    <w:rsid w:val="00501FA8"/>
    <w:rsid w:val="00502428"/>
    <w:rsid w:val="00504F8E"/>
    <w:rsid w:val="00504FDE"/>
    <w:rsid w:val="00510756"/>
    <w:rsid w:val="00511B4E"/>
    <w:rsid w:val="0051266D"/>
    <w:rsid w:val="00512B63"/>
    <w:rsid w:val="005136CF"/>
    <w:rsid w:val="00514FC5"/>
    <w:rsid w:val="005200C9"/>
    <w:rsid w:val="00526EE0"/>
    <w:rsid w:val="0053386A"/>
    <w:rsid w:val="00536F9E"/>
    <w:rsid w:val="0054719D"/>
    <w:rsid w:val="00550290"/>
    <w:rsid w:val="005519F7"/>
    <w:rsid w:val="00552764"/>
    <w:rsid w:val="00553709"/>
    <w:rsid w:val="00554875"/>
    <w:rsid w:val="00561BD2"/>
    <w:rsid w:val="00561CD0"/>
    <w:rsid w:val="00564506"/>
    <w:rsid w:val="00564BC3"/>
    <w:rsid w:val="005717B3"/>
    <w:rsid w:val="00576267"/>
    <w:rsid w:val="00576931"/>
    <w:rsid w:val="00576A5C"/>
    <w:rsid w:val="00577B33"/>
    <w:rsid w:val="005801AB"/>
    <w:rsid w:val="0058042B"/>
    <w:rsid w:val="00581F3A"/>
    <w:rsid w:val="00582F5D"/>
    <w:rsid w:val="005831FB"/>
    <w:rsid w:val="00583E64"/>
    <w:rsid w:val="005867C0"/>
    <w:rsid w:val="00589B09"/>
    <w:rsid w:val="0059198B"/>
    <w:rsid w:val="005929B4"/>
    <w:rsid w:val="00592A69"/>
    <w:rsid w:val="005932B8"/>
    <w:rsid w:val="00593912"/>
    <w:rsid w:val="00595D8B"/>
    <w:rsid w:val="005A0D06"/>
    <w:rsid w:val="005B19BD"/>
    <w:rsid w:val="005B6381"/>
    <w:rsid w:val="005B6488"/>
    <w:rsid w:val="005C37AE"/>
    <w:rsid w:val="005C6D04"/>
    <w:rsid w:val="005C7D07"/>
    <w:rsid w:val="005E19D2"/>
    <w:rsid w:val="005E652F"/>
    <w:rsid w:val="005E7530"/>
    <w:rsid w:val="005F0252"/>
    <w:rsid w:val="005F0B0B"/>
    <w:rsid w:val="005F28E6"/>
    <w:rsid w:val="006003DB"/>
    <w:rsid w:val="0060497E"/>
    <w:rsid w:val="00605C7D"/>
    <w:rsid w:val="00611FE4"/>
    <w:rsid w:val="00612264"/>
    <w:rsid w:val="00613427"/>
    <w:rsid w:val="0061349B"/>
    <w:rsid w:val="0061548A"/>
    <w:rsid w:val="00623B97"/>
    <w:rsid w:val="00625879"/>
    <w:rsid w:val="00630220"/>
    <w:rsid w:val="00632421"/>
    <w:rsid w:val="00632D7D"/>
    <w:rsid w:val="00633027"/>
    <w:rsid w:val="0063307D"/>
    <w:rsid w:val="0063357B"/>
    <w:rsid w:val="00635906"/>
    <w:rsid w:val="0063594B"/>
    <w:rsid w:val="00637203"/>
    <w:rsid w:val="00637BB3"/>
    <w:rsid w:val="0064055A"/>
    <w:rsid w:val="00644779"/>
    <w:rsid w:val="0064585B"/>
    <w:rsid w:val="00653ED2"/>
    <w:rsid w:val="006562D2"/>
    <w:rsid w:val="00656311"/>
    <w:rsid w:val="00657501"/>
    <w:rsid w:val="00663467"/>
    <w:rsid w:val="006647A0"/>
    <w:rsid w:val="00665AF9"/>
    <w:rsid w:val="00666004"/>
    <w:rsid w:val="00671AD8"/>
    <w:rsid w:val="00671CE9"/>
    <w:rsid w:val="006727E2"/>
    <w:rsid w:val="00674D61"/>
    <w:rsid w:val="00676927"/>
    <w:rsid w:val="006769B3"/>
    <w:rsid w:val="00677E43"/>
    <w:rsid w:val="00692FC4"/>
    <w:rsid w:val="006A3E1F"/>
    <w:rsid w:val="006A7669"/>
    <w:rsid w:val="006A7748"/>
    <w:rsid w:val="006B1282"/>
    <w:rsid w:val="006B2348"/>
    <w:rsid w:val="006B4021"/>
    <w:rsid w:val="006C244F"/>
    <w:rsid w:val="006C371D"/>
    <w:rsid w:val="006C3CF0"/>
    <w:rsid w:val="006C49C8"/>
    <w:rsid w:val="006C55FA"/>
    <w:rsid w:val="006C6F59"/>
    <w:rsid w:val="006D4D3F"/>
    <w:rsid w:val="006D6541"/>
    <w:rsid w:val="006D7044"/>
    <w:rsid w:val="006D7262"/>
    <w:rsid w:val="006E0C9A"/>
    <w:rsid w:val="006E23CB"/>
    <w:rsid w:val="006E37C0"/>
    <w:rsid w:val="006E5461"/>
    <w:rsid w:val="006E738B"/>
    <w:rsid w:val="006E75B3"/>
    <w:rsid w:val="006E773F"/>
    <w:rsid w:val="006E7EA0"/>
    <w:rsid w:val="006E7F52"/>
    <w:rsid w:val="006F205D"/>
    <w:rsid w:val="006F6211"/>
    <w:rsid w:val="006F7E22"/>
    <w:rsid w:val="00701298"/>
    <w:rsid w:val="00705380"/>
    <w:rsid w:val="00706441"/>
    <w:rsid w:val="00711756"/>
    <w:rsid w:val="00713F87"/>
    <w:rsid w:val="00715890"/>
    <w:rsid w:val="00716771"/>
    <w:rsid w:val="00717F8D"/>
    <w:rsid w:val="0072074C"/>
    <w:rsid w:val="00723157"/>
    <w:rsid w:val="007314BA"/>
    <w:rsid w:val="00731509"/>
    <w:rsid w:val="007343B2"/>
    <w:rsid w:val="00736F34"/>
    <w:rsid w:val="00744B93"/>
    <w:rsid w:val="00745BEC"/>
    <w:rsid w:val="0074633C"/>
    <w:rsid w:val="00746EDE"/>
    <w:rsid w:val="007516A2"/>
    <w:rsid w:val="00752A88"/>
    <w:rsid w:val="00753B75"/>
    <w:rsid w:val="00756900"/>
    <w:rsid w:val="00757B8E"/>
    <w:rsid w:val="0076244C"/>
    <w:rsid w:val="00766DC1"/>
    <w:rsid w:val="007722C5"/>
    <w:rsid w:val="00777084"/>
    <w:rsid w:val="00780B63"/>
    <w:rsid w:val="00782928"/>
    <w:rsid w:val="00785D6D"/>
    <w:rsid w:val="007865D9"/>
    <w:rsid w:val="00786E58"/>
    <w:rsid w:val="0079023E"/>
    <w:rsid w:val="00790E6E"/>
    <w:rsid w:val="00792003"/>
    <w:rsid w:val="00793327"/>
    <w:rsid w:val="00795540"/>
    <w:rsid w:val="00795871"/>
    <w:rsid w:val="00797EC1"/>
    <w:rsid w:val="007A06DF"/>
    <w:rsid w:val="007A19A5"/>
    <w:rsid w:val="007A2440"/>
    <w:rsid w:val="007B22AB"/>
    <w:rsid w:val="007B4D64"/>
    <w:rsid w:val="007B53F7"/>
    <w:rsid w:val="007B65F0"/>
    <w:rsid w:val="007B6A20"/>
    <w:rsid w:val="007B6C6D"/>
    <w:rsid w:val="007C012F"/>
    <w:rsid w:val="007C038C"/>
    <w:rsid w:val="007C2E35"/>
    <w:rsid w:val="007C5B98"/>
    <w:rsid w:val="007D2CE6"/>
    <w:rsid w:val="007D6234"/>
    <w:rsid w:val="007D647B"/>
    <w:rsid w:val="007D7CAE"/>
    <w:rsid w:val="007E2970"/>
    <w:rsid w:val="007E2DA6"/>
    <w:rsid w:val="007E2E7E"/>
    <w:rsid w:val="007E39D7"/>
    <w:rsid w:val="007E7AC2"/>
    <w:rsid w:val="007F0C6C"/>
    <w:rsid w:val="007F5071"/>
    <w:rsid w:val="007F626B"/>
    <w:rsid w:val="00802FDD"/>
    <w:rsid w:val="008031FE"/>
    <w:rsid w:val="00805180"/>
    <w:rsid w:val="00816AF3"/>
    <w:rsid w:val="0081765F"/>
    <w:rsid w:val="008203DA"/>
    <w:rsid w:val="0082256D"/>
    <w:rsid w:val="00827CFD"/>
    <w:rsid w:val="00833306"/>
    <w:rsid w:val="00834DD2"/>
    <w:rsid w:val="00835CD4"/>
    <w:rsid w:val="0084105D"/>
    <w:rsid w:val="00843137"/>
    <w:rsid w:val="00843D5E"/>
    <w:rsid w:val="008446F1"/>
    <w:rsid w:val="0085394E"/>
    <w:rsid w:val="00853D09"/>
    <w:rsid w:val="0085463E"/>
    <w:rsid w:val="0086144F"/>
    <w:rsid w:val="008621CB"/>
    <w:rsid w:val="0086708D"/>
    <w:rsid w:val="008705A9"/>
    <w:rsid w:val="008735E4"/>
    <w:rsid w:val="00873FC4"/>
    <w:rsid w:val="00876A0F"/>
    <w:rsid w:val="00881263"/>
    <w:rsid w:val="008823A6"/>
    <w:rsid w:val="0088367F"/>
    <w:rsid w:val="008844CA"/>
    <w:rsid w:val="00886A19"/>
    <w:rsid w:val="0089311B"/>
    <w:rsid w:val="00893A7D"/>
    <w:rsid w:val="00894B12"/>
    <w:rsid w:val="008957FA"/>
    <w:rsid w:val="0089771C"/>
    <w:rsid w:val="008A1A0F"/>
    <w:rsid w:val="008A2859"/>
    <w:rsid w:val="008A3C0D"/>
    <w:rsid w:val="008A43A2"/>
    <w:rsid w:val="008A7C7C"/>
    <w:rsid w:val="008B4186"/>
    <w:rsid w:val="008B42D3"/>
    <w:rsid w:val="008B5AA5"/>
    <w:rsid w:val="008B5BD6"/>
    <w:rsid w:val="008B66C4"/>
    <w:rsid w:val="008C33E0"/>
    <w:rsid w:val="008C606D"/>
    <w:rsid w:val="008C73E1"/>
    <w:rsid w:val="008C7864"/>
    <w:rsid w:val="008D1125"/>
    <w:rsid w:val="008D2DFD"/>
    <w:rsid w:val="008D342C"/>
    <w:rsid w:val="008E3334"/>
    <w:rsid w:val="008E3C87"/>
    <w:rsid w:val="008F0A5C"/>
    <w:rsid w:val="008F26A7"/>
    <w:rsid w:val="008F5CBE"/>
    <w:rsid w:val="008F7FF6"/>
    <w:rsid w:val="00900ABD"/>
    <w:rsid w:val="009021B4"/>
    <w:rsid w:val="0090227A"/>
    <w:rsid w:val="009023F7"/>
    <w:rsid w:val="00903EFC"/>
    <w:rsid w:val="009040DB"/>
    <w:rsid w:val="0090410B"/>
    <w:rsid w:val="00904454"/>
    <w:rsid w:val="00904B08"/>
    <w:rsid w:val="00905738"/>
    <w:rsid w:val="00905EA5"/>
    <w:rsid w:val="00907E6A"/>
    <w:rsid w:val="009125F9"/>
    <w:rsid w:val="00915493"/>
    <w:rsid w:val="00916389"/>
    <w:rsid w:val="009206AF"/>
    <w:rsid w:val="009324B0"/>
    <w:rsid w:val="00933FFC"/>
    <w:rsid w:val="00934F7C"/>
    <w:rsid w:val="009366BA"/>
    <w:rsid w:val="00940D72"/>
    <w:rsid w:val="00941209"/>
    <w:rsid w:val="00942B69"/>
    <w:rsid w:val="009474A7"/>
    <w:rsid w:val="00952DCE"/>
    <w:rsid w:val="0095667E"/>
    <w:rsid w:val="009574B5"/>
    <w:rsid w:val="00957D2B"/>
    <w:rsid w:val="00960A65"/>
    <w:rsid w:val="00963391"/>
    <w:rsid w:val="00965327"/>
    <w:rsid w:val="009730F1"/>
    <w:rsid w:val="00973F2B"/>
    <w:rsid w:val="00974A69"/>
    <w:rsid w:val="00980010"/>
    <w:rsid w:val="00980CA5"/>
    <w:rsid w:val="00986285"/>
    <w:rsid w:val="00986841"/>
    <w:rsid w:val="009872C0"/>
    <w:rsid w:val="00990165"/>
    <w:rsid w:val="009966AF"/>
    <w:rsid w:val="009A1271"/>
    <w:rsid w:val="009A2C56"/>
    <w:rsid w:val="009A4260"/>
    <w:rsid w:val="009B23E5"/>
    <w:rsid w:val="009B4475"/>
    <w:rsid w:val="009B6678"/>
    <w:rsid w:val="009C7591"/>
    <w:rsid w:val="009D013B"/>
    <w:rsid w:val="009D15E1"/>
    <w:rsid w:val="009D17A4"/>
    <w:rsid w:val="009D18D6"/>
    <w:rsid w:val="009E0252"/>
    <w:rsid w:val="009E1F2C"/>
    <w:rsid w:val="009E1FA2"/>
    <w:rsid w:val="009F068B"/>
    <w:rsid w:val="009F2F25"/>
    <w:rsid w:val="009F5F5E"/>
    <w:rsid w:val="00A0154F"/>
    <w:rsid w:val="00A032D3"/>
    <w:rsid w:val="00A049DE"/>
    <w:rsid w:val="00A04A98"/>
    <w:rsid w:val="00A10A98"/>
    <w:rsid w:val="00A12220"/>
    <w:rsid w:val="00A1361D"/>
    <w:rsid w:val="00A14034"/>
    <w:rsid w:val="00A21737"/>
    <w:rsid w:val="00A24680"/>
    <w:rsid w:val="00A24C9F"/>
    <w:rsid w:val="00A31CA6"/>
    <w:rsid w:val="00A31FDE"/>
    <w:rsid w:val="00A34789"/>
    <w:rsid w:val="00A349A7"/>
    <w:rsid w:val="00A35E12"/>
    <w:rsid w:val="00A42586"/>
    <w:rsid w:val="00A44DA5"/>
    <w:rsid w:val="00A454C5"/>
    <w:rsid w:val="00A45692"/>
    <w:rsid w:val="00A46A9B"/>
    <w:rsid w:val="00A46E19"/>
    <w:rsid w:val="00A630BF"/>
    <w:rsid w:val="00A65260"/>
    <w:rsid w:val="00A66CCD"/>
    <w:rsid w:val="00A6705B"/>
    <w:rsid w:val="00A70D3B"/>
    <w:rsid w:val="00A73A0C"/>
    <w:rsid w:val="00A765E5"/>
    <w:rsid w:val="00A77C5F"/>
    <w:rsid w:val="00A8196B"/>
    <w:rsid w:val="00A82253"/>
    <w:rsid w:val="00A83A9E"/>
    <w:rsid w:val="00A83CB0"/>
    <w:rsid w:val="00A844DE"/>
    <w:rsid w:val="00A87009"/>
    <w:rsid w:val="00A91688"/>
    <w:rsid w:val="00A93E11"/>
    <w:rsid w:val="00AA175E"/>
    <w:rsid w:val="00AA79F4"/>
    <w:rsid w:val="00AB1A51"/>
    <w:rsid w:val="00AB4520"/>
    <w:rsid w:val="00AB6D5F"/>
    <w:rsid w:val="00AC1064"/>
    <w:rsid w:val="00AC159F"/>
    <w:rsid w:val="00AC281F"/>
    <w:rsid w:val="00AC4E70"/>
    <w:rsid w:val="00AC77F5"/>
    <w:rsid w:val="00AD3417"/>
    <w:rsid w:val="00AD4DDF"/>
    <w:rsid w:val="00AE196E"/>
    <w:rsid w:val="00AE4736"/>
    <w:rsid w:val="00AE66F1"/>
    <w:rsid w:val="00AF45D2"/>
    <w:rsid w:val="00AF5396"/>
    <w:rsid w:val="00B00A75"/>
    <w:rsid w:val="00B02290"/>
    <w:rsid w:val="00B106F3"/>
    <w:rsid w:val="00B11377"/>
    <w:rsid w:val="00B129F8"/>
    <w:rsid w:val="00B16E84"/>
    <w:rsid w:val="00B17466"/>
    <w:rsid w:val="00B21272"/>
    <w:rsid w:val="00B215A7"/>
    <w:rsid w:val="00B2213C"/>
    <w:rsid w:val="00B22FB3"/>
    <w:rsid w:val="00B253F4"/>
    <w:rsid w:val="00B25638"/>
    <w:rsid w:val="00B25695"/>
    <w:rsid w:val="00B30C79"/>
    <w:rsid w:val="00B31311"/>
    <w:rsid w:val="00B31CDF"/>
    <w:rsid w:val="00B422D3"/>
    <w:rsid w:val="00B45DB0"/>
    <w:rsid w:val="00B52388"/>
    <w:rsid w:val="00B533D1"/>
    <w:rsid w:val="00B55C33"/>
    <w:rsid w:val="00B5610A"/>
    <w:rsid w:val="00B56858"/>
    <w:rsid w:val="00B57A1C"/>
    <w:rsid w:val="00B610F3"/>
    <w:rsid w:val="00B64271"/>
    <w:rsid w:val="00B65583"/>
    <w:rsid w:val="00B65C94"/>
    <w:rsid w:val="00B675C0"/>
    <w:rsid w:val="00B67668"/>
    <w:rsid w:val="00B76952"/>
    <w:rsid w:val="00B82569"/>
    <w:rsid w:val="00B83660"/>
    <w:rsid w:val="00B87849"/>
    <w:rsid w:val="00B90F93"/>
    <w:rsid w:val="00B91AE0"/>
    <w:rsid w:val="00B92A45"/>
    <w:rsid w:val="00B93BE1"/>
    <w:rsid w:val="00BA06A1"/>
    <w:rsid w:val="00BA1FCD"/>
    <w:rsid w:val="00BA4527"/>
    <w:rsid w:val="00BA77E5"/>
    <w:rsid w:val="00BB1827"/>
    <w:rsid w:val="00BB30C3"/>
    <w:rsid w:val="00BB6735"/>
    <w:rsid w:val="00BC2518"/>
    <w:rsid w:val="00BC2F74"/>
    <w:rsid w:val="00BC3F64"/>
    <w:rsid w:val="00BC4C62"/>
    <w:rsid w:val="00BC5662"/>
    <w:rsid w:val="00BC5CD1"/>
    <w:rsid w:val="00BD1D42"/>
    <w:rsid w:val="00BD200C"/>
    <w:rsid w:val="00BD566F"/>
    <w:rsid w:val="00BD781A"/>
    <w:rsid w:val="00BE0893"/>
    <w:rsid w:val="00BE1CA2"/>
    <w:rsid w:val="00BE4956"/>
    <w:rsid w:val="00BE5318"/>
    <w:rsid w:val="00BE5E65"/>
    <w:rsid w:val="00BE66FC"/>
    <w:rsid w:val="00BF0751"/>
    <w:rsid w:val="00BF0754"/>
    <w:rsid w:val="00BF1F90"/>
    <w:rsid w:val="00BF5519"/>
    <w:rsid w:val="00BF5546"/>
    <w:rsid w:val="00BF6817"/>
    <w:rsid w:val="00BF77E0"/>
    <w:rsid w:val="00C0622B"/>
    <w:rsid w:val="00C077D3"/>
    <w:rsid w:val="00C10B98"/>
    <w:rsid w:val="00C154D0"/>
    <w:rsid w:val="00C233B5"/>
    <w:rsid w:val="00C2644B"/>
    <w:rsid w:val="00C2723E"/>
    <w:rsid w:val="00C31216"/>
    <w:rsid w:val="00C33DE3"/>
    <w:rsid w:val="00C35607"/>
    <w:rsid w:val="00C357F6"/>
    <w:rsid w:val="00C359C6"/>
    <w:rsid w:val="00C37AB4"/>
    <w:rsid w:val="00C429AD"/>
    <w:rsid w:val="00C51503"/>
    <w:rsid w:val="00C51812"/>
    <w:rsid w:val="00C612BF"/>
    <w:rsid w:val="00C62376"/>
    <w:rsid w:val="00C628FA"/>
    <w:rsid w:val="00C65496"/>
    <w:rsid w:val="00C67A6A"/>
    <w:rsid w:val="00C67D60"/>
    <w:rsid w:val="00C7081D"/>
    <w:rsid w:val="00C71C3E"/>
    <w:rsid w:val="00C7245A"/>
    <w:rsid w:val="00C74B58"/>
    <w:rsid w:val="00C75B78"/>
    <w:rsid w:val="00C806DD"/>
    <w:rsid w:val="00C81F78"/>
    <w:rsid w:val="00C860C6"/>
    <w:rsid w:val="00C86742"/>
    <w:rsid w:val="00C86E70"/>
    <w:rsid w:val="00C922D2"/>
    <w:rsid w:val="00C92303"/>
    <w:rsid w:val="00C9235E"/>
    <w:rsid w:val="00C92AAA"/>
    <w:rsid w:val="00C953B2"/>
    <w:rsid w:val="00C96C20"/>
    <w:rsid w:val="00CA4814"/>
    <w:rsid w:val="00CA7AB3"/>
    <w:rsid w:val="00CC44B1"/>
    <w:rsid w:val="00CD08CA"/>
    <w:rsid w:val="00CD1186"/>
    <w:rsid w:val="00CD2596"/>
    <w:rsid w:val="00CD6A93"/>
    <w:rsid w:val="00CE6D5E"/>
    <w:rsid w:val="00CF0F9D"/>
    <w:rsid w:val="00CF29BE"/>
    <w:rsid w:val="00CF3E8A"/>
    <w:rsid w:val="00CF6C78"/>
    <w:rsid w:val="00CF7DFA"/>
    <w:rsid w:val="00D00C88"/>
    <w:rsid w:val="00D01891"/>
    <w:rsid w:val="00D02532"/>
    <w:rsid w:val="00D02830"/>
    <w:rsid w:val="00D03B7D"/>
    <w:rsid w:val="00D04BEE"/>
    <w:rsid w:val="00D04DF8"/>
    <w:rsid w:val="00D07856"/>
    <w:rsid w:val="00D11C8D"/>
    <w:rsid w:val="00D17B23"/>
    <w:rsid w:val="00D21F49"/>
    <w:rsid w:val="00D21F6B"/>
    <w:rsid w:val="00D2597B"/>
    <w:rsid w:val="00D330C6"/>
    <w:rsid w:val="00D3322C"/>
    <w:rsid w:val="00D360EE"/>
    <w:rsid w:val="00D36A85"/>
    <w:rsid w:val="00D50E14"/>
    <w:rsid w:val="00D523A1"/>
    <w:rsid w:val="00D5296E"/>
    <w:rsid w:val="00D52F83"/>
    <w:rsid w:val="00D57E60"/>
    <w:rsid w:val="00D634F7"/>
    <w:rsid w:val="00D64A36"/>
    <w:rsid w:val="00D67893"/>
    <w:rsid w:val="00D709FE"/>
    <w:rsid w:val="00D7376F"/>
    <w:rsid w:val="00D74E88"/>
    <w:rsid w:val="00D84561"/>
    <w:rsid w:val="00D86FE8"/>
    <w:rsid w:val="00D91B9F"/>
    <w:rsid w:val="00D951BD"/>
    <w:rsid w:val="00D952EF"/>
    <w:rsid w:val="00D96023"/>
    <w:rsid w:val="00D963DC"/>
    <w:rsid w:val="00D96E59"/>
    <w:rsid w:val="00DA0296"/>
    <w:rsid w:val="00DA3C2E"/>
    <w:rsid w:val="00DB2DCD"/>
    <w:rsid w:val="00DB32B2"/>
    <w:rsid w:val="00DB4385"/>
    <w:rsid w:val="00DB4618"/>
    <w:rsid w:val="00DC1720"/>
    <w:rsid w:val="00DD285C"/>
    <w:rsid w:val="00DD338F"/>
    <w:rsid w:val="00DD49C1"/>
    <w:rsid w:val="00DD7551"/>
    <w:rsid w:val="00DE4147"/>
    <w:rsid w:val="00DE7AFD"/>
    <w:rsid w:val="00DF5C20"/>
    <w:rsid w:val="00DF70D6"/>
    <w:rsid w:val="00E04047"/>
    <w:rsid w:val="00E124C0"/>
    <w:rsid w:val="00E16BD1"/>
    <w:rsid w:val="00E17F00"/>
    <w:rsid w:val="00E20A43"/>
    <w:rsid w:val="00E220DC"/>
    <w:rsid w:val="00E253E0"/>
    <w:rsid w:val="00E31406"/>
    <w:rsid w:val="00E32B52"/>
    <w:rsid w:val="00E44649"/>
    <w:rsid w:val="00E4786B"/>
    <w:rsid w:val="00E51231"/>
    <w:rsid w:val="00E52EE4"/>
    <w:rsid w:val="00E53B9E"/>
    <w:rsid w:val="00E55996"/>
    <w:rsid w:val="00E55F91"/>
    <w:rsid w:val="00E56C35"/>
    <w:rsid w:val="00E62883"/>
    <w:rsid w:val="00E62DBA"/>
    <w:rsid w:val="00E6478A"/>
    <w:rsid w:val="00E64E61"/>
    <w:rsid w:val="00E71E5C"/>
    <w:rsid w:val="00E768C7"/>
    <w:rsid w:val="00E76ABF"/>
    <w:rsid w:val="00E84415"/>
    <w:rsid w:val="00E85E66"/>
    <w:rsid w:val="00E911D4"/>
    <w:rsid w:val="00E914F8"/>
    <w:rsid w:val="00E933C2"/>
    <w:rsid w:val="00E936EE"/>
    <w:rsid w:val="00E93968"/>
    <w:rsid w:val="00E9438D"/>
    <w:rsid w:val="00EA3B21"/>
    <w:rsid w:val="00EA432E"/>
    <w:rsid w:val="00EA6A39"/>
    <w:rsid w:val="00EA6CBD"/>
    <w:rsid w:val="00EA7E46"/>
    <w:rsid w:val="00EB08DA"/>
    <w:rsid w:val="00EB22F4"/>
    <w:rsid w:val="00EB2D02"/>
    <w:rsid w:val="00EB38C7"/>
    <w:rsid w:val="00EB5075"/>
    <w:rsid w:val="00EB6086"/>
    <w:rsid w:val="00EB65C2"/>
    <w:rsid w:val="00EB7F22"/>
    <w:rsid w:val="00EC0475"/>
    <w:rsid w:val="00EC502F"/>
    <w:rsid w:val="00EC74B4"/>
    <w:rsid w:val="00EC78F5"/>
    <w:rsid w:val="00ED1F6F"/>
    <w:rsid w:val="00ED3BAD"/>
    <w:rsid w:val="00ED4EA8"/>
    <w:rsid w:val="00ED5DBE"/>
    <w:rsid w:val="00ED737A"/>
    <w:rsid w:val="00ED7F97"/>
    <w:rsid w:val="00EE0B5E"/>
    <w:rsid w:val="00EE0BEE"/>
    <w:rsid w:val="00EE25B2"/>
    <w:rsid w:val="00EF1F73"/>
    <w:rsid w:val="00F01956"/>
    <w:rsid w:val="00F063BB"/>
    <w:rsid w:val="00F107C8"/>
    <w:rsid w:val="00F11E84"/>
    <w:rsid w:val="00F16ACD"/>
    <w:rsid w:val="00F170B5"/>
    <w:rsid w:val="00F177F5"/>
    <w:rsid w:val="00F202D3"/>
    <w:rsid w:val="00F206FF"/>
    <w:rsid w:val="00F21132"/>
    <w:rsid w:val="00F21B1D"/>
    <w:rsid w:val="00F242EA"/>
    <w:rsid w:val="00F31C0F"/>
    <w:rsid w:val="00F34778"/>
    <w:rsid w:val="00F37CFD"/>
    <w:rsid w:val="00F42369"/>
    <w:rsid w:val="00F42DC9"/>
    <w:rsid w:val="00F5063C"/>
    <w:rsid w:val="00F53C69"/>
    <w:rsid w:val="00F56062"/>
    <w:rsid w:val="00F56196"/>
    <w:rsid w:val="00F645DB"/>
    <w:rsid w:val="00F653A0"/>
    <w:rsid w:val="00F65483"/>
    <w:rsid w:val="00F6760D"/>
    <w:rsid w:val="00F73568"/>
    <w:rsid w:val="00F73D72"/>
    <w:rsid w:val="00F74985"/>
    <w:rsid w:val="00F77111"/>
    <w:rsid w:val="00F8214C"/>
    <w:rsid w:val="00F830C5"/>
    <w:rsid w:val="00F83A5B"/>
    <w:rsid w:val="00F85E25"/>
    <w:rsid w:val="00F867FC"/>
    <w:rsid w:val="00F86B44"/>
    <w:rsid w:val="00F86D6D"/>
    <w:rsid w:val="00F86FE9"/>
    <w:rsid w:val="00F919F3"/>
    <w:rsid w:val="00F958C6"/>
    <w:rsid w:val="00F965D7"/>
    <w:rsid w:val="00F97A02"/>
    <w:rsid w:val="00F97A8A"/>
    <w:rsid w:val="00FA1C85"/>
    <w:rsid w:val="00FA2AAC"/>
    <w:rsid w:val="00FA3B4D"/>
    <w:rsid w:val="00FA4B7B"/>
    <w:rsid w:val="00FA7126"/>
    <w:rsid w:val="00FA7936"/>
    <w:rsid w:val="00FA7B20"/>
    <w:rsid w:val="00FB4AF4"/>
    <w:rsid w:val="00FB5834"/>
    <w:rsid w:val="00FB5F3F"/>
    <w:rsid w:val="00FB7117"/>
    <w:rsid w:val="00FC4D2D"/>
    <w:rsid w:val="00FC6CBF"/>
    <w:rsid w:val="00FC7088"/>
    <w:rsid w:val="00FD20FD"/>
    <w:rsid w:val="00FD2EE8"/>
    <w:rsid w:val="00FD3D91"/>
    <w:rsid w:val="00FD484E"/>
    <w:rsid w:val="00FE33F8"/>
    <w:rsid w:val="00FE5799"/>
    <w:rsid w:val="00FE6AE9"/>
    <w:rsid w:val="00FE7E3F"/>
    <w:rsid w:val="00FF5876"/>
    <w:rsid w:val="00FF58D8"/>
    <w:rsid w:val="00FF7236"/>
    <w:rsid w:val="0138B6CE"/>
    <w:rsid w:val="01BF2753"/>
    <w:rsid w:val="01E3182D"/>
    <w:rsid w:val="01FEF50E"/>
    <w:rsid w:val="02398A6B"/>
    <w:rsid w:val="023FC258"/>
    <w:rsid w:val="026C5A42"/>
    <w:rsid w:val="02B40D25"/>
    <w:rsid w:val="036F1698"/>
    <w:rsid w:val="039FFDB0"/>
    <w:rsid w:val="045823FA"/>
    <w:rsid w:val="04E3A6BB"/>
    <w:rsid w:val="05EBADE7"/>
    <w:rsid w:val="0634843F"/>
    <w:rsid w:val="06607380"/>
    <w:rsid w:val="0716809D"/>
    <w:rsid w:val="08DF08D8"/>
    <w:rsid w:val="08E36B83"/>
    <w:rsid w:val="091C51C4"/>
    <w:rsid w:val="097F2291"/>
    <w:rsid w:val="09924ACC"/>
    <w:rsid w:val="09A52605"/>
    <w:rsid w:val="09C3B986"/>
    <w:rsid w:val="0A9EC32C"/>
    <w:rsid w:val="0B3408E9"/>
    <w:rsid w:val="0B51B6E7"/>
    <w:rsid w:val="0BC44E47"/>
    <w:rsid w:val="0BCF8515"/>
    <w:rsid w:val="0C15BBDE"/>
    <w:rsid w:val="0CA73091"/>
    <w:rsid w:val="0CAA6048"/>
    <w:rsid w:val="0D17A3C8"/>
    <w:rsid w:val="0D4C37B6"/>
    <w:rsid w:val="0D7C2F17"/>
    <w:rsid w:val="0DAA756C"/>
    <w:rsid w:val="0DE584F5"/>
    <w:rsid w:val="0E871ACB"/>
    <w:rsid w:val="0F15F214"/>
    <w:rsid w:val="0F5BB106"/>
    <w:rsid w:val="0F740B2A"/>
    <w:rsid w:val="0F8B037D"/>
    <w:rsid w:val="0FF1D874"/>
    <w:rsid w:val="10968FAA"/>
    <w:rsid w:val="111BE125"/>
    <w:rsid w:val="11DC44EB"/>
    <w:rsid w:val="127281BD"/>
    <w:rsid w:val="127E6A75"/>
    <w:rsid w:val="1368F10C"/>
    <w:rsid w:val="13B62C38"/>
    <w:rsid w:val="13B9F8DA"/>
    <w:rsid w:val="13E94B4B"/>
    <w:rsid w:val="14660150"/>
    <w:rsid w:val="14BBBD97"/>
    <w:rsid w:val="157133E7"/>
    <w:rsid w:val="15E2888F"/>
    <w:rsid w:val="16418C8E"/>
    <w:rsid w:val="179B12A3"/>
    <w:rsid w:val="19415FF9"/>
    <w:rsid w:val="19F684CF"/>
    <w:rsid w:val="1A1DC0DC"/>
    <w:rsid w:val="1A54B5E0"/>
    <w:rsid w:val="1A784D8F"/>
    <w:rsid w:val="1A78E59A"/>
    <w:rsid w:val="1ACAAEE8"/>
    <w:rsid w:val="1C05F6B4"/>
    <w:rsid w:val="1C4B3F64"/>
    <w:rsid w:val="1C86B95B"/>
    <w:rsid w:val="1CCF9614"/>
    <w:rsid w:val="1D210E29"/>
    <w:rsid w:val="1DFBA8BF"/>
    <w:rsid w:val="1E56F16B"/>
    <w:rsid w:val="1F00A689"/>
    <w:rsid w:val="1F977920"/>
    <w:rsid w:val="1FCF4677"/>
    <w:rsid w:val="1FFF0B49"/>
    <w:rsid w:val="21334981"/>
    <w:rsid w:val="21519BC0"/>
    <w:rsid w:val="2179924C"/>
    <w:rsid w:val="21B68E0B"/>
    <w:rsid w:val="221F1EEE"/>
    <w:rsid w:val="22860D23"/>
    <w:rsid w:val="22E23173"/>
    <w:rsid w:val="22F05DB5"/>
    <w:rsid w:val="23BAEF4F"/>
    <w:rsid w:val="248BC85E"/>
    <w:rsid w:val="2496A535"/>
    <w:rsid w:val="25268398"/>
    <w:rsid w:val="2543679D"/>
    <w:rsid w:val="25BF3767"/>
    <w:rsid w:val="25F57FCD"/>
    <w:rsid w:val="262725FF"/>
    <w:rsid w:val="274B734B"/>
    <w:rsid w:val="27BBB362"/>
    <w:rsid w:val="288A29E0"/>
    <w:rsid w:val="288E6072"/>
    <w:rsid w:val="28A0F200"/>
    <w:rsid w:val="28C543B8"/>
    <w:rsid w:val="28CB2DF6"/>
    <w:rsid w:val="28EEA7DC"/>
    <w:rsid w:val="292C23F9"/>
    <w:rsid w:val="299EF659"/>
    <w:rsid w:val="29B55E43"/>
    <w:rsid w:val="29C56B28"/>
    <w:rsid w:val="2B09D9C2"/>
    <w:rsid w:val="2B94439D"/>
    <w:rsid w:val="2C0A1BC0"/>
    <w:rsid w:val="2C38B16A"/>
    <w:rsid w:val="2C42CBDC"/>
    <w:rsid w:val="2C6E04A7"/>
    <w:rsid w:val="2D515D4E"/>
    <w:rsid w:val="2D871EA6"/>
    <w:rsid w:val="2FDF6209"/>
    <w:rsid w:val="2FE02A12"/>
    <w:rsid w:val="3024FC78"/>
    <w:rsid w:val="309F65DB"/>
    <w:rsid w:val="30B480E3"/>
    <w:rsid w:val="31ED999B"/>
    <w:rsid w:val="33368420"/>
    <w:rsid w:val="33BFD842"/>
    <w:rsid w:val="33D29D3C"/>
    <w:rsid w:val="3425B3DB"/>
    <w:rsid w:val="34295EDB"/>
    <w:rsid w:val="345CB551"/>
    <w:rsid w:val="346DBE52"/>
    <w:rsid w:val="349BACE3"/>
    <w:rsid w:val="34D00950"/>
    <w:rsid w:val="360154B7"/>
    <w:rsid w:val="36653624"/>
    <w:rsid w:val="36D6F143"/>
    <w:rsid w:val="37B8AECF"/>
    <w:rsid w:val="38748EB9"/>
    <w:rsid w:val="388C4EEA"/>
    <w:rsid w:val="389B36EB"/>
    <w:rsid w:val="38A82A84"/>
    <w:rsid w:val="39028606"/>
    <w:rsid w:val="3927B493"/>
    <w:rsid w:val="39547F30"/>
    <w:rsid w:val="39782457"/>
    <w:rsid w:val="39DC0F2E"/>
    <w:rsid w:val="3A525B05"/>
    <w:rsid w:val="3AAAC80E"/>
    <w:rsid w:val="3AFB12E9"/>
    <w:rsid w:val="3B783C4F"/>
    <w:rsid w:val="3B89C531"/>
    <w:rsid w:val="3BC7D924"/>
    <w:rsid w:val="3BF66FE3"/>
    <w:rsid w:val="3C1BBFB4"/>
    <w:rsid w:val="3D70FAE4"/>
    <w:rsid w:val="3DF12900"/>
    <w:rsid w:val="3E350440"/>
    <w:rsid w:val="3FC8BAE3"/>
    <w:rsid w:val="3FE97944"/>
    <w:rsid w:val="40A648D0"/>
    <w:rsid w:val="4137C595"/>
    <w:rsid w:val="414904B1"/>
    <w:rsid w:val="41A00958"/>
    <w:rsid w:val="41CF823E"/>
    <w:rsid w:val="42B746CE"/>
    <w:rsid w:val="4332FCF7"/>
    <w:rsid w:val="43597589"/>
    <w:rsid w:val="438D003B"/>
    <w:rsid w:val="43BB97CB"/>
    <w:rsid w:val="43CACBAD"/>
    <w:rsid w:val="4435DB79"/>
    <w:rsid w:val="4481952C"/>
    <w:rsid w:val="44950850"/>
    <w:rsid w:val="4503F89C"/>
    <w:rsid w:val="451AB4B3"/>
    <w:rsid w:val="453D6ECE"/>
    <w:rsid w:val="45ECF29D"/>
    <w:rsid w:val="463B5356"/>
    <w:rsid w:val="4693B03B"/>
    <w:rsid w:val="46C70BCB"/>
    <w:rsid w:val="48931122"/>
    <w:rsid w:val="4933C41A"/>
    <w:rsid w:val="497CCB00"/>
    <w:rsid w:val="49CDE0DE"/>
    <w:rsid w:val="4A845229"/>
    <w:rsid w:val="4A93EF30"/>
    <w:rsid w:val="4ABC91DE"/>
    <w:rsid w:val="4AD0090A"/>
    <w:rsid w:val="4AED659A"/>
    <w:rsid w:val="4C8FFAD5"/>
    <w:rsid w:val="4D20ADC2"/>
    <w:rsid w:val="4D6BA37B"/>
    <w:rsid w:val="4DF66E1A"/>
    <w:rsid w:val="4E023FC3"/>
    <w:rsid w:val="4F0773DC"/>
    <w:rsid w:val="4F298D1C"/>
    <w:rsid w:val="4F62E2DB"/>
    <w:rsid w:val="4FA30A82"/>
    <w:rsid w:val="4FA450EB"/>
    <w:rsid w:val="4FE88DBE"/>
    <w:rsid w:val="4FF03846"/>
    <w:rsid w:val="502312A3"/>
    <w:rsid w:val="50A3443D"/>
    <w:rsid w:val="50C2B9C1"/>
    <w:rsid w:val="50C8C120"/>
    <w:rsid w:val="50F3581A"/>
    <w:rsid w:val="50F63E01"/>
    <w:rsid w:val="515ABBFD"/>
    <w:rsid w:val="51C9F506"/>
    <w:rsid w:val="5220199B"/>
    <w:rsid w:val="529F467B"/>
    <w:rsid w:val="545F506B"/>
    <w:rsid w:val="54802AA3"/>
    <w:rsid w:val="55093663"/>
    <w:rsid w:val="5573A45D"/>
    <w:rsid w:val="55F0BEE1"/>
    <w:rsid w:val="560DA2FD"/>
    <w:rsid w:val="561BFD74"/>
    <w:rsid w:val="562AB4F3"/>
    <w:rsid w:val="564AF771"/>
    <w:rsid w:val="565F79CA"/>
    <w:rsid w:val="566A7853"/>
    <w:rsid w:val="5681AE90"/>
    <w:rsid w:val="57FB4A2B"/>
    <w:rsid w:val="58F3FF5B"/>
    <w:rsid w:val="5926E0F0"/>
    <w:rsid w:val="5971ACD8"/>
    <w:rsid w:val="5988F0B8"/>
    <w:rsid w:val="59A5A427"/>
    <w:rsid w:val="59E35F71"/>
    <w:rsid w:val="59E58D21"/>
    <w:rsid w:val="5A3C133B"/>
    <w:rsid w:val="5A4BCCCA"/>
    <w:rsid w:val="5A628EE5"/>
    <w:rsid w:val="5AEAA1FE"/>
    <w:rsid w:val="5B09E45F"/>
    <w:rsid w:val="5C21A74E"/>
    <w:rsid w:val="5D2DE01F"/>
    <w:rsid w:val="5F03FAFD"/>
    <w:rsid w:val="5FFEAA5F"/>
    <w:rsid w:val="60261E13"/>
    <w:rsid w:val="60F6358B"/>
    <w:rsid w:val="6195F154"/>
    <w:rsid w:val="61FE20AE"/>
    <w:rsid w:val="62AFA48B"/>
    <w:rsid w:val="62F9B183"/>
    <w:rsid w:val="6341193E"/>
    <w:rsid w:val="6378522A"/>
    <w:rsid w:val="642B0FE2"/>
    <w:rsid w:val="64315833"/>
    <w:rsid w:val="64BC7409"/>
    <w:rsid w:val="66985C51"/>
    <w:rsid w:val="67428A30"/>
    <w:rsid w:val="676C718A"/>
    <w:rsid w:val="67CD3941"/>
    <w:rsid w:val="67DB9B39"/>
    <w:rsid w:val="681788C2"/>
    <w:rsid w:val="682AE864"/>
    <w:rsid w:val="683901E5"/>
    <w:rsid w:val="6A0A2449"/>
    <w:rsid w:val="6AC9161D"/>
    <w:rsid w:val="6AFB946D"/>
    <w:rsid w:val="6B1D5333"/>
    <w:rsid w:val="6B3AE4E3"/>
    <w:rsid w:val="6BD7C1F2"/>
    <w:rsid w:val="6C448A4C"/>
    <w:rsid w:val="6C7CB031"/>
    <w:rsid w:val="6CA9D35C"/>
    <w:rsid w:val="6DDE3D8C"/>
    <w:rsid w:val="6DDF3D4D"/>
    <w:rsid w:val="6E238D47"/>
    <w:rsid w:val="6E24EB44"/>
    <w:rsid w:val="6ECD1EEC"/>
    <w:rsid w:val="6F3D1AAE"/>
    <w:rsid w:val="6F9C8758"/>
    <w:rsid w:val="703464CE"/>
    <w:rsid w:val="711B4156"/>
    <w:rsid w:val="714E0E0E"/>
    <w:rsid w:val="71D01C5C"/>
    <w:rsid w:val="71D631F5"/>
    <w:rsid w:val="71E68B66"/>
    <w:rsid w:val="725EF97F"/>
    <w:rsid w:val="73DBFC08"/>
    <w:rsid w:val="7474DE83"/>
    <w:rsid w:val="74FAEF86"/>
    <w:rsid w:val="7508876E"/>
    <w:rsid w:val="75654E2F"/>
    <w:rsid w:val="7576050A"/>
    <w:rsid w:val="75AFB3F4"/>
    <w:rsid w:val="76C66DE2"/>
    <w:rsid w:val="76E2B9C1"/>
    <w:rsid w:val="77B4EEAA"/>
    <w:rsid w:val="77C25031"/>
    <w:rsid w:val="78215571"/>
    <w:rsid w:val="7922F656"/>
    <w:rsid w:val="79A72878"/>
    <w:rsid w:val="7A1D2180"/>
    <w:rsid w:val="7A26D76B"/>
    <w:rsid w:val="7ADABB5A"/>
    <w:rsid w:val="7B294FBE"/>
    <w:rsid w:val="7B8DD631"/>
    <w:rsid w:val="7BB1E347"/>
    <w:rsid w:val="7C611717"/>
    <w:rsid w:val="7C7A896B"/>
    <w:rsid w:val="7C96768C"/>
    <w:rsid w:val="7CA0BD42"/>
    <w:rsid w:val="7CE95BFC"/>
    <w:rsid w:val="7D258BD0"/>
    <w:rsid w:val="7D29A692"/>
    <w:rsid w:val="7D66984C"/>
    <w:rsid w:val="7DA3B2BE"/>
    <w:rsid w:val="7E070C5F"/>
    <w:rsid w:val="7EB478AA"/>
    <w:rsid w:val="7ECB677C"/>
    <w:rsid w:val="7ED2C668"/>
    <w:rsid w:val="7EF7ACB6"/>
    <w:rsid w:val="7F04816B"/>
    <w:rsid w:val="7F3344F0"/>
    <w:rsid w:val="7FD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D197C"/>
  <w15:docId w15:val="{264F553E-3842-4EAA-AE6F-7BE03254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bidi="en-US"/>
    </w:rPr>
  </w:style>
  <w:style w:type="paragraph" w:styleId="Heading1">
    <w:name w:val="heading 1"/>
    <w:basedOn w:val="Normal"/>
    <w:uiPriority w:val="9"/>
    <w:qFormat/>
    <w:pPr>
      <w:spacing w:before="15"/>
      <w:ind w:left="29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3"/>
      <w:ind w:left="85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5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5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FF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FF6"/>
    <w:rPr>
      <w:rFonts w:ascii="Calibri" w:eastAsia="Calibri" w:hAnsi="Calibri" w:cs="Calibri"/>
      <w:lang w:bidi="en-US"/>
    </w:rPr>
  </w:style>
  <w:style w:type="character" w:customStyle="1" w:styleId="ListParagraphChar">
    <w:name w:val="List Paragraph Char"/>
    <w:basedOn w:val="DefaultParagraphFont"/>
    <w:link w:val="ListParagraph"/>
    <w:locked/>
    <w:rsid w:val="00E16BD1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D330C6"/>
    <w:pPr>
      <w:widowControl/>
      <w:autoSpaceDE/>
      <w:autoSpaceDN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D330C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0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0E6E"/>
    <w:rPr>
      <w:b/>
      <w:bCs/>
    </w:rPr>
  </w:style>
  <w:style w:type="character" w:styleId="Emphasis">
    <w:name w:val="Emphasis"/>
    <w:basedOn w:val="DefaultParagraphFont"/>
    <w:uiPriority w:val="20"/>
    <w:qFormat/>
    <w:rsid w:val="00790E6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D6A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E23C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43A5"/>
    <w:pPr>
      <w:widowControl/>
      <w:autoSpaceDE/>
      <w:autoSpaceDN/>
    </w:pPr>
    <w:rPr>
      <w:rFonts w:ascii="Calibri" w:eastAsia="Calibri" w:hAnsi="Calibri" w:cs="Calibri"/>
      <w:lang w:val="en-GB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3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3A5"/>
    <w:rPr>
      <w:rFonts w:ascii="Calibri" w:eastAsia="Calibri" w:hAnsi="Calibri" w:cs="Calibri"/>
      <w:sz w:val="20"/>
      <w:szCs w:val="20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3A5"/>
    <w:rPr>
      <w:rFonts w:ascii="Calibri" w:eastAsia="Calibri" w:hAnsi="Calibri" w:cs="Calibri"/>
      <w:b/>
      <w:bCs/>
      <w:sz w:val="20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D813DC406C074D9866DD3C8CD8714E" ma:contentTypeVersion="" ma:contentTypeDescription="Create a new document." ma:contentTypeScope="" ma:versionID="52931db4bd64668e2505f73acdc4022e">
  <xsd:schema xmlns:xsd="http://www.w3.org/2001/XMLSchema" xmlns:xs="http://www.w3.org/2001/XMLSchema" xmlns:p="http://schemas.microsoft.com/office/2006/metadata/properties" xmlns:ns2="1c7d3551-5694-4f12-b35a-d9a7a462ea4b" xmlns:ns3="a7f565ec-e60e-44e7-9b81-f866c66cefc4" xmlns:ns4="fb9733ba-e3b0-45a6-a2ff-dbb775586540" targetNamespace="http://schemas.microsoft.com/office/2006/metadata/properties" ma:root="true" ma:fieldsID="a8e471d66ca099da8ce483a53755ad09" ns2:_="" ns3:_="" ns4:_="">
    <xsd:import namespace="1c7d3551-5694-4f12-b35a-d9a7a462ea4b"/>
    <xsd:import namespace="a7f565ec-e60e-44e7-9b81-f866c66cefc4"/>
    <xsd:import namespace="fb9733ba-e3b0-45a6-a2ff-dbb7755865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65ec-e60e-44e7-9b81-f866c66cefc4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33ba-e3b0-45a6-a2ff-dbb775586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Sarah Welbourne</DisplayName>
        <AccountId>78</AccountId>
        <AccountType/>
      </UserInfo>
      <UserInfo>
        <DisplayName>Mike Dent</DisplayName>
        <AccountId>22</AccountId>
        <AccountType/>
      </UserInfo>
      <UserInfo>
        <DisplayName>Jack Cresswell</DisplayName>
        <AccountId>28</AccountId>
        <AccountType/>
      </UserInfo>
      <UserInfo>
        <DisplayName>Rob Thomas</DisplayName>
        <AccountId>167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62B24-7BE4-4AA5-B788-55C7FA23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a7f565ec-e60e-44e7-9b81-f866c66cefc4"/>
    <ds:schemaRef ds:uri="fb9733ba-e3b0-45a6-a2ff-dbb775586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A8293-E90B-EC4A-A4DD-9D9A177AAB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A7DCBC-9E76-4054-925B-3DD0C336457F}">
  <ds:schemaRefs>
    <ds:schemaRef ds:uri="a7f565ec-e60e-44e7-9b81-f866c66cefc4"/>
    <ds:schemaRef ds:uri="http://schemas.microsoft.com/office/2006/metadata/properties"/>
    <ds:schemaRef ds:uri="fb9733ba-e3b0-45a6-a2ff-dbb775586540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c7d3551-5694-4f12-b35a-d9a7a462ea4b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BF62E7-34F2-4814-9FD3-B0DE24679B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PSNC Funding &amp; Contract Subcommittee Agenda</vt:lpstr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PSNC Funding &amp; Contract Subcommittee Agenda</dc:title>
  <dc:subject/>
  <dc:creator>Shiné Daley</dc:creator>
  <cp:keywords/>
  <cp:lastModifiedBy>Jack Cresswell</cp:lastModifiedBy>
  <cp:revision>13</cp:revision>
  <dcterms:created xsi:type="dcterms:W3CDTF">2021-02-03T19:25:00Z</dcterms:created>
  <dcterms:modified xsi:type="dcterms:W3CDTF">2022-01-10T12:20:00Z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2019-12-12T00:00:00Z</vt:filetime>
  </property>
  <property fmtid="{D5CDD505-2E9C-101B-9397-08002B2CF9AE}" pid="5" name="ContentTypeId">
    <vt:lpwstr>0x01010006D813DC406C074D9866DD3C8CD8714E</vt:lpwstr>
  </property>
</Properties>
</file>