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0D37AE" w:rsidRDefault="122549B2" w:rsidP="713B5130">
      <w:pPr>
        <w:spacing w:line="240" w:lineRule="auto"/>
        <w:jc w:val="both"/>
        <w:rPr>
          <w:color w:val="5B518E"/>
        </w:rPr>
      </w:pPr>
      <w:r w:rsidRPr="000D37AE">
        <w:rPr>
          <w:rFonts w:ascii="Calibri" w:hAnsi="Calibri" w:cs="Calibri"/>
          <w:b/>
          <w:bCs/>
          <w:color w:val="5B518E"/>
          <w:sz w:val="36"/>
          <w:szCs w:val="36"/>
          <w:u w:val="single"/>
        </w:rPr>
        <w:t>Key News and Guidance for LPCs</w:t>
      </w:r>
    </w:p>
    <w:p w14:paraId="28951205" w14:textId="712A44BA"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835F15">
        <w:rPr>
          <w:rFonts w:ascii="Calibri" w:hAnsi="Calibri" w:cs="Calibri"/>
          <w:i/>
          <w:iCs/>
        </w:rPr>
        <w:t>20</w:t>
      </w:r>
      <w:r w:rsidR="00E95EAA">
        <w:rPr>
          <w:rFonts w:ascii="Calibri" w:hAnsi="Calibri" w:cs="Calibri"/>
          <w:i/>
          <w:iCs/>
        </w:rPr>
        <w:t>th</w:t>
      </w:r>
      <w:r w:rsidR="00DA6B9C">
        <w:rPr>
          <w:rFonts w:ascii="Calibri" w:hAnsi="Calibri" w:cs="Calibri"/>
          <w:i/>
          <w:iCs/>
        </w:rPr>
        <w:t xml:space="preserve"> </w:t>
      </w:r>
      <w:r w:rsidR="003953A2">
        <w:rPr>
          <w:rFonts w:ascii="Calibri" w:hAnsi="Calibri" w:cs="Calibri"/>
          <w:i/>
          <w:iCs/>
        </w:rPr>
        <w:t>March</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339351C8" w14:textId="77777777" w:rsidR="001C299C" w:rsidRPr="0010004F" w:rsidRDefault="0A6D93E2"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Last week’s news stories:</w:t>
      </w:r>
    </w:p>
    <w:p w14:paraId="023B4061" w14:textId="77777777" w:rsidR="001C299C" w:rsidRPr="0010004F" w:rsidRDefault="001C299C" w:rsidP="0010004F">
      <w:pPr>
        <w:spacing w:line="240" w:lineRule="auto"/>
        <w:jc w:val="both"/>
        <w:rPr>
          <w:rFonts w:asciiTheme="minorHAnsi" w:hAnsiTheme="minorHAnsi" w:cstheme="minorHAnsi"/>
          <w:b/>
          <w:bCs/>
          <w:u w:val="single"/>
        </w:rPr>
      </w:pPr>
    </w:p>
    <w:p w14:paraId="0E46B76F" w14:textId="35B52AE4" w:rsidR="001C299C" w:rsidRPr="0010004F" w:rsidRDefault="001C299C"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Class 4 Medicines Defect Information: Latuda film-coated tablets</w:t>
      </w:r>
    </w:p>
    <w:p w14:paraId="6FB55865" w14:textId="2F76D970" w:rsidR="006A0E7F" w:rsidRPr="0010004F" w:rsidRDefault="006A0E7F" w:rsidP="0010004F">
      <w:pPr>
        <w:spacing w:line="240" w:lineRule="auto"/>
        <w:jc w:val="both"/>
        <w:rPr>
          <w:rStyle w:val="Strong"/>
          <w:rFonts w:asciiTheme="minorHAnsi" w:hAnsiTheme="minorHAnsi" w:cstheme="minorHAnsi"/>
          <w:color w:val="4E3487"/>
          <w:u w:val="single"/>
        </w:rPr>
      </w:pPr>
      <w:r w:rsidRPr="0010004F">
        <w:rPr>
          <w:rStyle w:val="Strong"/>
          <w:rFonts w:asciiTheme="minorHAnsi" w:hAnsiTheme="minorHAnsi" w:cstheme="minorHAnsi"/>
          <w:b w:val="0"/>
          <w:bCs w:val="0"/>
        </w:rPr>
        <w:t xml:space="preserve">The Medicines and Health products Regulatory Agency (MHRA) has issued a class 4 medicines defect information notice for: Latuda film-coated tablets. Read more here: </w:t>
      </w:r>
      <w:hyperlink r:id="rId11" w:history="1">
        <w:r w:rsidRPr="0010004F">
          <w:rPr>
            <w:rStyle w:val="Hyperlink"/>
            <w:rFonts w:asciiTheme="minorHAnsi" w:hAnsiTheme="minorHAnsi" w:cstheme="minorHAnsi"/>
            <w:b/>
            <w:bCs/>
            <w:color w:val="4E3487"/>
          </w:rPr>
          <w:t>https://psnc.org.uk/our-news/class-4-medicines-defect-information-latuda-film-coated-tablets-cnx-therapeutics-ltd/</w:t>
        </w:r>
      </w:hyperlink>
    </w:p>
    <w:p w14:paraId="4ADA7F9C" w14:textId="77777777" w:rsidR="006A0E7F" w:rsidRPr="0010004F" w:rsidRDefault="006A0E7F" w:rsidP="0010004F">
      <w:pPr>
        <w:spacing w:line="240" w:lineRule="auto"/>
        <w:jc w:val="both"/>
        <w:rPr>
          <w:rStyle w:val="Strong"/>
          <w:rFonts w:asciiTheme="minorHAnsi" w:hAnsiTheme="minorHAnsi" w:cstheme="minorHAnsi"/>
          <w:color w:val="4E3487"/>
          <w:u w:val="single"/>
        </w:rPr>
      </w:pPr>
    </w:p>
    <w:p w14:paraId="0CA05F78" w14:textId="18568935" w:rsidR="006A0E7F" w:rsidRPr="0010004F" w:rsidRDefault="006A0E7F" w:rsidP="0010004F">
      <w:pPr>
        <w:spacing w:line="240" w:lineRule="auto"/>
        <w:jc w:val="both"/>
        <w:rPr>
          <w:rFonts w:asciiTheme="minorHAnsi" w:hAnsiTheme="minorHAnsi" w:cstheme="minorHAnsi"/>
          <w:u w:val="single"/>
        </w:rPr>
      </w:pPr>
      <w:r w:rsidRPr="0010004F">
        <w:rPr>
          <w:rFonts w:asciiTheme="minorHAnsi" w:hAnsiTheme="minorHAnsi" w:cstheme="minorHAnsi"/>
          <w:b/>
          <w:bCs/>
          <w:u w:val="single"/>
        </w:rPr>
        <w:t>Inclusive Pharmacy Practice: Registration open for Population Health Management Webinar</w:t>
      </w:r>
    </w:p>
    <w:p w14:paraId="0597E558" w14:textId="77777777" w:rsidR="006A0E7F" w:rsidRPr="0010004F" w:rsidRDefault="006A0E7F" w:rsidP="0010004F">
      <w:pPr>
        <w:spacing w:line="240" w:lineRule="auto"/>
        <w:jc w:val="both"/>
        <w:rPr>
          <w:rFonts w:asciiTheme="minorHAnsi" w:hAnsiTheme="minorHAnsi" w:cstheme="minorHAnsi"/>
          <w:color w:val="303030"/>
          <w:shd w:val="clear" w:color="auto" w:fill="FFFFFF"/>
        </w:rPr>
      </w:pPr>
      <w:r w:rsidRPr="0010004F">
        <w:rPr>
          <w:rFonts w:asciiTheme="minorHAnsi" w:hAnsiTheme="minorHAnsi" w:cstheme="minorHAnsi"/>
          <w:shd w:val="clear" w:color="auto" w:fill="FFFFFF"/>
        </w:rPr>
        <w:t>Community pharmacy teams are invited to a webinar on </w:t>
      </w:r>
      <w:r w:rsidRPr="0010004F">
        <w:rPr>
          <w:rStyle w:val="Strong"/>
          <w:rFonts w:asciiTheme="minorHAnsi" w:hAnsiTheme="minorHAnsi" w:cstheme="minorHAnsi"/>
          <w:shd w:val="clear" w:color="auto" w:fill="FFFFFF"/>
        </w:rPr>
        <w:t>Tuesday 26th April, 7-9pm </w:t>
      </w:r>
      <w:r w:rsidRPr="0010004F">
        <w:rPr>
          <w:rFonts w:asciiTheme="minorHAnsi" w:hAnsiTheme="minorHAnsi" w:cstheme="minorHAnsi"/>
          <w:shd w:val="clear" w:color="auto" w:fill="FFFFFF"/>
        </w:rPr>
        <w:t xml:space="preserve">about how pharmacies can improve the health of their local population. Attendees are required to register in advance. Read more here: </w:t>
      </w:r>
      <w:hyperlink r:id="rId12" w:history="1">
        <w:r w:rsidRPr="0010004F">
          <w:rPr>
            <w:rStyle w:val="Hyperlink"/>
            <w:rFonts w:asciiTheme="minorHAnsi" w:hAnsiTheme="minorHAnsi" w:cstheme="minorHAnsi"/>
            <w:b/>
            <w:bCs/>
            <w:color w:val="4E3487"/>
            <w:shd w:val="clear" w:color="auto" w:fill="FFFFFF"/>
          </w:rPr>
          <w:t>https://psnc.org.uk/our-news/inclusive-pharmacy-practice-registration-open-for-population-health-management-webinar/</w:t>
        </w:r>
      </w:hyperlink>
    </w:p>
    <w:p w14:paraId="2F0F6523" w14:textId="77777777" w:rsidR="006A0E7F" w:rsidRPr="0010004F" w:rsidRDefault="006A0E7F" w:rsidP="0010004F">
      <w:pPr>
        <w:spacing w:line="240" w:lineRule="auto"/>
        <w:jc w:val="both"/>
        <w:rPr>
          <w:rFonts w:asciiTheme="minorHAnsi" w:hAnsiTheme="minorHAnsi" w:cstheme="minorHAnsi"/>
          <w:color w:val="303030"/>
          <w:shd w:val="clear" w:color="auto" w:fill="FFFFFF"/>
        </w:rPr>
      </w:pPr>
    </w:p>
    <w:p w14:paraId="4D924054" w14:textId="2F4617E4" w:rsidR="006A0E7F" w:rsidRPr="0010004F" w:rsidRDefault="006A0E7F" w:rsidP="0010004F">
      <w:pPr>
        <w:spacing w:line="240" w:lineRule="auto"/>
        <w:jc w:val="both"/>
        <w:rPr>
          <w:rFonts w:asciiTheme="minorHAnsi" w:hAnsiTheme="minorHAnsi" w:cstheme="minorHAnsi"/>
          <w:shd w:val="clear" w:color="auto" w:fill="FFFFFF"/>
        </w:rPr>
      </w:pPr>
      <w:r w:rsidRPr="0010004F">
        <w:rPr>
          <w:rFonts w:asciiTheme="minorHAnsi" w:hAnsiTheme="minorHAnsi" w:cstheme="minorHAnsi"/>
          <w:b/>
          <w:bCs/>
          <w:u w:val="single"/>
        </w:rPr>
        <w:t xml:space="preserve">MHRA Class 4 Medicines Defect Information: </w:t>
      </w:r>
      <w:proofErr w:type="spellStart"/>
      <w:r w:rsidRPr="0010004F">
        <w:rPr>
          <w:rFonts w:asciiTheme="minorHAnsi" w:hAnsiTheme="minorHAnsi" w:cstheme="minorHAnsi"/>
          <w:b/>
          <w:bCs/>
          <w:u w:val="single"/>
        </w:rPr>
        <w:t>Beclometasone</w:t>
      </w:r>
      <w:proofErr w:type="spellEnd"/>
      <w:r w:rsidRPr="0010004F">
        <w:rPr>
          <w:rFonts w:asciiTheme="minorHAnsi" w:hAnsiTheme="minorHAnsi" w:cstheme="minorHAnsi"/>
          <w:b/>
          <w:bCs/>
          <w:u w:val="single"/>
        </w:rPr>
        <w:t xml:space="preserve"> dipropionate 50 micrograms/dose Nasal Spray</w:t>
      </w:r>
    </w:p>
    <w:p w14:paraId="05144122" w14:textId="77777777" w:rsidR="006A0E7F" w:rsidRPr="0010004F" w:rsidRDefault="006A0E7F" w:rsidP="0010004F">
      <w:pPr>
        <w:spacing w:line="240" w:lineRule="auto"/>
        <w:jc w:val="both"/>
        <w:rPr>
          <w:rStyle w:val="Strong"/>
          <w:rFonts w:asciiTheme="minorHAnsi" w:hAnsiTheme="minorHAnsi" w:cstheme="minorHAnsi"/>
          <w:b w:val="0"/>
          <w:bCs w:val="0"/>
          <w:color w:val="4E3487"/>
          <w:u w:val="single"/>
        </w:rPr>
      </w:pPr>
      <w:r w:rsidRPr="0010004F">
        <w:rPr>
          <w:rFonts w:asciiTheme="minorHAnsi" w:hAnsiTheme="minorHAnsi" w:cstheme="minorHAnsi"/>
          <w:shd w:val="clear" w:color="auto" w:fill="FFFFFF"/>
        </w:rPr>
        <w:t>The MHRA</w:t>
      </w:r>
      <w:r w:rsidRPr="0010004F">
        <w:rPr>
          <w:rFonts w:asciiTheme="minorHAnsi" w:hAnsiTheme="minorHAnsi" w:cstheme="minorHAnsi"/>
          <w:b/>
          <w:bCs/>
          <w:shd w:val="clear" w:color="auto" w:fill="FFFFFF"/>
        </w:rPr>
        <w:t xml:space="preserve"> </w:t>
      </w:r>
      <w:r w:rsidRPr="0010004F">
        <w:rPr>
          <w:rStyle w:val="Strong"/>
          <w:rFonts w:asciiTheme="minorHAnsi" w:hAnsiTheme="minorHAnsi" w:cstheme="minorHAnsi"/>
          <w:b w:val="0"/>
          <w:bCs w:val="0"/>
        </w:rPr>
        <w:t xml:space="preserve">has issued a class 4 medicines defect information notice for: </w:t>
      </w:r>
      <w:proofErr w:type="spellStart"/>
      <w:r w:rsidRPr="0010004F">
        <w:rPr>
          <w:rStyle w:val="Strong"/>
          <w:rFonts w:asciiTheme="minorHAnsi" w:hAnsiTheme="minorHAnsi" w:cstheme="minorHAnsi"/>
          <w:b w:val="0"/>
          <w:bCs w:val="0"/>
        </w:rPr>
        <w:t>Beclometasone</w:t>
      </w:r>
      <w:proofErr w:type="spellEnd"/>
      <w:r w:rsidRPr="0010004F">
        <w:rPr>
          <w:rStyle w:val="Strong"/>
          <w:rFonts w:asciiTheme="minorHAnsi" w:hAnsiTheme="minorHAnsi" w:cstheme="minorHAnsi"/>
          <w:b w:val="0"/>
          <w:bCs w:val="0"/>
        </w:rPr>
        <w:t xml:space="preserve"> dipropionate 50 micrograms/dose Nasal Spray. Read more here: </w:t>
      </w:r>
      <w:hyperlink r:id="rId13" w:history="1">
        <w:r w:rsidRPr="0010004F">
          <w:rPr>
            <w:rStyle w:val="Hyperlink"/>
            <w:rFonts w:asciiTheme="minorHAnsi" w:hAnsiTheme="minorHAnsi" w:cstheme="minorHAnsi"/>
            <w:b/>
            <w:bCs/>
            <w:color w:val="4E3487"/>
          </w:rPr>
          <w:t>https://psnc.org.uk/our-news/mhra-class-4-medicines-defect-information-beclometasone-dipropionate-50-micrograms-dose-nasal-spray-various-liveries/</w:t>
        </w:r>
      </w:hyperlink>
    </w:p>
    <w:p w14:paraId="02F47259" w14:textId="77777777" w:rsidR="006A0E7F" w:rsidRPr="0010004F" w:rsidRDefault="006A0E7F" w:rsidP="0010004F">
      <w:pPr>
        <w:spacing w:line="240" w:lineRule="auto"/>
        <w:jc w:val="both"/>
        <w:rPr>
          <w:rStyle w:val="Strong"/>
          <w:rFonts w:asciiTheme="minorHAnsi" w:hAnsiTheme="minorHAnsi" w:cstheme="minorHAnsi"/>
          <w:b w:val="0"/>
          <w:bCs w:val="0"/>
        </w:rPr>
      </w:pPr>
    </w:p>
    <w:p w14:paraId="0D79A793" w14:textId="75135D6F" w:rsidR="006A0E7F" w:rsidRPr="0010004F" w:rsidRDefault="006A0E7F" w:rsidP="0010004F">
      <w:pPr>
        <w:spacing w:line="240" w:lineRule="auto"/>
        <w:jc w:val="both"/>
        <w:rPr>
          <w:rFonts w:asciiTheme="minorHAnsi" w:hAnsiTheme="minorHAnsi" w:cstheme="minorHAnsi"/>
        </w:rPr>
      </w:pPr>
      <w:r w:rsidRPr="0010004F">
        <w:rPr>
          <w:rFonts w:asciiTheme="minorHAnsi" w:hAnsiTheme="minorHAnsi" w:cstheme="minorHAnsi"/>
          <w:b/>
          <w:bCs/>
          <w:u w:val="single"/>
        </w:rPr>
        <w:t>Requirement to update NHS website and DoS profile by end of March 2022</w:t>
      </w:r>
    </w:p>
    <w:p w14:paraId="69A38E6C" w14:textId="77777777" w:rsidR="006C2C06" w:rsidRPr="0010004F" w:rsidRDefault="006C2C06" w:rsidP="0010004F">
      <w:pPr>
        <w:spacing w:line="240" w:lineRule="auto"/>
        <w:jc w:val="both"/>
        <w:rPr>
          <w:rFonts w:asciiTheme="minorHAnsi" w:hAnsiTheme="minorHAnsi" w:cstheme="minorHAnsi"/>
          <w:color w:val="303030"/>
          <w:shd w:val="clear" w:color="auto" w:fill="FFFFFF"/>
        </w:rPr>
      </w:pPr>
      <w:r w:rsidRPr="0010004F">
        <w:rPr>
          <w:rFonts w:asciiTheme="minorHAnsi" w:hAnsiTheme="minorHAnsi" w:cstheme="minorHAnsi"/>
          <w:shd w:val="clear" w:color="auto" w:fill="FFFFFF"/>
        </w:rPr>
        <w:t>Community pharmacy contractors are reminded of the Terms of Service requirement to ensure they verify and, where necessary, update the information contained in their NHS website profile </w:t>
      </w:r>
      <w:r w:rsidRPr="0010004F">
        <w:rPr>
          <w:rStyle w:val="Strong"/>
          <w:rFonts w:asciiTheme="minorHAnsi" w:hAnsiTheme="minorHAnsi" w:cstheme="minorHAnsi"/>
          <w:shd w:val="clear" w:color="auto" w:fill="FFFFFF"/>
        </w:rPr>
        <w:t>and</w:t>
      </w:r>
      <w:r w:rsidRPr="0010004F">
        <w:rPr>
          <w:rFonts w:asciiTheme="minorHAnsi" w:hAnsiTheme="minorHAnsi" w:cstheme="minorHAnsi"/>
          <w:shd w:val="clear" w:color="auto" w:fill="FFFFFF"/>
        </w:rPr>
        <w:t> their Directory of Services (DoS) profile at least once each quarter of the financial year. For the current financial quarter, the deadline to complete this is </w:t>
      </w:r>
      <w:r w:rsidRPr="0010004F">
        <w:rPr>
          <w:rStyle w:val="Strong"/>
          <w:rFonts w:asciiTheme="minorHAnsi" w:hAnsiTheme="minorHAnsi" w:cstheme="minorHAnsi"/>
          <w:shd w:val="clear" w:color="auto" w:fill="FFFFFF"/>
        </w:rPr>
        <w:t>31st March 2022</w:t>
      </w:r>
      <w:r w:rsidRPr="0010004F">
        <w:rPr>
          <w:rFonts w:asciiTheme="minorHAnsi" w:hAnsiTheme="minorHAnsi" w:cstheme="minorHAnsi"/>
          <w:shd w:val="clear" w:color="auto" w:fill="FFFFFF"/>
        </w:rPr>
        <w:t xml:space="preserve">. Read more here: </w:t>
      </w:r>
      <w:hyperlink r:id="rId14" w:history="1">
        <w:r w:rsidRPr="0010004F">
          <w:rPr>
            <w:rStyle w:val="Hyperlink"/>
            <w:rFonts w:asciiTheme="minorHAnsi" w:hAnsiTheme="minorHAnsi" w:cstheme="minorHAnsi"/>
            <w:b/>
            <w:bCs/>
            <w:color w:val="4E3487"/>
            <w:shd w:val="clear" w:color="auto" w:fill="FFFFFF"/>
          </w:rPr>
          <w:t>https://psnc.org.uk/our-news/reminder-requirement-to-update-nhs-website-and-dos-profile-by-end-of-march-2022/</w:t>
        </w:r>
      </w:hyperlink>
    </w:p>
    <w:p w14:paraId="68B67C1D" w14:textId="77777777" w:rsidR="006C2C06" w:rsidRPr="0010004F" w:rsidRDefault="006C2C06" w:rsidP="0010004F">
      <w:pPr>
        <w:spacing w:line="240" w:lineRule="auto"/>
        <w:jc w:val="both"/>
        <w:rPr>
          <w:rFonts w:asciiTheme="minorHAnsi" w:hAnsiTheme="minorHAnsi" w:cstheme="minorHAnsi"/>
          <w:color w:val="303030"/>
          <w:shd w:val="clear" w:color="auto" w:fill="FFFFFF"/>
        </w:rPr>
      </w:pPr>
    </w:p>
    <w:p w14:paraId="3A8175E6" w14:textId="429BA930" w:rsidR="006C2C06" w:rsidRPr="0010004F" w:rsidRDefault="006C2C06" w:rsidP="0010004F">
      <w:pPr>
        <w:spacing w:line="240" w:lineRule="auto"/>
        <w:jc w:val="both"/>
        <w:rPr>
          <w:rFonts w:asciiTheme="minorHAnsi" w:hAnsiTheme="minorHAnsi" w:cstheme="minorHAnsi"/>
          <w:shd w:val="clear" w:color="auto" w:fill="FFFFFF"/>
        </w:rPr>
      </w:pPr>
      <w:r w:rsidRPr="0010004F">
        <w:rPr>
          <w:rFonts w:asciiTheme="minorHAnsi" w:hAnsiTheme="minorHAnsi" w:cstheme="minorHAnsi"/>
          <w:b/>
          <w:bCs/>
          <w:u w:val="single"/>
        </w:rPr>
        <w:t>DHSC consultation on hub and spoke dispensing published</w:t>
      </w:r>
    </w:p>
    <w:p w14:paraId="32C4CD3E" w14:textId="77777777" w:rsidR="006C2C06" w:rsidRPr="0010004F" w:rsidRDefault="006C2C06" w:rsidP="0010004F">
      <w:pPr>
        <w:spacing w:line="240" w:lineRule="auto"/>
        <w:jc w:val="both"/>
        <w:rPr>
          <w:rFonts w:asciiTheme="minorHAnsi" w:hAnsiTheme="minorHAnsi" w:cstheme="minorHAnsi"/>
          <w:color w:val="303030"/>
          <w:shd w:val="clear" w:color="auto" w:fill="FFFFFF"/>
        </w:rPr>
      </w:pPr>
      <w:r w:rsidRPr="0010004F">
        <w:rPr>
          <w:rFonts w:asciiTheme="minorHAnsi" w:hAnsiTheme="minorHAnsi" w:cstheme="minorHAnsi"/>
          <w:shd w:val="clear" w:color="auto" w:fill="FFFFFF"/>
        </w:rPr>
        <w:t>The Department of Health and Social Care (DHSC) has published its consultation on the proposals to enable all community pharmacies to access hub and spoke dispensing. The consultation is due to run for three months and will close on </w:t>
      </w:r>
      <w:r w:rsidRPr="0010004F">
        <w:rPr>
          <w:rStyle w:val="Strong"/>
          <w:rFonts w:asciiTheme="minorHAnsi" w:hAnsiTheme="minorHAnsi" w:cstheme="minorHAnsi"/>
          <w:shd w:val="clear" w:color="auto" w:fill="FFFFFF"/>
        </w:rPr>
        <w:t>June 8th, 2022</w:t>
      </w:r>
      <w:r w:rsidRPr="0010004F">
        <w:rPr>
          <w:rFonts w:asciiTheme="minorHAnsi" w:hAnsiTheme="minorHAnsi" w:cstheme="minorHAnsi"/>
          <w:shd w:val="clear" w:color="auto" w:fill="FFFFFF"/>
        </w:rPr>
        <w:t>. Read more here:</w:t>
      </w:r>
      <w:r w:rsidRPr="0010004F">
        <w:rPr>
          <w:rFonts w:asciiTheme="minorHAnsi" w:hAnsiTheme="minorHAnsi" w:cstheme="minorHAnsi"/>
          <w:color w:val="303030"/>
          <w:shd w:val="clear" w:color="auto" w:fill="FFFFFF"/>
        </w:rPr>
        <w:t xml:space="preserve"> </w:t>
      </w:r>
      <w:hyperlink r:id="rId15" w:history="1">
        <w:r w:rsidRPr="0010004F">
          <w:rPr>
            <w:rStyle w:val="Hyperlink"/>
            <w:rFonts w:asciiTheme="minorHAnsi" w:hAnsiTheme="minorHAnsi" w:cstheme="minorHAnsi"/>
            <w:b/>
            <w:bCs/>
            <w:color w:val="4E3487"/>
            <w:shd w:val="clear" w:color="auto" w:fill="FFFFFF"/>
          </w:rPr>
          <w:t>https://psnc.org.uk/our-news/dhsc-consultation-on-hub-and-spoke-dispensing-published/</w:t>
        </w:r>
      </w:hyperlink>
    </w:p>
    <w:p w14:paraId="54DD7BA8" w14:textId="77777777" w:rsidR="006C2C06" w:rsidRPr="0010004F" w:rsidRDefault="006C2C06" w:rsidP="0010004F">
      <w:pPr>
        <w:spacing w:line="240" w:lineRule="auto"/>
        <w:jc w:val="both"/>
        <w:rPr>
          <w:rFonts w:asciiTheme="minorHAnsi" w:hAnsiTheme="minorHAnsi" w:cstheme="minorHAnsi"/>
          <w:color w:val="303030"/>
          <w:shd w:val="clear" w:color="auto" w:fill="FFFFFF"/>
        </w:rPr>
      </w:pPr>
    </w:p>
    <w:p w14:paraId="719DB1E3" w14:textId="43029366" w:rsidR="006C2C06" w:rsidRPr="0010004F" w:rsidRDefault="006C2C06" w:rsidP="0010004F">
      <w:pPr>
        <w:spacing w:line="240" w:lineRule="auto"/>
        <w:jc w:val="both"/>
        <w:rPr>
          <w:rFonts w:asciiTheme="minorHAnsi" w:hAnsiTheme="minorHAnsi" w:cstheme="minorHAnsi"/>
          <w:shd w:val="clear" w:color="auto" w:fill="FFFFFF"/>
        </w:rPr>
      </w:pPr>
      <w:r w:rsidRPr="0010004F">
        <w:rPr>
          <w:rFonts w:asciiTheme="minorHAnsi" w:hAnsiTheme="minorHAnsi" w:cstheme="minorHAnsi"/>
          <w:b/>
          <w:bCs/>
          <w:u w:val="single"/>
        </w:rPr>
        <w:t xml:space="preserve">New SSP issued for </w:t>
      </w:r>
      <w:proofErr w:type="spellStart"/>
      <w:r w:rsidRPr="0010004F">
        <w:rPr>
          <w:rFonts w:asciiTheme="minorHAnsi" w:hAnsiTheme="minorHAnsi" w:cstheme="minorHAnsi"/>
          <w:b/>
          <w:bCs/>
          <w:u w:val="single"/>
        </w:rPr>
        <w:t>Salazopyrin</w:t>
      </w:r>
      <w:proofErr w:type="spellEnd"/>
      <w:r w:rsidRPr="0010004F">
        <w:rPr>
          <w:rFonts w:asciiTheme="minorHAnsi" w:hAnsiTheme="minorHAnsi" w:cstheme="minorHAnsi"/>
          <w:b/>
          <w:bCs/>
          <w:u w:val="single"/>
        </w:rPr>
        <w:t> 500mg tablets</w:t>
      </w:r>
    </w:p>
    <w:p w14:paraId="57C24FD8" w14:textId="60F6E782" w:rsidR="00FF4378" w:rsidRPr="0010004F" w:rsidRDefault="006C2C06" w:rsidP="0010004F">
      <w:pPr>
        <w:spacing w:line="240" w:lineRule="auto"/>
        <w:jc w:val="both"/>
        <w:rPr>
          <w:rFonts w:asciiTheme="minorHAnsi" w:hAnsiTheme="minorHAnsi" w:cstheme="minorHAnsi"/>
          <w:b/>
          <w:bCs/>
          <w:color w:val="303030"/>
          <w:u w:val="single"/>
          <w:shd w:val="clear" w:color="auto" w:fill="FFFFFF"/>
        </w:rPr>
      </w:pPr>
      <w:r w:rsidRPr="0010004F">
        <w:rPr>
          <w:rFonts w:asciiTheme="minorHAnsi" w:hAnsiTheme="minorHAnsi" w:cstheme="minorHAnsi"/>
          <w:shd w:val="clear" w:color="auto" w:fill="FFFFFF"/>
        </w:rPr>
        <w:t xml:space="preserve">In response to significant ongoing disruption to the supply of </w:t>
      </w:r>
      <w:proofErr w:type="spellStart"/>
      <w:r w:rsidRPr="0010004F">
        <w:rPr>
          <w:rFonts w:asciiTheme="minorHAnsi" w:hAnsiTheme="minorHAnsi" w:cstheme="minorHAnsi"/>
          <w:shd w:val="clear" w:color="auto" w:fill="FFFFFF"/>
        </w:rPr>
        <w:t>Salazopyrin</w:t>
      </w:r>
      <w:proofErr w:type="spellEnd"/>
      <w:r w:rsidRPr="0010004F">
        <w:rPr>
          <w:rFonts w:asciiTheme="minorHAnsi" w:hAnsiTheme="minorHAnsi" w:cstheme="minorHAnsi"/>
          <w:shd w:val="clear" w:color="auto" w:fill="FFFFFF"/>
        </w:rPr>
        <w:t xml:space="preserve"> 500mg tablets, DHSC has issued a Serious Shortage Protocol (SSP), SSP018. Effective from 16th March, SSP018 provides that for every </w:t>
      </w:r>
      <w:proofErr w:type="spellStart"/>
      <w:r w:rsidRPr="0010004F">
        <w:rPr>
          <w:rFonts w:asciiTheme="minorHAnsi" w:hAnsiTheme="minorHAnsi" w:cstheme="minorHAnsi"/>
          <w:shd w:val="clear" w:color="auto" w:fill="FFFFFF"/>
        </w:rPr>
        <w:t>Salazopyrin</w:t>
      </w:r>
      <w:proofErr w:type="spellEnd"/>
      <w:r w:rsidRPr="0010004F">
        <w:rPr>
          <w:rFonts w:asciiTheme="minorHAnsi" w:hAnsiTheme="minorHAnsi" w:cstheme="minorHAnsi"/>
          <w:shd w:val="clear" w:color="auto" w:fill="FFFFFF"/>
        </w:rPr>
        <w:t xml:space="preserve"> 500mg tablet originally prescribed, one Sulfasalazine 500mg tablet must be supplied. Read more here:</w:t>
      </w:r>
      <w:r w:rsidRPr="0010004F">
        <w:rPr>
          <w:rFonts w:asciiTheme="minorHAnsi" w:hAnsiTheme="minorHAnsi" w:cstheme="minorHAnsi"/>
          <w:color w:val="303030"/>
          <w:shd w:val="clear" w:color="auto" w:fill="FFFFFF"/>
        </w:rPr>
        <w:t xml:space="preserve"> </w:t>
      </w:r>
      <w:hyperlink r:id="rId16" w:history="1">
        <w:r w:rsidR="00FF4378" w:rsidRPr="0010004F">
          <w:rPr>
            <w:rStyle w:val="Hyperlink"/>
            <w:rFonts w:asciiTheme="minorHAnsi" w:hAnsiTheme="minorHAnsi" w:cstheme="minorHAnsi"/>
            <w:b/>
            <w:bCs/>
            <w:color w:val="4E3487"/>
            <w:shd w:val="clear" w:color="auto" w:fill="FFFFFF"/>
          </w:rPr>
          <w:t>https://psnc.org.uk/our-news/new-ssp-issued-for-salazopyrin-500mg-tablets/</w:t>
        </w:r>
      </w:hyperlink>
    </w:p>
    <w:p w14:paraId="71638771" w14:textId="77777777" w:rsidR="00FF4378" w:rsidRPr="0010004F" w:rsidRDefault="00FF4378" w:rsidP="0010004F">
      <w:pPr>
        <w:spacing w:line="240" w:lineRule="auto"/>
        <w:jc w:val="both"/>
        <w:rPr>
          <w:rFonts w:asciiTheme="minorHAnsi" w:hAnsiTheme="minorHAnsi" w:cstheme="minorHAnsi"/>
          <w:b/>
          <w:bCs/>
          <w:color w:val="303030"/>
          <w:u w:val="single"/>
          <w:shd w:val="clear" w:color="auto" w:fill="FFFFFF"/>
        </w:rPr>
      </w:pPr>
    </w:p>
    <w:p w14:paraId="3A8830E0" w14:textId="5919A642" w:rsidR="00FF4378" w:rsidRPr="0010004F" w:rsidRDefault="00FF4378"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Medicine Supply Notification: Diltiazem 90mg tablets</w:t>
      </w:r>
    </w:p>
    <w:p w14:paraId="446F9F0E" w14:textId="14501E85" w:rsidR="00FF4378" w:rsidRPr="0010004F" w:rsidRDefault="00FF4378" w:rsidP="0010004F">
      <w:pPr>
        <w:spacing w:line="240" w:lineRule="auto"/>
        <w:jc w:val="both"/>
        <w:rPr>
          <w:rStyle w:val="Strong"/>
          <w:rFonts w:asciiTheme="minorHAnsi" w:hAnsiTheme="minorHAnsi" w:cstheme="minorHAnsi"/>
          <w:b w:val="0"/>
          <w:bCs w:val="0"/>
        </w:rPr>
      </w:pPr>
      <w:r w:rsidRPr="0010004F">
        <w:rPr>
          <w:rFonts w:asciiTheme="minorHAnsi" w:hAnsiTheme="minorHAnsi" w:cstheme="minorHAnsi"/>
        </w:rPr>
        <w:lastRenderedPageBreak/>
        <w:t>DHSC has issued a Medicine Supply Notification for </w:t>
      </w:r>
      <w:r w:rsidRPr="0010004F">
        <w:rPr>
          <w:rStyle w:val="Strong"/>
          <w:rFonts w:asciiTheme="minorHAnsi" w:hAnsiTheme="minorHAnsi" w:cstheme="minorHAnsi"/>
          <w:b w:val="0"/>
          <w:bCs w:val="0"/>
        </w:rPr>
        <w:t xml:space="preserve">Diltiazem 90mg tablets. Read more here: </w:t>
      </w:r>
      <w:hyperlink r:id="rId17" w:history="1">
        <w:r w:rsidRPr="0010004F">
          <w:rPr>
            <w:rStyle w:val="Hyperlink"/>
            <w:rFonts w:asciiTheme="minorHAnsi" w:hAnsiTheme="minorHAnsi" w:cstheme="minorHAnsi"/>
            <w:b/>
            <w:bCs/>
            <w:color w:val="4E3487"/>
          </w:rPr>
          <w:t>https://psnc.org.uk/our-news/medicine-supply-notification-diltiazem-tildiem-retard-90mg-tablets/</w:t>
        </w:r>
      </w:hyperlink>
    </w:p>
    <w:p w14:paraId="6DC1C90F" w14:textId="77777777" w:rsidR="00FF4378" w:rsidRPr="0010004F" w:rsidRDefault="00FF4378" w:rsidP="0010004F">
      <w:pPr>
        <w:spacing w:line="240" w:lineRule="auto"/>
        <w:jc w:val="both"/>
        <w:rPr>
          <w:rStyle w:val="Strong"/>
          <w:rFonts w:asciiTheme="minorHAnsi" w:hAnsiTheme="minorHAnsi" w:cstheme="minorHAnsi"/>
          <w:b w:val="0"/>
          <w:bCs w:val="0"/>
        </w:rPr>
      </w:pPr>
    </w:p>
    <w:p w14:paraId="5A2754CB" w14:textId="0935BDDF" w:rsidR="00FF4378" w:rsidRPr="0010004F" w:rsidRDefault="00FF4378" w:rsidP="0010004F">
      <w:pPr>
        <w:spacing w:line="240" w:lineRule="auto"/>
        <w:jc w:val="both"/>
        <w:rPr>
          <w:rFonts w:asciiTheme="minorHAnsi" w:hAnsiTheme="minorHAnsi" w:cstheme="minorHAnsi"/>
        </w:rPr>
      </w:pPr>
      <w:r w:rsidRPr="0010004F">
        <w:rPr>
          <w:rFonts w:asciiTheme="minorHAnsi" w:hAnsiTheme="minorHAnsi" w:cstheme="minorHAnsi"/>
          <w:b/>
          <w:bCs/>
          <w:u w:val="single"/>
        </w:rPr>
        <w:t>Medicine Supply Notification: Diamorphine 100mg and 500mg powder for solution for injection ampoules</w:t>
      </w:r>
    </w:p>
    <w:p w14:paraId="0F9FBFBF" w14:textId="60AF8877" w:rsidR="00FF4378" w:rsidRPr="0010004F" w:rsidRDefault="00FF4378" w:rsidP="0010004F">
      <w:pPr>
        <w:spacing w:line="240" w:lineRule="auto"/>
        <w:jc w:val="both"/>
        <w:rPr>
          <w:rStyle w:val="Strong"/>
          <w:rFonts w:asciiTheme="minorHAnsi" w:hAnsiTheme="minorHAnsi" w:cstheme="minorHAnsi"/>
          <w:color w:val="444444"/>
          <w:u w:val="single"/>
        </w:rPr>
      </w:pPr>
      <w:r w:rsidRPr="0010004F">
        <w:rPr>
          <w:rFonts w:asciiTheme="minorHAnsi" w:hAnsiTheme="minorHAnsi" w:cstheme="minorHAnsi"/>
        </w:rPr>
        <w:t>DHSC has issued a Medicine Supply Notification for </w:t>
      </w:r>
      <w:r w:rsidRPr="0010004F">
        <w:rPr>
          <w:rStyle w:val="Strong"/>
          <w:rFonts w:asciiTheme="minorHAnsi" w:hAnsiTheme="minorHAnsi" w:cstheme="minorHAnsi"/>
          <w:b w:val="0"/>
          <w:bCs w:val="0"/>
        </w:rPr>
        <w:t xml:space="preserve">Diamorphine 100mg and 500mg powder for solution for injection ampoules. Read more here: </w:t>
      </w:r>
      <w:hyperlink r:id="rId18" w:history="1">
        <w:r w:rsidRPr="0010004F">
          <w:rPr>
            <w:rStyle w:val="Hyperlink"/>
            <w:rFonts w:asciiTheme="minorHAnsi" w:hAnsiTheme="minorHAnsi" w:cstheme="minorHAnsi"/>
            <w:b/>
            <w:bCs/>
            <w:color w:val="4E3487"/>
          </w:rPr>
          <w:t>https://psnc.org.uk/our-news/medicine-supply-notification-diamorphine-100mg-and-500mg-powder-for-solution-for-injection-ampoules/</w:t>
        </w:r>
      </w:hyperlink>
    </w:p>
    <w:p w14:paraId="2280F006" w14:textId="77777777" w:rsidR="00FF4378" w:rsidRPr="0010004F" w:rsidRDefault="00FF4378" w:rsidP="0010004F">
      <w:pPr>
        <w:spacing w:line="240" w:lineRule="auto"/>
        <w:jc w:val="both"/>
        <w:rPr>
          <w:rStyle w:val="Strong"/>
          <w:rFonts w:asciiTheme="minorHAnsi" w:hAnsiTheme="minorHAnsi" w:cstheme="minorHAnsi"/>
          <w:color w:val="444444"/>
          <w:u w:val="single"/>
        </w:rPr>
      </w:pPr>
    </w:p>
    <w:p w14:paraId="1A1E63FA" w14:textId="4405830A" w:rsidR="00FF4378" w:rsidRPr="0010004F" w:rsidRDefault="00FF4378" w:rsidP="0010004F">
      <w:pPr>
        <w:spacing w:line="240" w:lineRule="auto"/>
        <w:jc w:val="both"/>
        <w:rPr>
          <w:rFonts w:asciiTheme="minorHAnsi" w:hAnsiTheme="minorHAnsi" w:cstheme="minorHAnsi"/>
        </w:rPr>
      </w:pPr>
      <w:r w:rsidRPr="0010004F">
        <w:rPr>
          <w:rFonts w:asciiTheme="minorHAnsi" w:hAnsiTheme="minorHAnsi" w:cstheme="minorHAnsi"/>
          <w:b/>
          <w:bCs/>
          <w:u w:val="single"/>
        </w:rPr>
        <w:t>Medicine Supply Notification: Timolol 1mg/g gel eye drops 0.4g unit dose preservative free</w:t>
      </w:r>
    </w:p>
    <w:p w14:paraId="2AE15848" w14:textId="7ED5C346" w:rsidR="00FF4378" w:rsidRPr="0010004F" w:rsidRDefault="00FF4378" w:rsidP="0010004F">
      <w:pPr>
        <w:spacing w:line="240" w:lineRule="auto"/>
        <w:jc w:val="both"/>
        <w:rPr>
          <w:rStyle w:val="Strong"/>
          <w:rFonts w:asciiTheme="minorHAnsi" w:hAnsiTheme="minorHAnsi" w:cstheme="minorHAnsi"/>
          <w:color w:val="444444"/>
          <w:u w:val="single"/>
        </w:rPr>
      </w:pPr>
      <w:r w:rsidRPr="0010004F">
        <w:rPr>
          <w:rFonts w:asciiTheme="minorHAnsi" w:eastAsia="Times New Roman" w:hAnsiTheme="minorHAnsi" w:cstheme="minorHAnsi"/>
          <w:lang w:val="en-US" w:eastAsia="en-GB"/>
        </w:rPr>
        <w:t xml:space="preserve">DHSC </w:t>
      </w:r>
      <w:r w:rsidRPr="0010004F">
        <w:rPr>
          <w:rFonts w:asciiTheme="minorHAnsi" w:hAnsiTheme="minorHAnsi" w:cstheme="minorHAnsi"/>
        </w:rPr>
        <w:t>has issued a Medicine Supply Notification for </w:t>
      </w:r>
      <w:r w:rsidRPr="0010004F">
        <w:rPr>
          <w:rStyle w:val="Strong"/>
          <w:rFonts w:asciiTheme="minorHAnsi" w:hAnsiTheme="minorHAnsi" w:cstheme="minorHAnsi"/>
          <w:b w:val="0"/>
          <w:bCs w:val="0"/>
        </w:rPr>
        <w:t xml:space="preserve">Timolol 1mg/g gel eye drops 0.4g unit dose preservative free. Read more here: </w:t>
      </w:r>
      <w:hyperlink r:id="rId19" w:history="1">
        <w:r w:rsidRPr="0010004F">
          <w:rPr>
            <w:rStyle w:val="Hyperlink"/>
            <w:rFonts w:asciiTheme="minorHAnsi" w:hAnsiTheme="minorHAnsi" w:cstheme="minorHAnsi"/>
            <w:b/>
            <w:bCs/>
            <w:color w:val="4E3487"/>
          </w:rPr>
          <w:t>https://psnc.org.uk/our-news/medicine-supply-notification-timolol-tiopex-1mg-g-gel-eye-drops-0-4g-unit-dose-preservative-free/</w:t>
        </w:r>
      </w:hyperlink>
    </w:p>
    <w:p w14:paraId="265A11E1" w14:textId="77777777" w:rsidR="00FF4378" w:rsidRPr="0010004F" w:rsidRDefault="00FF4378" w:rsidP="0010004F">
      <w:pPr>
        <w:spacing w:line="240" w:lineRule="auto"/>
        <w:jc w:val="both"/>
        <w:rPr>
          <w:rStyle w:val="Strong"/>
          <w:rFonts w:asciiTheme="minorHAnsi" w:hAnsiTheme="minorHAnsi" w:cstheme="minorHAnsi"/>
          <w:color w:val="444444"/>
          <w:u w:val="single"/>
        </w:rPr>
      </w:pPr>
    </w:p>
    <w:p w14:paraId="5266B58A" w14:textId="22049F25" w:rsidR="00FF4378" w:rsidRPr="0010004F" w:rsidRDefault="00FF4378"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Medicine Supply Notification: Benperidol 250microgram tablets</w:t>
      </w:r>
    </w:p>
    <w:p w14:paraId="66A6AD9A" w14:textId="088D9DFD" w:rsidR="00D90E56" w:rsidRPr="0010004F" w:rsidRDefault="00FF4378" w:rsidP="0010004F">
      <w:pPr>
        <w:spacing w:line="240" w:lineRule="auto"/>
        <w:jc w:val="both"/>
        <w:rPr>
          <w:rStyle w:val="Strong"/>
          <w:rFonts w:asciiTheme="minorHAnsi" w:hAnsiTheme="minorHAnsi" w:cstheme="minorHAnsi"/>
          <w:b w:val="0"/>
          <w:bCs w:val="0"/>
          <w:color w:val="444444"/>
        </w:rPr>
      </w:pPr>
      <w:r w:rsidRPr="0010004F">
        <w:rPr>
          <w:rStyle w:val="Strong"/>
          <w:rFonts w:asciiTheme="minorHAnsi" w:hAnsiTheme="minorHAnsi" w:cstheme="minorHAnsi"/>
          <w:b w:val="0"/>
          <w:bCs w:val="0"/>
        </w:rPr>
        <w:t xml:space="preserve">DHSC </w:t>
      </w:r>
      <w:r w:rsidRPr="0010004F">
        <w:rPr>
          <w:rFonts w:asciiTheme="minorHAnsi" w:hAnsiTheme="minorHAnsi" w:cstheme="minorHAnsi"/>
        </w:rPr>
        <w:t>has issued a Medicine Supply Notification</w:t>
      </w:r>
      <w:r w:rsidR="00EF2F53">
        <w:rPr>
          <w:rFonts w:asciiTheme="minorHAnsi" w:hAnsiTheme="minorHAnsi" w:cstheme="minorHAnsi"/>
        </w:rPr>
        <w:t xml:space="preserve"> </w:t>
      </w:r>
      <w:r w:rsidRPr="0010004F">
        <w:rPr>
          <w:rFonts w:asciiTheme="minorHAnsi" w:hAnsiTheme="minorHAnsi" w:cstheme="minorHAnsi"/>
        </w:rPr>
        <w:t>for </w:t>
      </w:r>
      <w:r w:rsidRPr="0010004F">
        <w:rPr>
          <w:rStyle w:val="Strong"/>
          <w:rFonts w:asciiTheme="minorHAnsi" w:hAnsiTheme="minorHAnsi" w:cstheme="minorHAnsi"/>
          <w:b w:val="0"/>
          <w:bCs w:val="0"/>
        </w:rPr>
        <w:t>Benperidol</w:t>
      </w:r>
      <w:r w:rsidR="00EF2F53">
        <w:rPr>
          <w:rStyle w:val="Strong"/>
          <w:rFonts w:asciiTheme="minorHAnsi" w:hAnsiTheme="minorHAnsi" w:cstheme="minorHAnsi"/>
          <w:b w:val="0"/>
          <w:bCs w:val="0"/>
        </w:rPr>
        <w:t xml:space="preserve"> </w:t>
      </w:r>
      <w:r w:rsidRPr="0010004F">
        <w:rPr>
          <w:rStyle w:val="Strong"/>
          <w:rFonts w:asciiTheme="minorHAnsi" w:hAnsiTheme="minorHAnsi" w:cstheme="minorHAnsi"/>
          <w:b w:val="0"/>
          <w:bCs w:val="0"/>
        </w:rPr>
        <w:t xml:space="preserve">250microgram tablets. Read more here: </w:t>
      </w:r>
      <w:hyperlink r:id="rId20" w:history="1">
        <w:r w:rsidR="00D90E56" w:rsidRPr="0010004F">
          <w:rPr>
            <w:rStyle w:val="Hyperlink"/>
            <w:rFonts w:asciiTheme="minorHAnsi" w:hAnsiTheme="minorHAnsi" w:cstheme="minorHAnsi"/>
            <w:b/>
            <w:bCs/>
            <w:color w:val="4E3487"/>
          </w:rPr>
          <w:t>https://psnc.org.uk/our-news/medicine-supply-notification-benperidol-anquil-250microgram-tablets/</w:t>
        </w:r>
      </w:hyperlink>
    </w:p>
    <w:p w14:paraId="351DAF9B" w14:textId="77777777" w:rsidR="00D90E56" w:rsidRPr="0010004F" w:rsidRDefault="00D90E56" w:rsidP="0010004F">
      <w:pPr>
        <w:spacing w:line="240" w:lineRule="auto"/>
        <w:jc w:val="both"/>
        <w:rPr>
          <w:rStyle w:val="Strong"/>
          <w:rFonts w:asciiTheme="minorHAnsi" w:hAnsiTheme="minorHAnsi" w:cstheme="minorHAnsi"/>
          <w:b w:val="0"/>
          <w:bCs w:val="0"/>
          <w:color w:val="444444"/>
        </w:rPr>
      </w:pPr>
    </w:p>
    <w:p w14:paraId="2444F23D" w14:textId="3BF2A64D" w:rsidR="00D90E56" w:rsidRPr="0010004F" w:rsidRDefault="00D90E56" w:rsidP="0010004F">
      <w:pPr>
        <w:spacing w:line="240" w:lineRule="auto"/>
        <w:jc w:val="both"/>
        <w:rPr>
          <w:rFonts w:asciiTheme="minorHAnsi" w:hAnsiTheme="minorHAnsi" w:cstheme="minorHAnsi"/>
        </w:rPr>
      </w:pPr>
      <w:r w:rsidRPr="0010004F">
        <w:rPr>
          <w:rFonts w:asciiTheme="minorHAnsi" w:hAnsiTheme="minorHAnsi" w:cstheme="minorHAnsi"/>
          <w:b/>
          <w:bCs/>
          <w:u w:val="single"/>
        </w:rPr>
        <w:t>Medicine Supply Notification: Oxybutynin 3.9mg/24hour transdermal patches.</w:t>
      </w:r>
    </w:p>
    <w:p w14:paraId="74FA3774" w14:textId="22FE107D" w:rsidR="00D90E56" w:rsidRPr="0010004F" w:rsidRDefault="00D90E56" w:rsidP="0010004F">
      <w:pPr>
        <w:spacing w:line="240" w:lineRule="auto"/>
        <w:jc w:val="both"/>
        <w:rPr>
          <w:rStyle w:val="Strong"/>
          <w:rFonts w:asciiTheme="minorHAnsi" w:hAnsiTheme="minorHAnsi" w:cstheme="minorHAnsi"/>
          <w:color w:val="444444"/>
          <w:u w:val="single"/>
        </w:rPr>
      </w:pPr>
      <w:r w:rsidRPr="0010004F">
        <w:rPr>
          <w:rFonts w:asciiTheme="minorHAnsi" w:eastAsia="Times New Roman" w:hAnsiTheme="minorHAnsi" w:cstheme="minorHAnsi"/>
          <w:lang w:eastAsia="en-GB"/>
        </w:rPr>
        <w:t xml:space="preserve">DHSC </w:t>
      </w:r>
      <w:r w:rsidRPr="0010004F">
        <w:rPr>
          <w:rFonts w:asciiTheme="minorHAnsi" w:hAnsiTheme="minorHAnsi" w:cstheme="minorHAnsi"/>
        </w:rPr>
        <w:t>has issued a Medicine Supply Notification for </w:t>
      </w:r>
      <w:r w:rsidRPr="0010004F">
        <w:rPr>
          <w:rStyle w:val="Strong"/>
          <w:rFonts w:asciiTheme="minorHAnsi" w:hAnsiTheme="minorHAnsi" w:cstheme="minorHAnsi"/>
          <w:b w:val="0"/>
          <w:bCs w:val="0"/>
        </w:rPr>
        <w:t xml:space="preserve">Oxybutynin 3.9mg/24hour transdermal patches. Read more here: </w:t>
      </w:r>
      <w:hyperlink r:id="rId21" w:history="1">
        <w:r w:rsidRPr="0010004F">
          <w:rPr>
            <w:rStyle w:val="Hyperlink"/>
            <w:rFonts w:asciiTheme="minorHAnsi" w:hAnsiTheme="minorHAnsi" w:cstheme="minorHAnsi"/>
            <w:b/>
            <w:bCs/>
            <w:color w:val="4E3487"/>
          </w:rPr>
          <w:t>https://psnc.org.uk/our-news/medicine-supply-notification/</w:t>
        </w:r>
      </w:hyperlink>
    </w:p>
    <w:p w14:paraId="113907E4" w14:textId="77777777" w:rsidR="00D90E56" w:rsidRPr="0010004F" w:rsidRDefault="00D90E56" w:rsidP="0010004F">
      <w:pPr>
        <w:spacing w:line="240" w:lineRule="auto"/>
        <w:jc w:val="both"/>
        <w:rPr>
          <w:rStyle w:val="Strong"/>
          <w:rFonts w:asciiTheme="minorHAnsi" w:hAnsiTheme="minorHAnsi" w:cstheme="minorHAnsi"/>
          <w:color w:val="444444"/>
          <w:u w:val="single"/>
        </w:rPr>
      </w:pPr>
    </w:p>
    <w:p w14:paraId="5C735968" w14:textId="53F07D4F" w:rsidR="00D90E56" w:rsidRPr="0010004F" w:rsidRDefault="00D90E56"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Medicine Supply Notification: Sulfasalazine 500mg tablets</w:t>
      </w:r>
    </w:p>
    <w:p w14:paraId="6B353A10" w14:textId="2DD35B09" w:rsidR="00D90E56" w:rsidRPr="0010004F" w:rsidRDefault="00D90E56" w:rsidP="0010004F">
      <w:pPr>
        <w:spacing w:line="240" w:lineRule="auto"/>
        <w:jc w:val="both"/>
        <w:rPr>
          <w:rFonts w:asciiTheme="minorHAnsi" w:hAnsiTheme="minorHAnsi" w:cstheme="minorHAnsi"/>
          <w:color w:val="444444"/>
        </w:rPr>
      </w:pPr>
      <w:r w:rsidRPr="0010004F">
        <w:rPr>
          <w:rFonts w:asciiTheme="minorHAnsi" w:hAnsiTheme="minorHAnsi" w:cstheme="minorHAnsi"/>
        </w:rPr>
        <w:t>DHSC has issued a Medicine Supply Notification for </w:t>
      </w:r>
      <w:r w:rsidRPr="0010004F">
        <w:rPr>
          <w:rStyle w:val="Strong"/>
          <w:rFonts w:asciiTheme="minorHAnsi" w:hAnsiTheme="minorHAnsi" w:cstheme="minorHAnsi"/>
          <w:b w:val="0"/>
          <w:bCs w:val="0"/>
        </w:rPr>
        <w:t>Sulfasalazine 500mg tablets</w:t>
      </w:r>
      <w:r w:rsidRPr="0010004F">
        <w:rPr>
          <w:rFonts w:asciiTheme="minorHAnsi" w:hAnsiTheme="minorHAnsi" w:cstheme="minorHAnsi"/>
        </w:rPr>
        <w:t xml:space="preserve">. Read more here: </w:t>
      </w:r>
      <w:hyperlink r:id="rId22" w:history="1">
        <w:r w:rsidRPr="0010004F">
          <w:rPr>
            <w:rStyle w:val="Hyperlink"/>
            <w:rFonts w:asciiTheme="minorHAnsi" w:hAnsiTheme="minorHAnsi" w:cstheme="minorHAnsi"/>
            <w:b/>
            <w:bCs/>
            <w:color w:val="4E3487"/>
          </w:rPr>
          <w:t>https://psnc.org.uk/our-news/medicine-supply-notification-sulfasalazine-salazopyrin-500mg-tablets/</w:t>
        </w:r>
      </w:hyperlink>
    </w:p>
    <w:p w14:paraId="750D3E4D" w14:textId="77777777" w:rsidR="00D90E56" w:rsidRPr="0010004F" w:rsidRDefault="00D90E56" w:rsidP="0010004F">
      <w:pPr>
        <w:spacing w:line="240" w:lineRule="auto"/>
        <w:jc w:val="both"/>
        <w:rPr>
          <w:rFonts w:asciiTheme="minorHAnsi" w:hAnsiTheme="minorHAnsi" w:cstheme="minorHAnsi"/>
          <w:color w:val="444444"/>
        </w:rPr>
      </w:pPr>
    </w:p>
    <w:p w14:paraId="0F05AFD6" w14:textId="7401685A" w:rsidR="00D90E56" w:rsidRPr="0010004F" w:rsidRDefault="00D90E56" w:rsidP="0010004F">
      <w:pPr>
        <w:spacing w:line="240" w:lineRule="auto"/>
        <w:jc w:val="both"/>
        <w:rPr>
          <w:rFonts w:asciiTheme="minorHAnsi" w:hAnsiTheme="minorHAnsi" w:cstheme="minorHAnsi"/>
        </w:rPr>
      </w:pPr>
      <w:r w:rsidRPr="0010004F">
        <w:rPr>
          <w:rFonts w:asciiTheme="minorHAnsi" w:hAnsiTheme="minorHAnsi" w:cstheme="minorHAnsi"/>
          <w:b/>
          <w:bCs/>
          <w:u w:val="single"/>
        </w:rPr>
        <w:t>Contractor vote set to be held in May 2022, RSG confirms</w:t>
      </w:r>
    </w:p>
    <w:p w14:paraId="544E7BC7" w14:textId="77777777" w:rsidR="00D90E56" w:rsidRPr="0010004F" w:rsidRDefault="00D90E56" w:rsidP="0010004F">
      <w:pPr>
        <w:spacing w:line="240" w:lineRule="auto"/>
        <w:jc w:val="both"/>
        <w:rPr>
          <w:rFonts w:asciiTheme="minorHAnsi" w:hAnsiTheme="minorHAnsi" w:cstheme="minorHAnsi"/>
          <w:color w:val="4E3487"/>
          <w:shd w:val="clear" w:color="auto" w:fill="FFFFFF"/>
        </w:rPr>
      </w:pPr>
      <w:r w:rsidRPr="0010004F">
        <w:rPr>
          <w:rFonts w:asciiTheme="minorHAnsi" w:hAnsiTheme="minorHAnsi" w:cstheme="minorHAnsi"/>
          <w:shd w:val="clear" w:color="auto" w:fill="FFFFFF"/>
        </w:rPr>
        <w:t>A timetable for the conclusion of the Review Steering Group’s (RSG) work to find ways to improve contractor representation and support has been announced.</w:t>
      </w:r>
      <w:r w:rsidRPr="0010004F">
        <w:rPr>
          <w:rFonts w:asciiTheme="minorHAnsi" w:hAnsiTheme="minorHAnsi" w:cstheme="minorHAnsi"/>
        </w:rPr>
        <w:t xml:space="preserve"> </w:t>
      </w:r>
      <w:r w:rsidRPr="0010004F">
        <w:rPr>
          <w:rFonts w:asciiTheme="minorHAnsi" w:hAnsiTheme="minorHAnsi" w:cstheme="minorHAnsi"/>
          <w:shd w:val="clear" w:color="auto" w:fill="FFFFFF"/>
        </w:rPr>
        <w:t xml:space="preserve">In an update to contractors, the RSG said it had reached consensus on a proposed way forward, and that it would publish proposals to the sector shortly after Easter, with a contractor vote expected to follow beginning late in May. PSNC Members are currently considering the RSG’s proposals as they are finalised. Read more here: </w:t>
      </w:r>
      <w:hyperlink r:id="rId23" w:history="1">
        <w:r w:rsidRPr="0010004F">
          <w:rPr>
            <w:rStyle w:val="Hyperlink"/>
            <w:rFonts w:asciiTheme="minorHAnsi" w:hAnsiTheme="minorHAnsi" w:cstheme="minorHAnsi"/>
            <w:b/>
            <w:bCs/>
            <w:color w:val="4E3487"/>
            <w:shd w:val="clear" w:color="auto" w:fill="FFFFFF"/>
          </w:rPr>
          <w:t>https://psnc.org.uk/our-news/contractor-vote-set-to-be-held-in-may-2022-rsg-confirms/</w:t>
        </w:r>
      </w:hyperlink>
    </w:p>
    <w:p w14:paraId="355466DD" w14:textId="77777777" w:rsidR="00D90E56" w:rsidRPr="0010004F" w:rsidRDefault="00D90E56" w:rsidP="0010004F">
      <w:pPr>
        <w:spacing w:line="240" w:lineRule="auto"/>
        <w:jc w:val="both"/>
        <w:rPr>
          <w:rFonts w:asciiTheme="minorHAnsi" w:hAnsiTheme="minorHAnsi" w:cstheme="minorHAnsi"/>
          <w:color w:val="303030"/>
          <w:shd w:val="clear" w:color="auto" w:fill="FFFFFF"/>
        </w:rPr>
      </w:pPr>
    </w:p>
    <w:p w14:paraId="0E2707BC" w14:textId="61EF531D" w:rsidR="00D90E56" w:rsidRPr="0010004F" w:rsidRDefault="00D90E56" w:rsidP="0010004F">
      <w:pPr>
        <w:spacing w:line="240" w:lineRule="auto"/>
        <w:jc w:val="both"/>
        <w:rPr>
          <w:rFonts w:asciiTheme="minorHAnsi" w:hAnsiTheme="minorHAnsi" w:cstheme="minorHAnsi"/>
          <w:shd w:val="clear" w:color="auto" w:fill="FFFFFF"/>
        </w:rPr>
      </w:pPr>
      <w:r w:rsidRPr="0010004F">
        <w:rPr>
          <w:rFonts w:asciiTheme="minorHAnsi" w:hAnsiTheme="minorHAnsi" w:cstheme="minorHAnsi"/>
          <w:b/>
          <w:bCs/>
          <w:u w:val="single"/>
        </w:rPr>
        <w:t>Class 4 Medicines Defect Information: Benzylpenicillin benzathine</w:t>
      </w:r>
    </w:p>
    <w:p w14:paraId="75F06991" w14:textId="2B60D9FD" w:rsidR="0010004F" w:rsidRPr="0010004F" w:rsidRDefault="00D90E56" w:rsidP="0010004F">
      <w:pPr>
        <w:spacing w:line="240" w:lineRule="auto"/>
        <w:jc w:val="both"/>
        <w:rPr>
          <w:rStyle w:val="Strong"/>
          <w:rFonts w:asciiTheme="minorHAnsi" w:hAnsiTheme="minorHAnsi" w:cstheme="minorHAnsi"/>
          <w:b w:val="0"/>
          <w:bCs w:val="0"/>
          <w:color w:val="4E3487"/>
          <w:u w:val="single"/>
        </w:rPr>
      </w:pPr>
      <w:r w:rsidRPr="0010004F">
        <w:rPr>
          <w:rFonts w:asciiTheme="minorHAnsi" w:hAnsiTheme="minorHAnsi" w:cstheme="minorHAnsi"/>
        </w:rPr>
        <w:t>The MHRA</w:t>
      </w:r>
      <w:r w:rsidRPr="0010004F">
        <w:rPr>
          <w:rFonts w:asciiTheme="minorHAnsi" w:hAnsiTheme="minorHAnsi" w:cstheme="minorHAnsi"/>
          <w:b/>
          <w:bCs/>
        </w:rPr>
        <w:t xml:space="preserve"> </w:t>
      </w:r>
      <w:r w:rsidRPr="0010004F">
        <w:rPr>
          <w:rStyle w:val="Strong"/>
          <w:rFonts w:asciiTheme="minorHAnsi" w:hAnsiTheme="minorHAnsi" w:cstheme="minorHAnsi"/>
          <w:b w:val="0"/>
          <w:bCs w:val="0"/>
        </w:rPr>
        <w:t xml:space="preserve">has issued a class 4 medicines defect information notice for: Benzylpenicillin benzathine 1.2 Million I.U. and 2.4 Million I.U. powder and solvent for suspension for injection. Read more here: </w:t>
      </w:r>
      <w:hyperlink r:id="rId24" w:history="1">
        <w:r w:rsidR="0010004F" w:rsidRPr="0010004F">
          <w:rPr>
            <w:rStyle w:val="Hyperlink"/>
            <w:rFonts w:asciiTheme="minorHAnsi" w:hAnsiTheme="minorHAnsi" w:cstheme="minorHAnsi"/>
            <w:b/>
            <w:bCs/>
            <w:color w:val="4E3487"/>
          </w:rPr>
          <w:t>https://psnc.org.uk/our-news/class-4-medicines-defect-information-benzylpenicillin-benzathine-1-2-million-i-u-and-2-4-million-i-u-powder-and-solvent-for-suspension-for-injection/</w:t>
        </w:r>
      </w:hyperlink>
    </w:p>
    <w:p w14:paraId="79A3E840" w14:textId="77777777" w:rsidR="0010004F" w:rsidRPr="0010004F" w:rsidRDefault="0010004F" w:rsidP="0010004F">
      <w:pPr>
        <w:spacing w:line="240" w:lineRule="auto"/>
        <w:jc w:val="both"/>
        <w:rPr>
          <w:rStyle w:val="Strong"/>
          <w:rFonts w:asciiTheme="minorHAnsi" w:hAnsiTheme="minorHAnsi" w:cstheme="minorHAnsi"/>
          <w:color w:val="444444"/>
          <w:u w:val="single"/>
        </w:rPr>
      </w:pPr>
    </w:p>
    <w:p w14:paraId="14E71A18" w14:textId="3EACBCD8" w:rsidR="0010004F" w:rsidRPr="0010004F" w:rsidRDefault="0010004F"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Update on pharmacy IT workstreams published</w:t>
      </w:r>
    </w:p>
    <w:p w14:paraId="68A8F132" w14:textId="77777777" w:rsidR="0010004F" w:rsidRPr="0010004F" w:rsidRDefault="0010004F" w:rsidP="0010004F">
      <w:pPr>
        <w:spacing w:line="240" w:lineRule="auto"/>
        <w:jc w:val="both"/>
        <w:rPr>
          <w:rFonts w:asciiTheme="minorHAnsi" w:hAnsiTheme="minorHAnsi" w:cstheme="minorHAnsi"/>
          <w:color w:val="303030"/>
          <w:shd w:val="clear" w:color="auto" w:fill="FFFFFF"/>
        </w:rPr>
      </w:pPr>
      <w:r w:rsidRPr="0010004F">
        <w:rPr>
          <w:rFonts w:asciiTheme="minorHAnsi" w:hAnsiTheme="minorHAnsi" w:cstheme="minorHAnsi"/>
          <w:shd w:val="clear" w:color="auto" w:fill="FFFFFF"/>
        </w:rPr>
        <w:t xml:space="preserve">The Community Pharmacy IT Group (CP ITG) has published its Pharmacy IT roundup for spring 2022 following the group's quarterly meeting earlier this month. The roundup includes updates on NHS Digital's Health Leadership Programme, NHS Profile Manager, Virtual Visits and more. Read more here: </w:t>
      </w:r>
      <w:hyperlink r:id="rId25" w:history="1">
        <w:r w:rsidRPr="0010004F">
          <w:rPr>
            <w:rStyle w:val="Hyperlink"/>
            <w:rFonts w:asciiTheme="minorHAnsi" w:hAnsiTheme="minorHAnsi" w:cstheme="minorHAnsi"/>
            <w:b/>
            <w:bCs/>
            <w:color w:val="4E3487"/>
            <w:shd w:val="clear" w:color="auto" w:fill="FFFFFF"/>
          </w:rPr>
          <w:t>https://psnc.org.uk/our-news/update-on-pharmacy-it-workstreams-published-5/</w:t>
        </w:r>
      </w:hyperlink>
    </w:p>
    <w:p w14:paraId="30127AFF" w14:textId="77777777" w:rsidR="0010004F" w:rsidRPr="0010004F" w:rsidRDefault="0010004F" w:rsidP="0010004F">
      <w:pPr>
        <w:spacing w:line="240" w:lineRule="auto"/>
        <w:jc w:val="both"/>
        <w:rPr>
          <w:rFonts w:asciiTheme="minorHAnsi" w:hAnsiTheme="minorHAnsi" w:cstheme="minorHAnsi"/>
          <w:color w:val="303030"/>
          <w:shd w:val="clear" w:color="auto" w:fill="FFFFFF"/>
        </w:rPr>
      </w:pPr>
    </w:p>
    <w:p w14:paraId="47745D85" w14:textId="500558BC" w:rsidR="0010004F" w:rsidRPr="0010004F" w:rsidRDefault="0010004F" w:rsidP="0010004F">
      <w:pPr>
        <w:spacing w:line="240" w:lineRule="auto"/>
        <w:jc w:val="both"/>
        <w:rPr>
          <w:rFonts w:asciiTheme="minorHAnsi" w:hAnsiTheme="minorHAnsi" w:cstheme="minorHAnsi"/>
          <w:b/>
          <w:bCs/>
          <w:u w:val="single"/>
        </w:rPr>
      </w:pPr>
      <w:r w:rsidRPr="0010004F">
        <w:rPr>
          <w:rFonts w:asciiTheme="minorHAnsi" w:hAnsiTheme="minorHAnsi" w:cstheme="minorHAnsi"/>
          <w:b/>
          <w:bCs/>
          <w:u w:val="single"/>
        </w:rPr>
        <w:t>Pharmacy Collect: End of service preparations</w:t>
      </w:r>
    </w:p>
    <w:p w14:paraId="0342F532" w14:textId="77777777" w:rsidR="0010004F" w:rsidRPr="0010004F" w:rsidRDefault="0010004F" w:rsidP="0010004F">
      <w:pPr>
        <w:spacing w:line="240" w:lineRule="auto"/>
        <w:jc w:val="both"/>
        <w:rPr>
          <w:rFonts w:asciiTheme="minorHAnsi" w:eastAsia="Times New Roman" w:hAnsiTheme="minorHAnsi" w:cstheme="minorHAnsi"/>
          <w:b/>
          <w:bCs/>
          <w:color w:val="4E3487"/>
          <w:u w:val="single"/>
          <w:lang w:val="en-US"/>
        </w:rPr>
      </w:pPr>
      <w:r w:rsidRPr="0010004F">
        <w:rPr>
          <w:rFonts w:asciiTheme="minorHAnsi" w:eastAsia="Times New Roman" w:hAnsiTheme="minorHAnsi" w:cstheme="minorHAnsi"/>
          <w:shd w:val="clear" w:color="auto" w:fill="FFFFFF"/>
          <w:lang w:val="en-US"/>
        </w:rPr>
        <w:t>The last day on which the Community Pharmacy Lateral Flow Device Distribution Service, known publicly as Pharmacy Collect, will operate will be </w:t>
      </w:r>
      <w:r w:rsidRPr="0010004F">
        <w:rPr>
          <w:rFonts w:asciiTheme="minorHAnsi" w:eastAsia="Times New Roman" w:hAnsiTheme="minorHAnsi" w:cstheme="minorHAnsi"/>
          <w:b/>
          <w:bCs/>
          <w:shd w:val="clear" w:color="auto" w:fill="FFFFFF"/>
          <w:lang w:val="en-US"/>
        </w:rPr>
        <w:t>31st March 2022</w:t>
      </w:r>
      <w:r w:rsidRPr="0010004F">
        <w:rPr>
          <w:rFonts w:asciiTheme="minorHAnsi" w:eastAsia="Times New Roman" w:hAnsiTheme="minorHAnsi" w:cstheme="minorHAnsi"/>
          <w:shd w:val="clear" w:color="auto" w:fill="FFFFFF"/>
          <w:lang w:val="en-US"/>
        </w:rPr>
        <w:t>. After this date, free COVID-19 mass testing will end meaning contractors will no longer be able to legally distribute free NHS test kits.</w:t>
      </w:r>
      <w:r w:rsidRPr="0010004F">
        <w:rPr>
          <w:rFonts w:asciiTheme="minorHAnsi" w:eastAsia="Times New Roman" w:hAnsiTheme="minorHAnsi" w:cstheme="minorHAnsi"/>
          <w:lang w:val="en-US"/>
        </w:rPr>
        <w:t xml:space="preserve"> PSNC, the UK Health Security Agency (UKHSA) and NHS England </w:t>
      </w:r>
      <w:r w:rsidRPr="0010004F">
        <w:rPr>
          <w:rFonts w:asciiTheme="minorHAnsi" w:eastAsia="Times New Roman" w:hAnsiTheme="minorHAnsi" w:cstheme="minorHAnsi"/>
          <w:lang w:val="en-US"/>
        </w:rPr>
        <w:lastRenderedPageBreak/>
        <w:t xml:space="preserve">and NHS Improvement (NHSE&amp;I) have been working together on the final plans for the end of the service and the UKHSA has now provided a checklist for contractors to use as a guide to support the closure of the service. Read more here: </w:t>
      </w:r>
      <w:hyperlink r:id="rId26" w:history="1">
        <w:r w:rsidRPr="0010004F">
          <w:rPr>
            <w:rStyle w:val="Hyperlink"/>
            <w:rFonts w:asciiTheme="minorHAnsi" w:eastAsia="Times New Roman" w:hAnsiTheme="minorHAnsi" w:cstheme="minorHAnsi"/>
            <w:b/>
            <w:bCs/>
            <w:color w:val="4E3487"/>
            <w:lang w:val="en-US"/>
          </w:rPr>
          <w:t>https://psnc.org.uk/our-news/pharmacy-collect-end-of-service-preparations/</w:t>
        </w:r>
      </w:hyperlink>
    </w:p>
    <w:p w14:paraId="39431A1E" w14:textId="77777777" w:rsidR="0010004F" w:rsidRPr="0010004F" w:rsidRDefault="0010004F" w:rsidP="0010004F">
      <w:pPr>
        <w:spacing w:line="240" w:lineRule="auto"/>
        <w:jc w:val="both"/>
        <w:rPr>
          <w:rFonts w:asciiTheme="minorHAnsi" w:eastAsia="Times New Roman" w:hAnsiTheme="minorHAnsi" w:cstheme="minorHAnsi"/>
          <w:color w:val="303030"/>
          <w:lang w:val="en-US"/>
        </w:rPr>
      </w:pPr>
    </w:p>
    <w:p w14:paraId="1D8F0301" w14:textId="476E062F" w:rsidR="0010004F" w:rsidRPr="0010004F" w:rsidRDefault="0010004F" w:rsidP="0010004F">
      <w:pPr>
        <w:spacing w:line="240" w:lineRule="auto"/>
        <w:jc w:val="both"/>
        <w:rPr>
          <w:rFonts w:asciiTheme="minorHAnsi" w:eastAsia="Times New Roman" w:hAnsiTheme="minorHAnsi" w:cstheme="minorHAnsi"/>
          <w:lang w:val="en-US"/>
        </w:rPr>
      </w:pPr>
      <w:r w:rsidRPr="0010004F">
        <w:rPr>
          <w:rFonts w:asciiTheme="minorHAnsi" w:hAnsiTheme="minorHAnsi" w:cstheme="minorHAnsi"/>
          <w:b/>
          <w:bCs/>
          <w:u w:val="single"/>
        </w:rPr>
        <w:t>Contractor Notice: Expiry of SSP016 for Lipitor 10mg chewable tablets</w:t>
      </w:r>
    </w:p>
    <w:p w14:paraId="5E637668" w14:textId="174B865B" w:rsidR="0010004F" w:rsidRPr="0010004F" w:rsidRDefault="0010004F" w:rsidP="0010004F">
      <w:pPr>
        <w:spacing w:line="240" w:lineRule="auto"/>
        <w:jc w:val="both"/>
        <w:rPr>
          <w:rFonts w:asciiTheme="minorHAnsi" w:eastAsia="Times New Roman" w:hAnsiTheme="minorHAnsi" w:cstheme="minorHAnsi"/>
          <w:lang w:val="en-US"/>
        </w:rPr>
      </w:pPr>
      <w:r w:rsidRPr="0010004F">
        <w:rPr>
          <w:rFonts w:asciiTheme="minorHAnsi" w:eastAsia="Times New Roman" w:hAnsiTheme="minorHAnsi" w:cstheme="minorHAnsi"/>
          <w:lang w:val="en-US"/>
        </w:rPr>
        <w:t xml:space="preserve">The </w:t>
      </w:r>
      <w:r w:rsidR="00EF2F53">
        <w:rPr>
          <w:rFonts w:asciiTheme="minorHAnsi" w:eastAsia="Times New Roman" w:hAnsiTheme="minorHAnsi" w:cstheme="minorHAnsi"/>
          <w:lang w:val="en-US"/>
        </w:rPr>
        <w:t>SSP</w:t>
      </w:r>
      <w:r w:rsidRPr="0010004F">
        <w:rPr>
          <w:rFonts w:asciiTheme="minorHAnsi" w:eastAsia="Times New Roman" w:hAnsiTheme="minorHAnsi" w:cstheme="minorHAnsi"/>
          <w:lang w:val="en-US"/>
        </w:rPr>
        <w:t xml:space="preserve"> for </w:t>
      </w:r>
      <w:r w:rsidRPr="0010004F">
        <w:rPr>
          <w:rFonts w:asciiTheme="minorHAnsi" w:hAnsiTheme="minorHAnsi" w:cstheme="minorHAnsi"/>
          <w:shd w:val="clear" w:color="auto" w:fill="FFFFFF"/>
        </w:rPr>
        <w:t xml:space="preserve">Lipitor 10mg chewable tablets, SSP016, has now expired. Read more here: </w:t>
      </w:r>
      <w:r w:rsidRPr="0010004F">
        <w:rPr>
          <w:rFonts w:asciiTheme="minorHAnsi" w:hAnsiTheme="minorHAnsi" w:cstheme="minorHAnsi"/>
          <w:b/>
          <w:bCs/>
          <w:color w:val="4E3487"/>
          <w:u w:val="single"/>
          <w:shd w:val="clear" w:color="auto" w:fill="FFFFFF"/>
        </w:rPr>
        <w:t>https://psnc.org.uk/our-news/contractor-notice-expiry-of-ssp016-for-lipitor-10mg-chewable-tablets/</w:t>
      </w:r>
    </w:p>
    <w:p w14:paraId="0453BEA8" w14:textId="77777777" w:rsidR="00FF4378" w:rsidRPr="00B90F36" w:rsidRDefault="00FF4378" w:rsidP="00B90F36">
      <w:pPr>
        <w:spacing w:line="240" w:lineRule="auto"/>
        <w:jc w:val="both"/>
        <w:rPr>
          <w:rFonts w:ascii="Calibri" w:eastAsia="Times New Roman" w:hAnsi="Calibri" w:cs="Calibri"/>
          <w:color w:val="444444"/>
          <w:lang w:eastAsia="en-GB"/>
        </w:rPr>
      </w:pPr>
    </w:p>
    <w:p w14:paraId="1F73AE64" w14:textId="22246036" w:rsidR="00C836DB" w:rsidRPr="000D37AE" w:rsidRDefault="00C836DB" w:rsidP="00B90F36">
      <w:pPr>
        <w:spacing w:line="240" w:lineRule="auto"/>
        <w:jc w:val="both"/>
        <w:rPr>
          <w:rFonts w:ascii="Calibri" w:hAnsi="Calibri" w:cs="Calibri"/>
          <w:color w:val="4E3487"/>
          <w:u w:val="single"/>
        </w:rPr>
      </w:pPr>
      <w:r w:rsidRPr="000D37AE">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7">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actions;</w:t>
      </w:r>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8">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pharmacy;</w:t>
      </w:r>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9">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30">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31">
        <w:r w:rsidRPr="00B90F36">
          <w:rPr>
            <w:rStyle w:val="Hyperlink"/>
            <w:rFonts w:ascii="Calibri" w:hAnsi="Calibri" w:cs="Calibri"/>
            <w:b/>
            <w:bCs/>
            <w:color w:val="auto"/>
          </w:rPr>
          <w:t xml:space="preserve">NHSE&amp;I </w:t>
        </w:r>
      </w:hyperlink>
      <w:hyperlink r:id="rId32">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33">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3570AB" w:rsidP="00B90F36">
      <w:pPr>
        <w:spacing w:line="240" w:lineRule="auto"/>
        <w:jc w:val="both"/>
        <w:rPr>
          <w:rFonts w:ascii="Calibri" w:hAnsi="Calibri" w:cs="Calibri"/>
        </w:rPr>
      </w:pPr>
      <w:hyperlink r:id="rId34">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5">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3570AB" w:rsidP="00B90F36">
      <w:pPr>
        <w:spacing w:line="240" w:lineRule="auto"/>
        <w:jc w:val="both"/>
        <w:rPr>
          <w:rFonts w:ascii="Calibri" w:hAnsi="Calibri" w:cs="Calibri"/>
        </w:rPr>
      </w:pPr>
      <w:hyperlink r:id="rId36">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7"/>
      <w:footerReference w:type="default" r:id="rId38"/>
      <w:headerReference w:type="first" r:id="rId39"/>
      <w:footerReference w:type="first" r:id="rId40"/>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570B" w14:textId="77777777" w:rsidR="003570AB" w:rsidRDefault="003570AB" w:rsidP="00E472BA">
      <w:pPr>
        <w:spacing w:line="240" w:lineRule="auto"/>
      </w:pPr>
      <w:r>
        <w:separator/>
      </w:r>
    </w:p>
  </w:endnote>
  <w:endnote w:type="continuationSeparator" w:id="0">
    <w:p w14:paraId="5FC4BB08" w14:textId="77777777" w:rsidR="003570AB" w:rsidRDefault="003570AB"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7608" w14:textId="77777777" w:rsidR="003570AB" w:rsidRDefault="003570AB" w:rsidP="00E472BA">
      <w:pPr>
        <w:spacing w:line="240" w:lineRule="auto"/>
      </w:pPr>
      <w:r>
        <w:separator/>
      </w:r>
    </w:p>
  </w:footnote>
  <w:footnote w:type="continuationSeparator" w:id="0">
    <w:p w14:paraId="54BB9321" w14:textId="77777777" w:rsidR="003570AB" w:rsidRDefault="003570AB"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4"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7"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0"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0"/>
  </w:num>
  <w:num w:numId="5">
    <w:abstractNumId w:val="5"/>
  </w:num>
  <w:num w:numId="6">
    <w:abstractNumId w:val="10"/>
  </w:num>
  <w:num w:numId="7">
    <w:abstractNumId w:val="8"/>
  </w:num>
  <w:num w:numId="8">
    <w:abstractNumId w:val="2"/>
  </w:num>
  <w:num w:numId="9">
    <w:abstractNumId w:val="4"/>
  </w:num>
  <w:num w:numId="10">
    <w:abstractNumId w:val="7"/>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4DFB"/>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35F15"/>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477F"/>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hra-class-4-medicines-defect-information-beclometasone-dipropionate-50-micrograms-dose-nasal-spray-various-liveries/" TargetMode="External"/><Relationship Id="rId18" Type="http://schemas.openxmlformats.org/officeDocument/2006/relationships/hyperlink" Target="https://psnc.org.uk/our-news/medicine-supply-notification-diamorphine-100mg-and-500mg-powder-for-solution-for-injection-ampoules/" TargetMode="External"/><Relationship Id="rId26" Type="http://schemas.openxmlformats.org/officeDocument/2006/relationships/hyperlink" Target="https://psnc.org.uk/our-news/pharmacy-collect-end-of-service-preparations/" TargetMode="External"/><Relationship Id="rId39" Type="http://schemas.openxmlformats.org/officeDocument/2006/relationships/header" Target="header2.xml"/><Relationship Id="rId21" Type="http://schemas.openxmlformats.org/officeDocument/2006/relationships/hyperlink" Target="https://psnc.org.uk/our-news/medicine-supply-notification/" TargetMode="External"/><Relationship Id="rId34" Type="http://schemas.openxmlformats.org/officeDocument/2006/relationships/hyperlink" Target="https://www.gov.uk/government/collections/wuhan-novel-coronaviru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snc.org.uk/our-news/new-ssp-issued-for-salazopyrin-500mg-tablets/" TargetMode="External"/><Relationship Id="rId20" Type="http://schemas.openxmlformats.org/officeDocument/2006/relationships/hyperlink" Target="https://psnc.org.uk/our-news/medicine-supply-notification-benperidol-anquil-250microgram-tablets/" TargetMode="External"/><Relationship Id="rId29" Type="http://schemas.openxmlformats.org/officeDocument/2006/relationships/hyperlink" Target="https://psnc.org.uk/contract-it/essential-service-clinical-governance/emergency-plan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lass-4-medicines-defect-information-latuda-film-coated-tablets-cnx-therapeutics-ltd/" TargetMode="External"/><Relationship Id="rId24" Type="http://schemas.openxmlformats.org/officeDocument/2006/relationships/hyperlink" Target="https://psnc.org.uk/our-news/class-4-medicines-defect-information-benzylpenicillin-benzathine-1-2-million-i-u-and-2-4-million-i-u-powder-and-solvent-for-suspension-for-injection/" TargetMode="External"/><Relationship Id="rId32" Type="http://schemas.openxmlformats.org/officeDocument/2006/relationships/hyperlink" Target="https://www.england.nhs.uk/coronavirus/primary-car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dhsc-consultation-on-hub-and-spoke-dispensing-published/" TargetMode="External"/><Relationship Id="rId23" Type="http://schemas.openxmlformats.org/officeDocument/2006/relationships/hyperlink" Target="https://psnc.org.uk/our-news/contractor-vote-set-to-be-held-in-may-2022-rsg-confirms/" TargetMode="External"/><Relationship Id="rId28" Type="http://schemas.openxmlformats.org/officeDocument/2006/relationships/hyperlink" Target="https://psnc.org.uk/the-healthcare-landscape/covid19/information-for-the-public/" TargetMode="External"/><Relationship Id="rId36"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our-news/medicine-supply-notification-timolol-tiopex-1mg-g-gel-eye-drops-0-4g-unit-dose-preservative-free/" TargetMode="External"/><Relationship Id="rId31"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reminder-requirement-to-update-nhs-website-and-dos-profile-by-end-of-march-2022/" TargetMode="External"/><Relationship Id="rId22" Type="http://schemas.openxmlformats.org/officeDocument/2006/relationships/hyperlink" Target="https://psnc.org.uk/our-news/medicine-supply-notification-sulfasalazine-salazopyrin-500mg-tablets/" TargetMode="External"/><Relationship Id="rId27" Type="http://schemas.openxmlformats.org/officeDocument/2006/relationships/hyperlink" Target="https://psnc.org.uk/the-healthcare-landscape/covid19/contractor-guidance-and-support/" TargetMode="External"/><Relationship Id="rId30" Type="http://schemas.openxmlformats.org/officeDocument/2006/relationships/hyperlink" Target="https://www.gov.uk/government/collections/wuhan-novel-coronavirus" TargetMode="External"/><Relationship Id="rId35" Type="http://schemas.openxmlformats.org/officeDocument/2006/relationships/hyperlink" Target="https://www.gov.uk/government/collections/wuhan-novel-coronavir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snc.org.uk/our-news/inclusive-pharmacy-practice-registration-open-for-population-health-management-webinar/" TargetMode="External"/><Relationship Id="rId17" Type="http://schemas.openxmlformats.org/officeDocument/2006/relationships/hyperlink" Target="https://psnc.org.uk/our-news/medicine-supply-notification-diltiazem-tildiem-retard-90mg-tablets/" TargetMode="External"/><Relationship Id="rId25" Type="http://schemas.openxmlformats.org/officeDocument/2006/relationships/hyperlink" Target="https://psnc.org.uk/our-news/update-on-pharmacy-it-workstreams-published-5/" TargetMode="External"/><Relationship Id="rId33" Type="http://schemas.openxmlformats.org/officeDocument/2006/relationships/hyperlink" Target="https://campaignresources.phe.gov.uk/resources/campaigns/101/resources/5016"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8</TotalTime>
  <Pages>3</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2022-03-21T11:01:00Z</dcterms:created>
  <dcterms:modified xsi:type="dcterms:W3CDTF">2022-03-21T11:05:00Z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