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0D37AE" w:rsidRDefault="122549B2" w:rsidP="713B5130">
      <w:pPr>
        <w:spacing w:line="240" w:lineRule="auto"/>
        <w:jc w:val="both"/>
        <w:rPr>
          <w:color w:val="5B518E"/>
        </w:rPr>
      </w:pPr>
      <w:r w:rsidRPr="000D37AE">
        <w:rPr>
          <w:rFonts w:ascii="Calibri" w:hAnsi="Calibri" w:cs="Calibri"/>
          <w:b/>
          <w:bCs/>
          <w:color w:val="5B518E"/>
          <w:sz w:val="36"/>
          <w:szCs w:val="36"/>
          <w:u w:val="single"/>
        </w:rPr>
        <w:t xml:space="preserve">Key News and </w:t>
      </w:r>
      <w:r w:rsidRPr="00DC1DE4">
        <w:rPr>
          <w:rFonts w:ascii="Calibri" w:hAnsi="Calibri" w:cs="Calibri"/>
          <w:b/>
          <w:bCs/>
          <w:color w:val="5B518E"/>
          <w:sz w:val="36"/>
          <w:szCs w:val="36"/>
          <w:u w:val="single"/>
        </w:rPr>
        <w:t>Guidance for LPCs</w:t>
      </w:r>
    </w:p>
    <w:p w14:paraId="28951205" w14:textId="082BA95A"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652DA2">
        <w:rPr>
          <w:rFonts w:ascii="Calibri" w:hAnsi="Calibri" w:cs="Calibri"/>
          <w:i/>
          <w:iCs/>
        </w:rPr>
        <w:t>1</w:t>
      </w:r>
      <w:r w:rsidR="00D430A8">
        <w:rPr>
          <w:rFonts w:ascii="Calibri" w:hAnsi="Calibri" w:cs="Calibri"/>
          <w:i/>
          <w:iCs/>
        </w:rPr>
        <w:t>7</w:t>
      </w:r>
      <w:r w:rsidR="00652DA2">
        <w:rPr>
          <w:rFonts w:ascii="Calibri" w:hAnsi="Calibri" w:cs="Calibri"/>
          <w:i/>
          <w:iCs/>
        </w:rPr>
        <w:t>th</w:t>
      </w:r>
      <w:r w:rsidR="00DA6B9C">
        <w:rPr>
          <w:rFonts w:ascii="Calibri" w:hAnsi="Calibri" w:cs="Calibri"/>
          <w:i/>
          <w:iCs/>
        </w:rPr>
        <w:t xml:space="preserve"> </w:t>
      </w:r>
      <w:r w:rsidR="00E96249">
        <w:rPr>
          <w:rFonts w:ascii="Calibri" w:hAnsi="Calibri" w:cs="Calibri"/>
          <w:i/>
          <w:iCs/>
        </w:rPr>
        <w:t>April</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D8844AB" w14:textId="77777777" w:rsidR="009E1212" w:rsidRPr="00DF41A1" w:rsidRDefault="0A6D93E2" w:rsidP="00DF41A1">
      <w:pPr>
        <w:spacing w:line="240" w:lineRule="auto"/>
        <w:jc w:val="both"/>
        <w:rPr>
          <w:rFonts w:asciiTheme="minorHAnsi" w:hAnsiTheme="minorHAnsi" w:cstheme="minorHAnsi"/>
          <w:b/>
          <w:bCs/>
          <w:u w:val="single"/>
        </w:rPr>
      </w:pPr>
      <w:r w:rsidRPr="00DF41A1">
        <w:rPr>
          <w:rFonts w:asciiTheme="minorHAnsi" w:hAnsiTheme="minorHAnsi" w:cstheme="minorHAnsi"/>
          <w:b/>
          <w:bCs/>
          <w:u w:val="single"/>
        </w:rPr>
        <w:t>Last week’s news stories:</w:t>
      </w:r>
    </w:p>
    <w:p w14:paraId="6427E9FA" w14:textId="5D51A115" w:rsidR="009E1212" w:rsidRPr="00DF41A1" w:rsidRDefault="009E1212" w:rsidP="00DF41A1">
      <w:pPr>
        <w:spacing w:line="240" w:lineRule="auto"/>
        <w:jc w:val="both"/>
        <w:rPr>
          <w:rFonts w:asciiTheme="minorHAnsi" w:hAnsiTheme="minorHAnsi" w:cstheme="minorHAnsi"/>
          <w:b/>
          <w:bCs/>
          <w:u w:val="single"/>
        </w:rPr>
      </w:pPr>
    </w:p>
    <w:p w14:paraId="1F9D8E01" w14:textId="2DA0C610" w:rsidR="00D430A8" w:rsidRPr="00DF41A1" w:rsidRDefault="00D430A8" w:rsidP="00DF41A1">
      <w:pPr>
        <w:spacing w:line="240" w:lineRule="auto"/>
        <w:jc w:val="both"/>
        <w:rPr>
          <w:rFonts w:asciiTheme="minorHAnsi" w:hAnsiTheme="minorHAnsi" w:cstheme="minorHAnsi"/>
          <w:b/>
          <w:bCs/>
          <w:u w:val="single"/>
        </w:rPr>
      </w:pPr>
      <w:r w:rsidRPr="00DF41A1">
        <w:rPr>
          <w:rFonts w:asciiTheme="minorHAnsi" w:hAnsiTheme="minorHAnsi" w:cstheme="minorHAnsi"/>
          <w:b/>
          <w:bCs/>
          <w:u w:val="single"/>
        </w:rPr>
        <w:t>Patient safety culture survey results published</w:t>
      </w:r>
    </w:p>
    <w:p w14:paraId="0BDB1035" w14:textId="05B53E1B" w:rsidR="00D430A8" w:rsidRPr="00DF41A1" w:rsidRDefault="00D430A8" w:rsidP="00DF41A1">
      <w:pPr>
        <w:spacing w:line="240" w:lineRule="auto"/>
        <w:jc w:val="both"/>
        <w:rPr>
          <w:rFonts w:asciiTheme="minorHAnsi" w:hAnsiTheme="minorHAnsi" w:cstheme="minorHAnsi"/>
          <w:b/>
          <w:bCs/>
          <w:color w:val="4E3487"/>
          <w:shd w:val="clear" w:color="auto" w:fill="FFFFFF"/>
        </w:rPr>
      </w:pPr>
      <w:r w:rsidRPr="00DF41A1">
        <w:rPr>
          <w:rFonts w:asciiTheme="minorHAnsi" w:hAnsiTheme="minorHAnsi" w:cstheme="minorHAnsi"/>
          <w:shd w:val="clear" w:color="auto" w:fill="FFFFFF"/>
        </w:rPr>
        <w:t xml:space="preserve">The Community Pharmacy Patient Safety Group has published the results of their safety culture survey undertaken in Autumn 2021. The survey was designed to gather information on the perspectives of frontline pharmacy teams about the culture around safety reporting, the </w:t>
      </w:r>
      <w:proofErr w:type="gramStart"/>
      <w:r w:rsidRPr="00DF41A1">
        <w:rPr>
          <w:rFonts w:asciiTheme="minorHAnsi" w:hAnsiTheme="minorHAnsi" w:cstheme="minorHAnsi"/>
          <w:shd w:val="clear" w:color="auto" w:fill="FFFFFF"/>
        </w:rPr>
        <w:t>enablers</w:t>
      </w:r>
      <w:proofErr w:type="gramEnd"/>
      <w:r w:rsidRPr="00DF41A1">
        <w:rPr>
          <w:rFonts w:asciiTheme="minorHAnsi" w:hAnsiTheme="minorHAnsi" w:cstheme="minorHAnsi"/>
          <w:shd w:val="clear" w:color="auto" w:fill="FFFFFF"/>
        </w:rPr>
        <w:t xml:space="preserve"> and barriers to reporting, the clarity of the reporting processes, and the confidence of those reporting.</w:t>
      </w:r>
      <w:r w:rsidRPr="00DF41A1">
        <w:rPr>
          <w:rFonts w:asciiTheme="minorHAnsi" w:hAnsiTheme="minorHAnsi" w:cstheme="minorHAnsi"/>
          <w:shd w:val="clear" w:color="auto" w:fill="FFFFFF"/>
        </w:rPr>
        <w:t xml:space="preserve"> Read more: </w:t>
      </w:r>
      <w:hyperlink r:id="rId11" w:history="1">
        <w:r w:rsidRPr="00DF41A1">
          <w:rPr>
            <w:rStyle w:val="Hyperlink"/>
            <w:rFonts w:asciiTheme="minorHAnsi" w:hAnsiTheme="minorHAnsi" w:cstheme="minorHAnsi"/>
            <w:b/>
            <w:bCs/>
            <w:color w:val="4E3487"/>
            <w:shd w:val="clear" w:color="auto" w:fill="FFFFFF"/>
          </w:rPr>
          <w:t>https://psnc.org.uk/our-news/patient-safety-culture-survey-results-published/</w:t>
        </w:r>
      </w:hyperlink>
    </w:p>
    <w:p w14:paraId="543108A4" w14:textId="151C3BFF" w:rsidR="00D430A8" w:rsidRPr="00DF41A1" w:rsidRDefault="00D430A8" w:rsidP="00DF41A1">
      <w:pPr>
        <w:spacing w:line="240" w:lineRule="auto"/>
        <w:jc w:val="both"/>
        <w:rPr>
          <w:rFonts w:asciiTheme="minorHAnsi" w:hAnsiTheme="minorHAnsi" w:cstheme="minorHAnsi"/>
          <w:shd w:val="clear" w:color="auto" w:fill="FFFFFF"/>
        </w:rPr>
      </w:pPr>
    </w:p>
    <w:p w14:paraId="5066A574" w14:textId="77777777" w:rsidR="00D430A8" w:rsidRPr="00DF41A1" w:rsidRDefault="00D430A8" w:rsidP="00DF41A1">
      <w:pPr>
        <w:spacing w:line="240" w:lineRule="auto"/>
        <w:jc w:val="both"/>
        <w:rPr>
          <w:rFonts w:asciiTheme="minorHAnsi" w:hAnsiTheme="minorHAnsi" w:cstheme="minorHAnsi"/>
          <w:b/>
          <w:bCs/>
          <w:u w:val="single"/>
        </w:rPr>
      </w:pPr>
      <w:r w:rsidRPr="00DF41A1">
        <w:rPr>
          <w:rFonts w:asciiTheme="minorHAnsi" w:hAnsiTheme="minorHAnsi" w:cstheme="minorHAnsi"/>
          <w:b/>
          <w:bCs/>
          <w:u w:val="single"/>
          <w:shd w:val="clear" w:color="auto" w:fill="FFFFFF"/>
        </w:rPr>
        <w:t xml:space="preserve">MHRA Class 2 Medicines Recall: </w:t>
      </w:r>
      <w:r w:rsidRPr="00DF41A1">
        <w:rPr>
          <w:rStyle w:val="Strong"/>
          <w:rFonts w:asciiTheme="minorHAnsi" w:hAnsiTheme="minorHAnsi" w:cstheme="minorHAnsi"/>
          <w:b w:val="0"/>
          <w:bCs w:val="0"/>
          <w:u w:val="single"/>
        </w:rPr>
        <w:t>Olopatadine USV 1mg/ml eye drops</w:t>
      </w:r>
    </w:p>
    <w:p w14:paraId="18CBCB7B" w14:textId="72D8E92C" w:rsidR="00D430A8" w:rsidRPr="00DF41A1" w:rsidRDefault="00D430A8" w:rsidP="00DF41A1">
      <w:pPr>
        <w:spacing w:line="240" w:lineRule="auto"/>
        <w:jc w:val="both"/>
        <w:rPr>
          <w:rFonts w:asciiTheme="minorHAnsi" w:eastAsia="Times New Roman" w:hAnsiTheme="minorHAnsi" w:cstheme="minorHAnsi"/>
          <w:lang w:val="en-US"/>
        </w:rPr>
      </w:pPr>
      <w:r w:rsidRPr="00DF41A1">
        <w:rPr>
          <w:rFonts w:asciiTheme="minorHAnsi" w:eastAsia="Times New Roman" w:hAnsiTheme="minorHAnsi" w:cstheme="minorHAnsi"/>
          <w:lang w:val="en-US"/>
        </w:rPr>
        <w:t>T</w:t>
      </w:r>
      <w:r w:rsidRPr="00D430A8">
        <w:rPr>
          <w:rFonts w:asciiTheme="minorHAnsi" w:eastAsia="Times New Roman" w:hAnsiTheme="minorHAnsi" w:cstheme="minorHAnsi"/>
          <w:lang w:val="en-US"/>
        </w:rPr>
        <w:t>he Medicines and Healthcare products Regulatory Agency (MHRA) has issued a class 2 medicines recall for:</w:t>
      </w:r>
      <w:r w:rsidRPr="00DF41A1">
        <w:rPr>
          <w:rFonts w:asciiTheme="minorHAnsi" w:hAnsiTheme="minorHAnsi" w:cstheme="minorHAnsi"/>
          <w:b/>
          <w:bCs/>
          <w:u w:val="single"/>
        </w:rPr>
        <w:t xml:space="preserve"> </w:t>
      </w:r>
      <w:r w:rsidRPr="00D430A8">
        <w:rPr>
          <w:rFonts w:asciiTheme="minorHAnsi" w:eastAsia="Times New Roman" w:hAnsiTheme="minorHAnsi" w:cstheme="minorHAnsi"/>
          <w:lang w:val="en-US"/>
        </w:rPr>
        <w:t>Olopatadine USV 1mg/ml eye drops (USV UK Limited) PL 32870/0055</w:t>
      </w:r>
      <w:r w:rsidRPr="00DF41A1">
        <w:rPr>
          <w:rFonts w:asciiTheme="minorHAnsi" w:eastAsia="Times New Roman" w:hAnsiTheme="minorHAnsi" w:cstheme="minorHAnsi"/>
          <w:lang w:val="en-US"/>
        </w:rPr>
        <w:t xml:space="preserve">. Read more here: </w:t>
      </w:r>
      <w:hyperlink r:id="rId12" w:history="1">
        <w:r w:rsidRPr="00DF41A1">
          <w:rPr>
            <w:rStyle w:val="Hyperlink"/>
            <w:rFonts w:asciiTheme="minorHAnsi" w:eastAsia="Times New Roman" w:hAnsiTheme="minorHAnsi" w:cstheme="minorHAnsi"/>
            <w:b/>
            <w:bCs/>
            <w:color w:val="4E3487"/>
            <w:lang w:val="en-US"/>
          </w:rPr>
          <w:t>https://psnc.org.uk/our-news/mhra-class-2-medicines-recall-olopatadine-usv-1mg-ml-eye-drops-usv-uk-limited/</w:t>
        </w:r>
      </w:hyperlink>
    </w:p>
    <w:p w14:paraId="0F6627B1" w14:textId="0676437C" w:rsidR="00D430A8" w:rsidRPr="00DF41A1" w:rsidRDefault="00D430A8" w:rsidP="00DF41A1">
      <w:pPr>
        <w:spacing w:line="240" w:lineRule="auto"/>
        <w:jc w:val="both"/>
        <w:rPr>
          <w:rFonts w:asciiTheme="minorHAnsi" w:eastAsia="Times New Roman" w:hAnsiTheme="minorHAnsi" w:cstheme="minorHAnsi"/>
          <w:lang w:val="en-US"/>
        </w:rPr>
      </w:pPr>
    </w:p>
    <w:p w14:paraId="22113EE3" w14:textId="77777777" w:rsidR="00D430A8" w:rsidRPr="00DF41A1" w:rsidRDefault="00D430A8" w:rsidP="00DF41A1">
      <w:pPr>
        <w:spacing w:line="240" w:lineRule="auto"/>
        <w:jc w:val="both"/>
        <w:rPr>
          <w:rStyle w:val="Strong"/>
          <w:rFonts w:asciiTheme="minorHAnsi" w:hAnsiTheme="minorHAnsi" w:cstheme="minorHAnsi"/>
          <w:b w:val="0"/>
          <w:bCs w:val="0"/>
          <w:u w:val="single"/>
        </w:rPr>
      </w:pPr>
      <w:r w:rsidRPr="00DF41A1">
        <w:rPr>
          <w:rFonts w:asciiTheme="minorHAnsi" w:eastAsia="Times New Roman" w:hAnsiTheme="minorHAnsi" w:cstheme="minorHAnsi"/>
          <w:b/>
          <w:bCs/>
          <w:u w:val="single"/>
          <w:lang w:val="en-US"/>
        </w:rPr>
        <w:t xml:space="preserve">Medicine Supply Notification: </w:t>
      </w:r>
      <w:proofErr w:type="spellStart"/>
      <w:r w:rsidRPr="00DF41A1">
        <w:rPr>
          <w:rStyle w:val="Strong"/>
          <w:rFonts w:asciiTheme="minorHAnsi" w:hAnsiTheme="minorHAnsi" w:cstheme="minorHAnsi"/>
          <w:b w:val="0"/>
          <w:bCs w:val="0"/>
          <w:u w:val="single"/>
        </w:rPr>
        <w:t>Clomifene</w:t>
      </w:r>
      <w:proofErr w:type="spellEnd"/>
      <w:r w:rsidRPr="00DF41A1">
        <w:rPr>
          <w:rStyle w:val="Strong"/>
          <w:rFonts w:asciiTheme="minorHAnsi" w:hAnsiTheme="minorHAnsi" w:cstheme="minorHAnsi"/>
          <w:b w:val="0"/>
          <w:bCs w:val="0"/>
          <w:u w:val="single"/>
        </w:rPr>
        <w:t xml:space="preserve"> 50mg tablets</w:t>
      </w:r>
    </w:p>
    <w:p w14:paraId="4FA43344" w14:textId="77777777" w:rsidR="00D430A8" w:rsidRPr="00DF41A1" w:rsidRDefault="00D430A8" w:rsidP="00DF41A1">
      <w:pPr>
        <w:spacing w:line="240" w:lineRule="auto"/>
        <w:jc w:val="both"/>
        <w:rPr>
          <w:rFonts w:asciiTheme="minorHAnsi" w:hAnsiTheme="minorHAnsi" w:cstheme="minorHAnsi"/>
          <w:lang w:val="en-US"/>
        </w:rPr>
      </w:pPr>
      <w:r w:rsidRPr="00DF41A1">
        <w:rPr>
          <w:rFonts w:asciiTheme="minorHAnsi" w:hAnsiTheme="minorHAnsi" w:cstheme="minorHAnsi"/>
        </w:rPr>
        <w:t xml:space="preserve">The </w:t>
      </w:r>
      <w:r w:rsidRPr="00DF41A1">
        <w:rPr>
          <w:rFonts w:asciiTheme="minorHAnsi" w:hAnsiTheme="minorHAnsi" w:cstheme="minorHAnsi"/>
          <w:lang w:val="en-US"/>
        </w:rPr>
        <w:t>Department of Health and Social Care (DHSC) has issued a medicine supply notification for </w:t>
      </w:r>
      <w:proofErr w:type="spellStart"/>
      <w:r w:rsidRPr="00DF41A1">
        <w:rPr>
          <w:rFonts w:asciiTheme="minorHAnsi" w:hAnsiTheme="minorHAnsi" w:cstheme="minorHAnsi"/>
          <w:lang w:val="en-US"/>
        </w:rPr>
        <w:t>Clomifene</w:t>
      </w:r>
      <w:proofErr w:type="spellEnd"/>
      <w:r w:rsidRPr="00DF41A1">
        <w:rPr>
          <w:rFonts w:asciiTheme="minorHAnsi" w:hAnsiTheme="minorHAnsi" w:cstheme="minorHAnsi"/>
          <w:lang w:val="en-US"/>
        </w:rPr>
        <w:t xml:space="preserve"> 50mg tablets.</w:t>
      </w:r>
      <w:r w:rsidRPr="00DF41A1">
        <w:rPr>
          <w:rFonts w:asciiTheme="minorHAnsi" w:hAnsiTheme="minorHAnsi" w:cstheme="minorHAnsi"/>
          <w:lang w:val="en-US"/>
        </w:rPr>
        <w:t xml:space="preserve"> Read more: </w:t>
      </w:r>
      <w:hyperlink r:id="rId13" w:history="1">
        <w:r w:rsidRPr="00DF41A1">
          <w:rPr>
            <w:rStyle w:val="Hyperlink"/>
            <w:rFonts w:asciiTheme="minorHAnsi" w:hAnsiTheme="minorHAnsi" w:cstheme="minorHAnsi"/>
            <w:b/>
            <w:bCs/>
            <w:color w:val="4E3487"/>
            <w:lang w:val="en-US"/>
          </w:rPr>
          <w:t>https://psnc.org.uk/our-news/medicine-supply-notification-clomifene-50mg-tablets/</w:t>
        </w:r>
      </w:hyperlink>
    </w:p>
    <w:p w14:paraId="2F35B4A6" w14:textId="77777777" w:rsidR="00D430A8" w:rsidRPr="00DF41A1" w:rsidRDefault="00D430A8" w:rsidP="00DF41A1">
      <w:pPr>
        <w:spacing w:line="240" w:lineRule="auto"/>
        <w:jc w:val="both"/>
        <w:rPr>
          <w:rFonts w:asciiTheme="minorHAnsi" w:hAnsiTheme="minorHAnsi" w:cstheme="minorHAnsi"/>
          <w:lang w:val="en-US"/>
        </w:rPr>
      </w:pPr>
    </w:p>
    <w:p w14:paraId="4D6A6C5D" w14:textId="3A601035" w:rsidR="00D430A8" w:rsidRPr="00DF41A1" w:rsidRDefault="00D430A8" w:rsidP="00DF41A1">
      <w:pPr>
        <w:spacing w:line="240" w:lineRule="auto"/>
        <w:jc w:val="both"/>
        <w:rPr>
          <w:rFonts w:asciiTheme="minorHAnsi" w:hAnsiTheme="minorHAnsi" w:cstheme="minorHAnsi"/>
          <w:b/>
          <w:bCs/>
          <w:u w:val="single"/>
          <w:lang w:val="en-US"/>
        </w:rPr>
      </w:pPr>
      <w:r w:rsidRPr="00DF41A1">
        <w:rPr>
          <w:rFonts w:asciiTheme="minorHAnsi" w:hAnsiTheme="minorHAnsi" w:cstheme="minorHAnsi"/>
          <w:b/>
          <w:bCs/>
          <w:u w:val="single"/>
        </w:rPr>
        <w:t xml:space="preserve">Medicine Supply Notification: </w:t>
      </w:r>
      <w:proofErr w:type="spellStart"/>
      <w:r w:rsidRPr="00DF41A1">
        <w:rPr>
          <w:rFonts w:asciiTheme="minorHAnsi" w:hAnsiTheme="minorHAnsi" w:cstheme="minorHAnsi"/>
          <w:b/>
          <w:bCs/>
          <w:u w:val="single"/>
        </w:rPr>
        <w:t>Fesoterodine</w:t>
      </w:r>
      <w:proofErr w:type="spellEnd"/>
      <w:r w:rsidRPr="00DF41A1">
        <w:rPr>
          <w:rFonts w:asciiTheme="minorHAnsi" w:hAnsiTheme="minorHAnsi" w:cstheme="minorHAnsi"/>
          <w:b/>
          <w:bCs/>
          <w:u w:val="single"/>
        </w:rPr>
        <w:t xml:space="preserve"> 4mg and 8 mg modified release tablets</w:t>
      </w:r>
    </w:p>
    <w:p w14:paraId="5E103BD7" w14:textId="304A54DB" w:rsidR="00D430A8" w:rsidRPr="00DF41A1" w:rsidRDefault="00D430A8" w:rsidP="00DF41A1">
      <w:pPr>
        <w:spacing w:line="240" w:lineRule="auto"/>
        <w:jc w:val="both"/>
        <w:rPr>
          <w:rStyle w:val="Strong"/>
          <w:rFonts w:asciiTheme="minorHAnsi" w:hAnsiTheme="minorHAnsi" w:cstheme="minorHAnsi"/>
          <w:b w:val="0"/>
          <w:bCs w:val="0"/>
          <w:color w:val="4E3487"/>
        </w:rPr>
      </w:pPr>
      <w:r w:rsidRPr="00DF41A1">
        <w:rPr>
          <w:rFonts w:asciiTheme="minorHAnsi" w:hAnsiTheme="minorHAnsi" w:cstheme="minorHAnsi"/>
        </w:rPr>
        <w:t>The</w:t>
      </w:r>
      <w:r w:rsidR="00BC393C" w:rsidRPr="00DF41A1">
        <w:rPr>
          <w:rFonts w:asciiTheme="minorHAnsi" w:hAnsiTheme="minorHAnsi" w:cstheme="minorHAnsi"/>
        </w:rPr>
        <w:t xml:space="preserve"> DHSC </w:t>
      </w:r>
      <w:r w:rsidR="00BC393C" w:rsidRPr="00DF41A1">
        <w:rPr>
          <w:rFonts w:asciiTheme="minorHAnsi" w:hAnsiTheme="minorHAnsi" w:cstheme="minorHAnsi"/>
        </w:rPr>
        <w:t>has issued a medicine supply notification for </w:t>
      </w:r>
      <w:proofErr w:type="spellStart"/>
      <w:r w:rsidR="00BC393C" w:rsidRPr="00DF41A1">
        <w:rPr>
          <w:rStyle w:val="Strong"/>
          <w:rFonts w:asciiTheme="minorHAnsi" w:hAnsiTheme="minorHAnsi" w:cstheme="minorHAnsi"/>
          <w:b w:val="0"/>
          <w:bCs w:val="0"/>
        </w:rPr>
        <w:t>Fesoterodine</w:t>
      </w:r>
      <w:proofErr w:type="spellEnd"/>
      <w:r w:rsidR="00BC393C" w:rsidRPr="00DF41A1">
        <w:rPr>
          <w:rStyle w:val="Strong"/>
          <w:rFonts w:asciiTheme="minorHAnsi" w:hAnsiTheme="minorHAnsi" w:cstheme="minorHAnsi"/>
          <w:b w:val="0"/>
          <w:bCs w:val="0"/>
        </w:rPr>
        <w:t xml:space="preserve"> (</w:t>
      </w:r>
      <w:proofErr w:type="spellStart"/>
      <w:r w:rsidR="00BC393C" w:rsidRPr="00DF41A1">
        <w:rPr>
          <w:rStyle w:val="Strong"/>
          <w:rFonts w:asciiTheme="minorHAnsi" w:hAnsiTheme="minorHAnsi" w:cstheme="minorHAnsi"/>
          <w:b w:val="0"/>
          <w:bCs w:val="0"/>
        </w:rPr>
        <w:t>Toviaz</w:t>
      </w:r>
      <w:proofErr w:type="spellEnd"/>
      <w:r w:rsidR="00BC393C" w:rsidRPr="00DF41A1">
        <w:rPr>
          <w:rStyle w:val="Strong"/>
          <w:rFonts w:asciiTheme="minorHAnsi" w:hAnsiTheme="minorHAnsi" w:cstheme="minorHAnsi"/>
          <w:b w:val="0"/>
          <w:bCs w:val="0"/>
        </w:rPr>
        <w:t>®) 4mg and 8 mg modified release tablets.</w:t>
      </w:r>
      <w:r w:rsidR="00BC393C" w:rsidRPr="00DF41A1">
        <w:rPr>
          <w:rStyle w:val="Strong"/>
          <w:rFonts w:asciiTheme="minorHAnsi" w:hAnsiTheme="minorHAnsi" w:cstheme="minorHAnsi"/>
          <w:b w:val="0"/>
          <w:bCs w:val="0"/>
        </w:rPr>
        <w:t xml:space="preserve"> Read more: </w:t>
      </w:r>
      <w:hyperlink r:id="rId14" w:history="1">
        <w:r w:rsidR="00BC393C" w:rsidRPr="00DF41A1">
          <w:rPr>
            <w:rStyle w:val="Hyperlink"/>
            <w:rFonts w:asciiTheme="minorHAnsi" w:hAnsiTheme="minorHAnsi" w:cstheme="minorHAnsi"/>
            <w:b/>
            <w:bCs/>
            <w:color w:val="4E3487"/>
          </w:rPr>
          <w:t>https://psnc.org.uk/our-news/medicine-supply-notification-fesoterodine-toviaz-4mg-and-8-mg-modified-release-tablets/</w:t>
        </w:r>
      </w:hyperlink>
    </w:p>
    <w:p w14:paraId="640DA39C" w14:textId="2EA62116" w:rsidR="00BC393C" w:rsidRPr="00DF41A1" w:rsidRDefault="00BC393C" w:rsidP="00DF41A1">
      <w:pPr>
        <w:spacing w:line="240" w:lineRule="auto"/>
        <w:jc w:val="both"/>
        <w:rPr>
          <w:rStyle w:val="Strong"/>
          <w:rFonts w:asciiTheme="minorHAnsi" w:hAnsiTheme="minorHAnsi" w:cstheme="minorHAnsi"/>
          <w:b w:val="0"/>
          <w:bCs w:val="0"/>
        </w:rPr>
      </w:pPr>
    </w:p>
    <w:p w14:paraId="3650266E" w14:textId="29C0B5E9" w:rsidR="00BC393C" w:rsidRPr="00DF41A1" w:rsidRDefault="00BC393C" w:rsidP="00DF41A1">
      <w:pPr>
        <w:spacing w:line="240" w:lineRule="auto"/>
        <w:jc w:val="both"/>
        <w:rPr>
          <w:rStyle w:val="Strong"/>
          <w:rFonts w:asciiTheme="minorHAnsi" w:hAnsiTheme="minorHAnsi" w:cstheme="minorHAnsi"/>
          <w:u w:val="single"/>
        </w:rPr>
      </w:pPr>
      <w:r w:rsidRPr="00DF41A1">
        <w:rPr>
          <w:rStyle w:val="Strong"/>
          <w:rFonts w:asciiTheme="minorHAnsi" w:hAnsiTheme="minorHAnsi" w:cstheme="minorHAnsi"/>
          <w:u w:val="single"/>
        </w:rPr>
        <w:t>Closing of the old PPE ordering portal</w:t>
      </w:r>
    </w:p>
    <w:p w14:paraId="610F62DD" w14:textId="38C07308" w:rsidR="00BC393C" w:rsidRPr="00DF41A1" w:rsidRDefault="00BC393C" w:rsidP="00DF41A1">
      <w:pPr>
        <w:spacing w:line="240" w:lineRule="auto"/>
        <w:jc w:val="both"/>
        <w:rPr>
          <w:rFonts w:asciiTheme="minorHAnsi" w:hAnsiTheme="minorHAnsi" w:cstheme="minorHAnsi"/>
          <w:b/>
          <w:bCs/>
          <w:color w:val="4E3487"/>
          <w:shd w:val="clear" w:color="auto" w:fill="FFFFFF"/>
        </w:rPr>
      </w:pPr>
      <w:r w:rsidRPr="00DF41A1">
        <w:rPr>
          <w:rFonts w:asciiTheme="minorHAnsi" w:hAnsiTheme="minorHAnsi" w:cstheme="minorHAnsi"/>
          <w:shd w:val="clear" w:color="auto" w:fill="FFFFFF"/>
        </w:rPr>
        <w:t>Following the launch of the new personal protective equipment (PPE) ordering portal, DHSC has advised that the old PPE portal platform will clos</w:t>
      </w:r>
      <w:r w:rsidRPr="00DF41A1">
        <w:rPr>
          <w:rFonts w:asciiTheme="minorHAnsi" w:hAnsiTheme="minorHAnsi" w:cstheme="minorHAnsi"/>
          <w:shd w:val="clear" w:color="auto" w:fill="FFFFFF"/>
        </w:rPr>
        <w:t>e</w:t>
      </w:r>
      <w:r w:rsidRPr="00DF41A1">
        <w:rPr>
          <w:rFonts w:asciiTheme="minorHAnsi" w:hAnsiTheme="minorHAnsi" w:cstheme="minorHAnsi"/>
          <w:shd w:val="clear" w:color="auto" w:fill="FFFFFF"/>
        </w:rPr>
        <w:t xml:space="preserve"> on </w:t>
      </w:r>
      <w:r w:rsidRPr="00DF41A1">
        <w:rPr>
          <w:rStyle w:val="Strong"/>
          <w:rFonts w:asciiTheme="minorHAnsi" w:hAnsiTheme="minorHAnsi" w:cstheme="minorHAnsi"/>
          <w:shd w:val="clear" w:color="auto" w:fill="FFFFFF"/>
        </w:rPr>
        <w:t>26th April 2022</w:t>
      </w:r>
      <w:r w:rsidRPr="00DF41A1">
        <w:rPr>
          <w:rFonts w:asciiTheme="minorHAnsi" w:hAnsiTheme="minorHAnsi" w:cstheme="minorHAnsi"/>
          <w:shd w:val="clear" w:color="auto" w:fill="FFFFFF"/>
        </w:rPr>
        <w:t>.</w:t>
      </w:r>
      <w:r w:rsidRPr="00DF41A1">
        <w:rPr>
          <w:rFonts w:asciiTheme="minorHAnsi" w:hAnsiTheme="minorHAnsi" w:cstheme="minorHAnsi"/>
          <w:shd w:val="clear" w:color="auto" w:fill="FFFFFF"/>
        </w:rPr>
        <w:t xml:space="preserve"> Read more: </w:t>
      </w:r>
      <w:hyperlink r:id="rId15" w:history="1">
        <w:r w:rsidRPr="00DF41A1">
          <w:rPr>
            <w:rStyle w:val="Hyperlink"/>
            <w:rFonts w:asciiTheme="minorHAnsi" w:hAnsiTheme="minorHAnsi" w:cstheme="minorHAnsi"/>
            <w:b/>
            <w:bCs/>
            <w:color w:val="4E3487"/>
            <w:shd w:val="clear" w:color="auto" w:fill="FFFFFF"/>
          </w:rPr>
          <w:t>https://psnc.org.uk/our-news/closing-of-the-old-ppe-ordering-portal/</w:t>
        </w:r>
      </w:hyperlink>
    </w:p>
    <w:p w14:paraId="4F2201D9" w14:textId="384BA448" w:rsidR="00BC393C" w:rsidRPr="00DF41A1" w:rsidRDefault="00BC393C" w:rsidP="00DF41A1">
      <w:pPr>
        <w:spacing w:line="240" w:lineRule="auto"/>
        <w:jc w:val="both"/>
        <w:rPr>
          <w:rFonts w:asciiTheme="minorHAnsi" w:hAnsiTheme="minorHAnsi" w:cstheme="minorHAnsi"/>
          <w:shd w:val="clear" w:color="auto" w:fill="FFFFFF"/>
        </w:rPr>
      </w:pPr>
    </w:p>
    <w:p w14:paraId="48EA2902" w14:textId="55497C0C" w:rsidR="00BC393C" w:rsidRPr="00DF41A1" w:rsidRDefault="00BC393C" w:rsidP="00DF41A1">
      <w:pPr>
        <w:spacing w:line="240" w:lineRule="auto"/>
        <w:jc w:val="both"/>
        <w:rPr>
          <w:rFonts w:asciiTheme="minorHAnsi" w:hAnsiTheme="minorHAnsi" w:cstheme="minorHAnsi"/>
          <w:b/>
          <w:bCs/>
          <w:u w:val="single"/>
          <w:shd w:val="clear" w:color="auto" w:fill="FFFFFF"/>
        </w:rPr>
      </w:pPr>
      <w:r w:rsidRPr="00DF41A1">
        <w:rPr>
          <w:rFonts w:asciiTheme="minorHAnsi" w:hAnsiTheme="minorHAnsi" w:cstheme="minorHAnsi"/>
          <w:b/>
          <w:bCs/>
          <w:u w:val="single"/>
          <w:shd w:val="clear" w:color="auto" w:fill="FFFFFF"/>
        </w:rPr>
        <w:t>Requirement to submit NMS quarterly information returns</w:t>
      </w:r>
    </w:p>
    <w:p w14:paraId="1CFA7999" w14:textId="77777777" w:rsidR="00BC393C" w:rsidRPr="00DF41A1" w:rsidRDefault="00BC393C" w:rsidP="00DF41A1">
      <w:pPr>
        <w:spacing w:line="240" w:lineRule="auto"/>
        <w:jc w:val="both"/>
        <w:rPr>
          <w:rFonts w:asciiTheme="minorHAnsi" w:hAnsiTheme="minorHAnsi" w:cstheme="minorHAnsi"/>
          <w:b/>
          <w:bCs/>
          <w:color w:val="4E3487"/>
          <w:shd w:val="clear" w:color="auto" w:fill="FFFFFF"/>
        </w:rPr>
      </w:pPr>
      <w:r w:rsidRPr="00DF41A1">
        <w:rPr>
          <w:rFonts w:asciiTheme="minorHAnsi" w:hAnsiTheme="minorHAnsi" w:cstheme="minorHAnsi"/>
          <w:shd w:val="clear" w:color="auto" w:fill="FFFFFF"/>
        </w:rPr>
        <w:t xml:space="preserve">Community pharmacy contractors are now required to start submitting their completed New Medicine Service (NMS) summary data to the NHS Business Services Authority each quarter. This requirement was suspended due to the </w:t>
      </w:r>
      <w:proofErr w:type="gramStart"/>
      <w:r w:rsidRPr="00DF41A1">
        <w:rPr>
          <w:rFonts w:asciiTheme="minorHAnsi" w:hAnsiTheme="minorHAnsi" w:cstheme="minorHAnsi"/>
          <w:shd w:val="clear" w:color="auto" w:fill="FFFFFF"/>
        </w:rPr>
        <w:t>pandemic, but</w:t>
      </w:r>
      <w:proofErr w:type="gramEnd"/>
      <w:r w:rsidRPr="00DF41A1">
        <w:rPr>
          <w:rFonts w:asciiTheme="minorHAnsi" w:hAnsiTheme="minorHAnsi" w:cstheme="minorHAnsi"/>
          <w:shd w:val="clear" w:color="auto" w:fill="FFFFFF"/>
        </w:rPr>
        <w:t> has now been re-instated.</w:t>
      </w:r>
      <w:r w:rsidRPr="00DF41A1">
        <w:rPr>
          <w:rFonts w:asciiTheme="minorHAnsi" w:hAnsiTheme="minorHAnsi" w:cstheme="minorHAnsi"/>
          <w:shd w:val="clear" w:color="auto" w:fill="FFFFFF"/>
        </w:rPr>
        <w:t xml:space="preserve"> Read more: </w:t>
      </w:r>
      <w:hyperlink r:id="rId16" w:history="1">
        <w:r w:rsidRPr="00DF41A1">
          <w:rPr>
            <w:rStyle w:val="Hyperlink"/>
            <w:rFonts w:asciiTheme="minorHAnsi" w:hAnsiTheme="minorHAnsi" w:cstheme="minorHAnsi"/>
            <w:b/>
            <w:bCs/>
            <w:color w:val="4E3487"/>
            <w:shd w:val="clear" w:color="auto" w:fill="FFFFFF"/>
          </w:rPr>
          <w:t>https://psnc.org.uk/our-news/requirement-to-submit-nms-quarterly-information-returns/</w:t>
        </w:r>
      </w:hyperlink>
    </w:p>
    <w:p w14:paraId="38A4786B" w14:textId="77777777" w:rsidR="00BC393C" w:rsidRPr="00DF41A1" w:rsidRDefault="00BC393C" w:rsidP="00DF41A1">
      <w:pPr>
        <w:spacing w:line="240" w:lineRule="auto"/>
        <w:jc w:val="both"/>
        <w:rPr>
          <w:rFonts w:asciiTheme="minorHAnsi" w:hAnsiTheme="minorHAnsi" w:cstheme="minorHAnsi"/>
          <w:shd w:val="clear" w:color="auto" w:fill="FFFFFF"/>
        </w:rPr>
      </w:pPr>
    </w:p>
    <w:p w14:paraId="60C008E3" w14:textId="5017B5C0" w:rsidR="00BC393C" w:rsidRPr="00DF41A1" w:rsidRDefault="00BC393C" w:rsidP="00DF41A1">
      <w:pPr>
        <w:spacing w:line="240" w:lineRule="auto"/>
        <w:jc w:val="both"/>
        <w:rPr>
          <w:rFonts w:asciiTheme="minorHAnsi" w:hAnsiTheme="minorHAnsi" w:cstheme="minorHAnsi"/>
          <w:shd w:val="clear" w:color="auto" w:fill="FFFFFF"/>
        </w:rPr>
      </w:pPr>
      <w:r w:rsidRPr="00DF41A1">
        <w:rPr>
          <w:rFonts w:asciiTheme="minorHAnsi" w:hAnsiTheme="minorHAnsi" w:cstheme="minorHAnsi"/>
          <w:b/>
          <w:bCs/>
          <w:u w:val="single"/>
        </w:rPr>
        <w:t>PSNC North-East and Cumbria Regional Representative Election</w:t>
      </w:r>
    </w:p>
    <w:p w14:paraId="1B0BF8F8" w14:textId="77777777" w:rsidR="00BC393C" w:rsidRPr="00DF41A1" w:rsidRDefault="00BC393C" w:rsidP="00DF41A1">
      <w:pPr>
        <w:spacing w:line="240" w:lineRule="auto"/>
        <w:jc w:val="both"/>
        <w:rPr>
          <w:rFonts w:asciiTheme="minorHAnsi" w:hAnsiTheme="minorHAnsi" w:cstheme="minorHAnsi"/>
          <w:shd w:val="clear" w:color="auto" w:fill="FFFFFF"/>
        </w:rPr>
      </w:pPr>
      <w:r w:rsidRPr="00DF41A1">
        <w:rPr>
          <w:rFonts w:asciiTheme="minorHAnsi" w:hAnsiTheme="minorHAnsi" w:cstheme="minorHAnsi"/>
          <w:shd w:val="clear" w:color="auto" w:fill="FFFFFF"/>
        </w:rPr>
        <w:lastRenderedPageBreak/>
        <w:t>PSNC will shortly begin formal processes to seek a new North-East and Cumbria Regional Representative following the resignation of Mark Burdon from the Committee.</w:t>
      </w:r>
      <w:r w:rsidRPr="00DF41A1">
        <w:rPr>
          <w:rFonts w:asciiTheme="minorHAnsi" w:hAnsiTheme="minorHAnsi" w:cstheme="minorHAnsi"/>
          <w:shd w:val="clear" w:color="auto" w:fill="FFFFFF"/>
        </w:rPr>
        <w:t xml:space="preserve"> Read more: </w:t>
      </w:r>
      <w:hyperlink r:id="rId17" w:history="1">
        <w:r w:rsidRPr="00DF41A1">
          <w:rPr>
            <w:rStyle w:val="Hyperlink"/>
            <w:rFonts w:asciiTheme="minorHAnsi" w:hAnsiTheme="minorHAnsi" w:cstheme="minorHAnsi"/>
            <w:b/>
            <w:bCs/>
            <w:color w:val="4E3487"/>
            <w:shd w:val="clear" w:color="auto" w:fill="FFFFFF"/>
          </w:rPr>
          <w:t>https://psnc.org.uk/our-news/psnc-north-east-and-cumbria-regional-representative-election/</w:t>
        </w:r>
      </w:hyperlink>
    </w:p>
    <w:p w14:paraId="7DC4611F" w14:textId="77777777" w:rsidR="00DF41A1" w:rsidRDefault="00DF41A1" w:rsidP="00DF41A1">
      <w:pPr>
        <w:spacing w:line="240" w:lineRule="auto"/>
        <w:jc w:val="both"/>
        <w:rPr>
          <w:rFonts w:asciiTheme="minorHAnsi" w:hAnsiTheme="minorHAnsi" w:cstheme="minorHAnsi"/>
          <w:b/>
          <w:bCs/>
          <w:u w:val="single"/>
        </w:rPr>
      </w:pPr>
    </w:p>
    <w:p w14:paraId="3C3CAB1C" w14:textId="0AF540D2" w:rsidR="00BC393C" w:rsidRPr="00DF41A1" w:rsidRDefault="00BC393C" w:rsidP="00DF41A1">
      <w:pPr>
        <w:spacing w:line="240" w:lineRule="auto"/>
        <w:jc w:val="both"/>
        <w:rPr>
          <w:rFonts w:asciiTheme="minorHAnsi" w:hAnsiTheme="minorHAnsi" w:cstheme="minorHAnsi"/>
          <w:b/>
          <w:bCs/>
          <w:u w:val="single"/>
        </w:rPr>
      </w:pPr>
      <w:r w:rsidRPr="00DF41A1">
        <w:rPr>
          <w:rFonts w:asciiTheme="minorHAnsi" w:hAnsiTheme="minorHAnsi" w:cstheme="minorHAnsi"/>
          <w:b/>
          <w:bCs/>
          <w:u w:val="single"/>
        </w:rPr>
        <w:t>Medicine Supply Notification: Triamterene 50mg / furosemide 40mg tablets</w:t>
      </w:r>
    </w:p>
    <w:p w14:paraId="344DBA12" w14:textId="733A58C8" w:rsidR="00BC393C" w:rsidRPr="00DF41A1" w:rsidRDefault="00BC393C" w:rsidP="00DF41A1">
      <w:pPr>
        <w:spacing w:line="240" w:lineRule="auto"/>
        <w:jc w:val="both"/>
        <w:rPr>
          <w:rStyle w:val="Strong"/>
          <w:rFonts w:asciiTheme="minorHAnsi" w:hAnsiTheme="minorHAnsi" w:cstheme="minorHAnsi"/>
          <w:b w:val="0"/>
          <w:bCs w:val="0"/>
          <w:color w:val="4E3487"/>
        </w:rPr>
      </w:pPr>
      <w:r w:rsidRPr="00DF41A1">
        <w:rPr>
          <w:rFonts w:asciiTheme="minorHAnsi" w:hAnsiTheme="minorHAnsi" w:cstheme="minorHAnsi"/>
        </w:rPr>
        <w:t xml:space="preserve">The DHSC </w:t>
      </w:r>
      <w:r w:rsidRPr="00DF41A1">
        <w:rPr>
          <w:rFonts w:asciiTheme="minorHAnsi" w:hAnsiTheme="minorHAnsi" w:cstheme="minorHAnsi"/>
        </w:rPr>
        <w:t>has issued a medicine supply notification for </w:t>
      </w:r>
      <w:r w:rsidRPr="00DF41A1">
        <w:rPr>
          <w:rStyle w:val="Strong"/>
          <w:rFonts w:asciiTheme="minorHAnsi" w:hAnsiTheme="minorHAnsi" w:cstheme="minorHAnsi"/>
          <w:b w:val="0"/>
          <w:bCs w:val="0"/>
        </w:rPr>
        <w:t>Triamterene 50mg / furosemide 40mg (</w:t>
      </w:r>
      <w:proofErr w:type="spellStart"/>
      <w:r w:rsidRPr="00DF41A1">
        <w:rPr>
          <w:rStyle w:val="Strong"/>
          <w:rFonts w:asciiTheme="minorHAnsi" w:hAnsiTheme="minorHAnsi" w:cstheme="minorHAnsi"/>
          <w:b w:val="0"/>
          <w:bCs w:val="0"/>
        </w:rPr>
        <w:t>Frusene</w:t>
      </w:r>
      <w:proofErr w:type="spellEnd"/>
      <w:proofErr w:type="gramStart"/>
      <w:r w:rsidRPr="00DF41A1">
        <w:rPr>
          <w:rStyle w:val="Strong"/>
          <w:rFonts w:asciiTheme="minorHAnsi" w:hAnsiTheme="minorHAnsi" w:cstheme="minorHAnsi"/>
          <w:b w:val="0"/>
          <w:bCs w:val="0"/>
        </w:rPr>
        <w:t>® )</w:t>
      </w:r>
      <w:proofErr w:type="gramEnd"/>
      <w:r w:rsidRPr="00DF41A1">
        <w:rPr>
          <w:rStyle w:val="Strong"/>
          <w:rFonts w:asciiTheme="minorHAnsi" w:hAnsiTheme="minorHAnsi" w:cstheme="minorHAnsi"/>
          <w:b w:val="0"/>
          <w:bCs w:val="0"/>
        </w:rPr>
        <w:t xml:space="preserve"> tablets.</w:t>
      </w:r>
      <w:r w:rsidRPr="00DF41A1">
        <w:rPr>
          <w:rStyle w:val="Strong"/>
          <w:rFonts w:asciiTheme="minorHAnsi" w:hAnsiTheme="minorHAnsi" w:cstheme="minorHAnsi"/>
          <w:b w:val="0"/>
          <w:bCs w:val="0"/>
        </w:rPr>
        <w:t xml:space="preserve"> Read more: </w:t>
      </w:r>
      <w:hyperlink r:id="rId18" w:history="1">
        <w:r w:rsidRPr="00DF41A1">
          <w:rPr>
            <w:rStyle w:val="Hyperlink"/>
            <w:rFonts w:asciiTheme="minorHAnsi" w:hAnsiTheme="minorHAnsi" w:cstheme="minorHAnsi"/>
            <w:b/>
            <w:bCs/>
            <w:color w:val="4E3487"/>
          </w:rPr>
          <w:t>https://psnc.org.uk/our-news/medicine-supply-notification-triamterene-50mg-furosemide-40mg-frusene-tablets/</w:t>
        </w:r>
      </w:hyperlink>
    </w:p>
    <w:p w14:paraId="1EFDE195" w14:textId="206CE0AE" w:rsidR="00BC393C" w:rsidRPr="00DF41A1" w:rsidRDefault="00BC393C" w:rsidP="00DF41A1">
      <w:pPr>
        <w:spacing w:line="240" w:lineRule="auto"/>
        <w:jc w:val="both"/>
        <w:rPr>
          <w:rStyle w:val="Strong"/>
          <w:rFonts w:asciiTheme="minorHAnsi" w:hAnsiTheme="minorHAnsi" w:cstheme="minorHAnsi"/>
          <w:b w:val="0"/>
          <w:bCs w:val="0"/>
        </w:rPr>
      </w:pPr>
    </w:p>
    <w:p w14:paraId="0BF423FE" w14:textId="73B0235A" w:rsidR="00BC393C" w:rsidRPr="00DF41A1" w:rsidRDefault="00BC393C" w:rsidP="00DF41A1">
      <w:pPr>
        <w:spacing w:line="240" w:lineRule="auto"/>
        <w:jc w:val="both"/>
        <w:rPr>
          <w:rStyle w:val="Strong"/>
          <w:rFonts w:asciiTheme="minorHAnsi" w:hAnsiTheme="minorHAnsi" w:cstheme="minorHAnsi"/>
          <w:u w:val="single"/>
        </w:rPr>
      </w:pPr>
      <w:r w:rsidRPr="00DF41A1">
        <w:rPr>
          <w:rStyle w:val="Strong"/>
          <w:rFonts w:asciiTheme="minorHAnsi" w:hAnsiTheme="minorHAnsi" w:cstheme="minorHAnsi"/>
          <w:u w:val="single"/>
        </w:rPr>
        <w:t>New learning approaches for pharmacy technicians</w:t>
      </w:r>
    </w:p>
    <w:p w14:paraId="47493BB1" w14:textId="0C26B6EC" w:rsidR="00BC393C" w:rsidRPr="00DF41A1" w:rsidRDefault="00BC393C" w:rsidP="00DF41A1">
      <w:pPr>
        <w:spacing w:line="240" w:lineRule="auto"/>
        <w:jc w:val="both"/>
        <w:rPr>
          <w:rFonts w:asciiTheme="minorHAnsi" w:hAnsiTheme="minorHAnsi" w:cstheme="minorHAnsi"/>
          <w:shd w:val="clear" w:color="auto" w:fill="FFFFFF"/>
        </w:rPr>
      </w:pPr>
      <w:r w:rsidRPr="00DF41A1">
        <w:rPr>
          <w:rFonts w:asciiTheme="minorHAnsi" w:hAnsiTheme="minorHAnsi" w:cstheme="minorHAnsi"/>
          <w:shd w:val="clear" w:color="auto" w:fill="FFFFFF"/>
        </w:rPr>
        <w:t>The Centre for Pharmacy Postgraduate Education (CPPE) has developed some new learning approaches for pharmacy technicians. This includes impact groups to help develop their skills and confidence, and Myers Brigg Type Indicator</w:t>
      </w:r>
      <w:r w:rsidRPr="00DF41A1">
        <w:rPr>
          <w:rStyle w:val="Strong"/>
          <w:rFonts w:asciiTheme="minorHAnsi" w:hAnsiTheme="minorHAnsi" w:cstheme="minorHAnsi"/>
          <w:shd w:val="clear" w:color="auto" w:fill="FFFFFF"/>
          <w:vertAlign w:val="superscript"/>
        </w:rPr>
        <w:t>®</w:t>
      </w:r>
      <w:r w:rsidRPr="00DF41A1">
        <w:rPr>
          <w:rFonts w:asciiTheme="minorHAnsi" w:hAnsiTheme="minorHAnsi" w:cstheme="minorHAnsi"/>
          <w:shd w:val="clear" w:color="auto" w:fill="FFFFFF"/>
        </w:rPr>
        <w:t> online workshops to better understand personality types and their own preferences.</w:t>
      </w:r>
      <w:r w:rsidRPr="00DF41A1">
        <w:rPr>
          <w:rFonts w:asciiTheme="minorHAnsi" w:hAnsiTheme="minorHAnsi" w:cstheme="minorHAnsi"/>
          <w:shd w:val="clear" w:color="auto" w:fill="FFFFFF"/>
        </w:rPr>
        <w:t xml:space="preserve"> Read more: </w:t>
      </w:r>
      <w:hyperlink r:id="rId19" w:history="1">
        <w:r w:rsidRPr="00DF41A1">
          <w:rPr>
            <w:rStyle w:val="Hyperlink"/>
            <w:rFonts w:asciiTheme="minorHAnsi" w:hAnsiTheme="minorHAnsi" w:cstheme="minorHAnsi"/>
            <w:b/>
            <w:bCs/>
            <w:color w:val="4E3487"/>
            <w:shd w:val="clear" w:color="auto" w:fill="FFFFFF"/>
          </w:rPr>
          <w:t>https://psnc.org.uk/our-news/new-learning-approaches-for-pharmacy-technicians/</w:t>
        </w:r>
      </w:hyperlink>
    </w:p>
    <w:p w14:paraId="7D591398" w14:textId="77777777" w:rsidR="00D430A8" w:rsidRPr="00DC1DE4" w:rsidRDefault="00D430A8" w:rsidP="00DC1DE4">
      <w:pPr>
        <w:spacing w:line="240" w:lineRule="auto"/>
        <w:jc w:val="both"/>
        <w:rPr>
          <w:rFonts w:asciiTheme="minorHAnsi" w:hAnsiTheme="minorHAnsi" w:cstheme="minorHAnsi"/>
          <w:b/>
          <w:bCs/>
          <w:u w:val="single"/>
        </w:rPr>
      </w:pPr>
    </w:p>
    <w:p w14:paraId="1F73AE64" w14:textId="22246036" w:rsidR="00C836DB" w:rsidRPr="00DF41A1" w:rsidRDefault="00C836DB" w:rsidP="00B90F36">
      <w:pPr>
        <w:spacing w:line="240" w:lineRule="auto"/>
        <w:jc w:val="both"/>
        <w:rPr>
          <w:rFonts w:ascii="Calibri" w:hAnsi="Calibri" w:cs="Calibri"/>
          <w:color w:val="4E3487"/>
          <w:u w:val="single"/>
        </w:rPr>
      </w:pPr>
      <w:r w:rsidRPr="00DF41A1">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20">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w:t>
      </w:r>
      <w:proofErr w:type="gramStart"/>
      <w:r w:rsidRPr="00B90F36">
        <w:rPr>
          <w:rFonts w:ascii="Calibri" w:hAnsi="Calibri" w:cs="Calibri"/>
          <w:b/>
          <w:bCs/>
        </w:rPr>
        <w:t>actions;</w:t>
      </w:r>
      <w:proofErr w:type="gramEnd"/>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21">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w:t>
      </w:r>
      <w:proofErr w:type="gramStart"/>
      <w:r w:rsidRPr="00B90F36">
        <w:rPr>
          <w:rFonts w:ascii="Calibri" w:hAnsi="Calibri" w:cs="Calibri"/>
          <w:b/>
          <w:bCs/>
        </w:rPr>
        <w:t>pharmacy;</w:t>
      </w:r>
      <w:proofErr w:type="gramEnd"/>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22">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23">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24">
        <w:r w:rsidRPr="00B90F36">
          <w:rPr>
            <w:rStyle w:val="Hyperlink"/>
            <w:rFonts w:ascii="Calibri" w:hAnsi="Calibri" w:cs="Calibri"/>
            <w:b/>
            <w:bCs/>
            <w:color w:val="auto"/>
          </w:rPr>
          <w:t xml:space="preserve">NHSE&amp;I </w:t>
        </w:r>
      </w:hyperlink>
      <w:hyperlink r:id="rId25">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6">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DF41A1" w:rsidP="00B90F36">
      <w:pPr>
        <w:spacing w:line="240" w:lineRule="auto"/>
        <w:jc w:val="both"/>
        <w:rPr>
          <w:rFonts w:ascii="Calibri" w:hAnsi="Calibri" w:cs="Calibri"/>
        </w:rPr>
      </w:pPr>
      <w:hyperlink r:id="rId27">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8">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DF41A1" w:rsidP="00B90F36">
      <w:pPr>
        <w:spacing w:line="240" w:lineRule="auto"/>
        <w:jc w:val="both"/>
        <w:rPr>
          <w:rFonts w:ascii="Calibri" w:hAnsi="Calibri" w:cs="Calibri"/>
        </w:rPr>
      </w:pPr>
      <w:hyperlink r:id="rId29">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30"/>
      <w:footerReference w:type="default" r:id="rId31"/>
      <w:headerReference w:type="first" r:id="rId32"/>
      <w:footerReference w:type="first" r:id="rId33"/>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651C" w14:textId="77777777" w:rsidR="00BE7AD7" w:rsidRDefault="00BE7AD7" w:rsidP="00E472BA">
      <w:pPr>
        <w:spacing w:line="240" w:lineRule="auto"/>
      </w:pPr>
      <w:r>
        <w:separator/>
      </w:r>
    </w:p>
  </w:endnote>
  <w:endnote w:type="continuationSeparator" w:id="0">
    <w:p w14:paraId="19CF502A" w14:textId="77777777" w:rsidR="00BE7AD7" w:rsidRDefault="00BE7AD7"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FE5B" w14:textId="77777777" w:rsidR="00BE7AD7" w:rsidRDefault="00BE7AD7" w:rsidP="00E472BA">
      <w:pPr>
        <w:spacing w:line="240" w:lineRule="auto"/>
      </w:pPr>
      <w:r>
        <w:separator/>
      </w:r>
    </w:p>
  </w:footnote>
  <w:footnote w:type="continuationSeparator" w:id="0">
    <w:p w14:paraId="1FD32E18" w14:textId="77777777" w:rsidR="00BE7AD7" w:rsidRDefault="00BE7AD7"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5"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8"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1"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672839">
    <w:abstractNumId w:val="7"/>
  </w:num>
  <w:num w:numId="2" w16cid:durableId="896739843">
    <w:abstractNumId w:val="10"/>
  </w:num>
  <w:num w:numId="3" w16cid:durableId="1568104667">
    <w:abstractNumId w:val="4"/>
  </w:num>
  <w:num w:numId="4" w16cid:durableId="1654143241">
    <w:abstractNumId w:val="1"/>
  </w:num>
  <w:num w:numId="5" w16cid:durableId="548961370">
    <w:abstractNumId w:val="6"/>
  </w:num>
  <w:num w:numId="6" w16cid:durableId="296910083">
    <w:abstractNumId w:val="11"/>
  </w:num>
  <w:num w:numId="7" w16cid:durableId="2036498340">
    <w:abstractNumId w:val="9"/>
  </w:num>
  <w:num w:numId="8" w16cid:durableId="956254707">
    <w:abstractNumId w:val="3"/>
  </w:num>
  <w:num w:numId="9" w16cid:durableId="195890172">
    <w:abstractNumId w:val="5"/>
  </w:num>
  <w:num w:numId="10" w16cid:durableId="98645482">
    <w:abstractNumId w:val="8"/>
  </w:num>
  <w:num w:numId="11" w16cid:durableId="1092119194">
    <w:abstractNumId w:val="2"/>
  </w:num>
  <w:num w:numId="12" w16cid:durableId="6971987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3474C"/>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910F9"/>
    <w:rsid w:val="00391612"/>
    <w:rsid w:val="003919B1"/>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52DA2"/>
    <w:rsid w:val="006639E0"/>
    <w:rsid w:val="0066531F"/>
    <w:rsid w:val="006665DC"/>
    <w:rsid w:val="006745E0"/>
    <w:rsid w:val="0068002D"/>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221D6"/>
    <w:rsid w:val="00830740"/>
    <w:rsid w:val="00833328"/>
    <w:rsid w:val="008338E4"/>
    <w:rsid w:val="00835F15"/>
    <w:rsid w:val="00842703"/>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21368"/>
    <w:rsid w:val="00930BDF"/>
    <w:rsid w:val="00942FD9"/>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C393C"/>
    <w:rsid w:val="00BD5683"/>
    <w:rsid w:val="00BE140B"/>
    <w:rsid w:val="00BE7AD7"/>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00"/>
    <w:rsid w:val="00D11B91"/>
    <w:rsid w:val="00D151E2"/>
    <w:rsid w:val="00D151EB"/>
    <w:rsid w:val="00D16807"/>
    <w:rsid w:val="00D2477F"/>
    <w:rsid w:val="00D253D9"/>
    <w:rsid w:val="00D27F68"/>
    <w:rsid w:val="00D3502F"/>
    <w:rsid w:val="00D365D3"/>
    <w:rsid w:val="00D36AC8"/>
    <w:rsid w:val="00D41FA9"/>
    <w:rsid w:val="00D430A8"/>
    <w:rsid w:val="00D43CE5"/>
    <w:rsid w:val="00D57D33"/>
    <w:rsid w:val="00D64C04"/>
    <w:rsid w:val="00D65466"/>
    <w:rsid w:val="00D662AD"/>
    <w:rsid w:val="00D73FFC"/>
    <w:rsid w:val="00D76E13"/>
    <w:rsid w:val="00D7729C"/>
    <w:rsid w:val="00D844F5"/>
    <w:rsid w:val="00D87E87"/>
    <w:rsid w:val="00D90E56"/>
    <w:rsid w:val="00D93FAA"/>
    <w:rsid w:val="00D96613"/>
    <w:rsid w:val="00DA0B6A"/>
    <w:rsid w:val="00DA43A7"/>
    <w:rsid w:val="00DA51B5"/>
    <w:rsid w:val="00DA6B9C"/>
    <w:rsid w:val="00DC1DE4"/>
    <w:rsid w:val="00DC26D0"/>
    <w:rsid w:val="00DC494F"/>
    <w:rsid w:val="00DC5FFE"/>
    <w:rsid w:val="00DC7059"/>
    <w:rsid w:val="00DD560F"/>
    <w:rsid w:val="00DDF6AE"/>
    <w:rsid w:val="00DE0D48"/>
    <w:rsid w:val="00DE13C0"/>
    <w:rsid w:val="00DE60EF"/>
    <w:rsid w:val="00DE6699"/>
    <w:rsid w:val="00DE6BF2"/>
    <w:rsid w:val="00DE7B7A"/>
    <w:rsid w:val="00DF41A1"/>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6249"/>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02E5"/>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405393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2821098">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143233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42194129">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120343">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1848546">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133653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64831952">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913248366">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760270">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045380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1672161">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025468">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18455485">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75422539">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45232010">
      <w:bodyDiv w:val="1"/>
      <w:marLeft w:val="0"/>
      <w:marRight w:val="0"/>
      <w:marTop w:val="0"/>
      <w:marBottom w:val="0"/>
      <w:divBdr>
        <w:top w:val="none" w:sz="0" w:space="0" w:color="auto"/>
        <w:left w:val="none" w:sz="0" w:space="0" w:color="auto"/>
        <w:bottom w:val="none" w:sz="0" w:space="0" w:color="auto"/>
        <w:right w:val="none" w:sz="0" w:space="0" w:color="auto"/>
      </w:divBdr>
    </w:div>
    <w:div w:id="1446537670">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26627804">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3558211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34672426">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1881254">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04673245">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25718611">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08972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9556945">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6831191">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5305271">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79398889">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edicine-supply-notification-clomifene-50mg-tablets/" TargetMode="External"/><Relationship Id="rId18" Type="http://schemas.openxmlformats.org/officeDocument/2006/relationships/hyperlink" Target="https://psnc.org.uk/our-news/medicine-supply-notification-triamterene-50mg-furosemide-40mg-frusene-tablets/" TargetMode="External"/><Relationship Id="rId26" Type="http://schemas.openxmlformats.org/officeDocument/2006/relationships/hyperlink" Target="https://campaignresources.phe.gov.uk/resources/campaigns/101/resources/5016" TargetMode="External"/><Relationship Id="rId3" Type="http://schemas.openxmlformats.org/officeDocument/2006/relationships/customXml" Target="../customXml/item3.xml"/><Relationship Id="rId21" Type="http://schemas.openxmlformats.org/officeDocument/2006/relationships/hyperlink" Target="https://psnc.org.uk/the-healthcare-landscape/covid19/information-for-the-publi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snc.org.uk/our-news/mhra-class-2-medicines-recall-olopatadine-usv-1mg-ml-eye-drops-usv-uk-limited/" TargetMode="External"/><Relationship Id="rId17" Type="http://schemas.openxmlformats.org/officeDocument/2006/relationships/hyperlink" Target="https://psnc.org.uk/our-news/psnc-north-east-and-cumbria-regional-representative-election/" TargetMode="External"/><Relationship Id="rId25" Type="http://schemas.openxmlformats.org/officeDocument/2006/relationships/hyperlink" Target="https://www.england.nhs.uk/coronavirus/primary-care/"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snc.org.uk/our-news/requirement-to-submit-nms-quarterly-information-returns/" TargetMode="External"/><Relationship Id="rId20" Type="http://schemas.openxmlformats.org/officeDocument/2006/relationships/hyperlink" Target="https://psnc.org.uk/the-healthcare-landscape/covid19/contractor-guidance-and-support/" TargetMode="External"/><Relationship Id="rId29" Type="http://schemas.openxmlformats.org/officeDocument/2006/relationships/hyperlink" Target="https://www.england.nhs.uk/coronavirus/prim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patient-safety-culture-survey-results-published/" TargetMode="External"/><Relationship Id="rId24" Type="http://schemas.openxmlformats.org/officeDocument/2006/relationships/hyperlink" Target="https://www.england.nhs.uk/coronavirus/primary-car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psnc.org.uk/our-news/closing-of-the-old-ppe-ordering-portal/" TargetMode="External"/><Relationship Id="rId23" Type="http://schemas.openxmlformats.org/officeDocument/2006/relationships/hyperlink" Target="https://www.gov.uk/government/collections/wuhan-novel-coronavirus" TargetMode="External"/><Relationship Id="rId28" Type="http://schemas.openxmlformats.org/officeDocument/2006/relationships/hyperlink" Target="https://www.gov.uk/government/collections/wuhan-novel-coronavirus" TargetMode="External"/><Relationship Id="rId10" Type="http://schemas.openxmlformats.org/officeDocument/2006/relationships/endnotes" Target="endnotes.xml"/><Relationship Id="rId19" Type="http://schemas.openxmlformats.org/officeDocument/2006/relationships/hyperlink" Target="https://psnc.org.uk/our-news/new-learning-approaches-for-pharmacy-technicia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medicine-supply-notification-fesoterodine-toviaz-4mg-and-8-mg-modified-release-tablets/" TargetMode="External"/><Relationship Id="rId22" Type="http://schemas.openxmlformats.org/officeDocument/2006/relationships/hyperlink" Target="https://psnc.org.uk/contract-it/essential-service-clinical-governance/emergency-planning/" TargetMode="External"/><Relationship Id="rId27" Type="http://schemas.openxmlformats.org/officeDocument/2006/relationships/hyperlink" Target="https://www.gov.uk/government/collections/wuhan-novel-coronaviru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2</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2022-05-04T09:33:00Z</dcterms:created>
  <dcterms:modified xsi:type="dcterms:W3CDTF">2022-05-04T09:33:00Z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